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2380A" w14:textId="11F1CF39" w:rsidR="00236D33" w:rsidRPr="00236D33" w:rsidRDefault="00236D33" w:rsidP="00236D33">
      <w:pPr>
        <w:spacing w:line="480" w:lineRule="auto"/>
        <w:ind w:left="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Supplemental Information</w:t>
      </w:r>
    </w:p>
    <w:p w14:paraId="70C801DB" w14:textId="24C7A4A7" w:rsidR="00A459DC" w:rsidRPr="00F94E90" w:rsidRDefault="00A459DC" w:rsidP="005E477C">
      <w:pPr>
        <w:spacing w:line="480" w:lineRule="auto"/>
        <w:rPr>
          <w:b/>
          <w:color w:val="000000"/>
          <w:sz w:val="28"/>
        </w:rPr>
      </w:pPr>
      <w:r w:rsidRPr="00A459DC">
        <w:rPr>
          <w:b/>
          <w:color w:val="000000"/>
          <w:sz w:val="28"/>
        </w:rPr>
        <w:t>Increasing Extreme Hourly Precipitation Risk for New York City after Hurricane Ida</w:t>
      </w:r>
    </w:p>
    <w:p w14:paraId="6F4743D5" w14:textId="77777777" w:rsidR="00231769" w:rsidRDefault="00231769" w:rsidP="00231769">
      <w:pPr>
        <w:spacing w:line="480" w:lineRule="auto"/>
      </w:pPr>
      <w:r>
        <w:t>Carolien Mossel*</w:t>
      </w:r>
      <w:r>
        <w:rPr>
          <w:vertAlign w:val="subscript"/>
        </w:rPr>
        <w:t>1,2</w:t>
      </w:r>
      <w:r>
        <w:t>, Spencer A. Hill</w:t>
      </w:r>
      <w:r>
        <w:rPr>
          <w:vertAlign w:val="subscript"/>
        </w:rPr>
        <w:t>2,1</w:t>
      </w:r>
      <w:r>
        <w:t xml:space="preserve"> Nihar R. Samal</w:t>
      </w:r>
      <w:r>
        <w:rPr>
          <w:vertAlign w:val="subscript"/>
        </w:rPr>
        <w:t>3</w:t>
      </w:r>
      <w:r>
        <w:t>, James F. Booth</w:t>
      </w:r>
      <w:r>
        <w:rPr>
          <w:vertAlign w:val="subscript"/>
        </w:rPr>
        <w:t>2,1</w:t>
      </w:r>
      <w:r>
        <w:t xml:space="preserve"> Naresh Devineni</w:t>
      </w:r>
      <w:r>
        <w:rPr>
          <w:vertAlign w:val="subscript"/>
        </w:rPr>
        <w:t>4,1</w:t>
      </w:r>
      <w:r>
        <w:t xml:space="preserve"> </w:t>
      </w:r>
    </w:p>
    <w:p w14:paraId="6289A43F" w14:textId="77777777" w:rsidR="00236D33" w:rsidRDefault="00236D33" w:rsidP="00236D33">
      <w:pPr>
        <w:spacing w:line="480" w:lineRule="auto"/>
      </w:pPr>
      <w:r w:rsidRPr="001608E7">
        <w:t xml:space="preserve">1. </w:t>
      </w:r>
      <w:r>
        <w:t xml:space="preserve">Earth and Environmental Sciences, The </w:t>
      </w:r>
      <w:r w:rsidRPr="001608E7">
        <w:t>C</w:t>
      </w:r>
      <w:r>
        <w:t xml:space="preserve">ity </w:t>
      </w:r>
      <w:r w:rsidRPr="001608E7">
        <w:t>U</w:t>
      </w:r>
      <w:r>
        <w:t xml:space="preserve">niversity of </w:t>
      </w:r>
      <w:r w:rsidRPr="001608E7">
        <w:t>N</w:t>
      </w:r>
      <w:r>
        <w:t xml:space="preserve">ew </w:t>
      </w:r>
      <w:r w:rsidRPr="001608E7">
        <w:t>Y</w:t>
      </w:r>
      <w:r>
        <w:t>ork – Graduate Center</w:t>
      </w:r>
    </w:p>
    <w:p w14:paraId="556EE46B" w14:textId="77777777" w:rsidR="00236D33" w:rsidRDefault="00236D33" w:rsidP="00236D33">
      <w:pPr>
        <w:spacing w:line="480" w:lineRule="auto"/>
      </w:pPr>
      <w:r w:rsidRPr="001608E7">
        <w:t xml:space="preserve">2. </w:t>
      </w:r>
      <w:r>
        <w:t xml:space="preserve">Department of Earth and Atmospheric Science, The </w:t>
      </w:r>
      <w:r w:rsidRPr="001608E7">
        <w:t>C</w:t>
      </w:r>
      <w:r>
        <w:t xml:space="preserve">ity </w:t>
      </w:r>
      <w:r w:rsidRPr="001608E7">
        <w:t>U</w:t>
      </w:r>
      <w:r>
        <w:t xml:space="preserve">niversity of </w:t>
      </w:r>
      <w:r w:rsidRPr="001608E7">
        <w:t>N</w:t>
      </w:r>
      <w:r>
        <w:t xml:space="preserve">ew </w:t>
      </w:r>
      <w:r w:rsidRPr="001608E7">
        <w:t>Y</w:t>
      </w:r>
      <w:r>
        <w:t xml:space="preserve">ork – </w:t>
      </w:r>
      <w:r w:rsidRPr="001608E7">
        <w:t xml:space="preserve">City College </w:t>
      </w:r>
    </w:p>
    <w:p w14:paraId="1A3DCD6B" w14:textId="77777777" w:rsidR="00236D33" w:rsidRDefault="00236D33" w:rsidP="00236D33">
      <w:pPr>
        <w:spacing w:line="480" w:lineRule="auto"/>
      </w:pPr>
      <w:r w:rsidRPr="001608E7">
        <w:t>3. New York City Department of Environmental Protection</w:t>
      </w:r>
    </w:p>
    <w:p w14:paraId="4FFE2E9A" w14:textId="77777777" w:rsidR="00236D33" w:rsidRDefault="00236D33" w:rsidP="00236D33">
      <w:pPr>
        <w:spacing w:line="480" w:lineRule="auto"/>
      </w:pPr>
      <w:r>
        <w:t xml:space="preserve">4. Department of Civil Engineering, The </w:t>
      </w:r>
      <w:r w:rsidRPr="001608E7">
        <w:t>C</w:t>
      </w:r>
      <w:r>
        <w:t xml:space="preserve">ity </w:t>
      </w:r>
      <w:r w:rsidRPr="001608E7">
        <w:t>U</w:t>
      </w:r>
      <w:r>
        <w:t xml:space="preserve">niversity of </w:t>
      </w:r>
      <w:r w:rsidRPr="001608E7">
        <w:t>N</w:t>
      </w:r>
      <w:r>
        <w:t xml:space="preserve">ew </w:t>
      </w:r>
      <w:r w:rsidRPr="001608E7">
        <w:t>Y</w:t>
      </w:r>
      <w:r>
        <w:t xml:space="preserve">ork – </w:t>
      </w:r>
      <w:r w:rsidRPr="001608E7">
        <w:t xml:space="preserve">City College </w:t>
      </w:r>
    </w:p>
    <w:p w14:paraId="5B317DE3" w14:textId="77777777" w:rsidR="004C47A7" w:rsidRPr="001608E7" w:rsidRDefault="004C47A7" w:rsidP="004C47A7">
      <w:pPr>
        <w:spacing w:line="480" w:lineRule="auto"/>
      </w:pPr>
      <w:r>
        <w:t xml:space="preserve">* Corresponding author: Carolien Mossel, </w:t>
      </w:r>
      <w:hyperlink r:id="rId5" w:history="1">
        <w:r w:rsidRPr="00DD0382">
          <w:rPr>
            <w:rStyle w:val="Hyperlink"/>
            <w:rFonts w:eastAsiaTheme="majorEastAsia"/>
          </w:rPr>
          <w:t>cmossel@gradcenter.cuny.edu</w:t>
        </w:r>
      </w:hyperlink>
    </w:p>
    <w:p w14:paraId="56D7D212" w14:textId="77777777" w:rsidR="00236D33" w:rsidRDefault="00236D33" w:rsidP="008A623D">
      <w:pPr>
        <w:spacing w:line="480" w:lineRule="auto"/>
        <w:ind w:left="90"/>
        <w:rPr>
          <w:b/>
          <w:sz w:val="28"/>
          <w:szCs w:val="28"/>
        </w:rPr>
      </w:pPr>
    </w:p>
    <w:p w14:paraId="257F369E" w14:textId="77777777" w:rsidR="00234E2F" w:rsidRDefault="00234E2F" w:rsidP="00236D33">
      <w:pPr>
        <w:autoSpaceDE w:val="0"/>
        <w:autoSpaceDN w:val="0"/>
        <w:adjustRightInd w:val="0"/>
        <w:spacing w:line="480" w:lineRule="auto"/>
        <w:ind w:left="90"/>
        <w:jc w:val="center"/>
      </w:pPr>
    </w:p>
    <w:p w14:paraId="27AF9969" w14:textId="1DD1814B" w:rsidR="00C14F3A" w:rsidRDefault="00C14F3A">
      <w:pPr>
        <w:spacing w:after="160" w:line="278" w:lineRule="auto"/>
      </w:pPr>
      <w:r>
        <w:br w:type="page"/>
      </w:r>
    </w:p>
    <w:p w14:paraId="5285DC1E" w14:textId="77777777" w:rsidR="00F247D2" w:rsidRDefault="00F247D2" w:rsidP="00F247D2">
      <w:pPr>
        <w:autoSpaceDE w:val="0"/>
        <w:autoSpaceDN w:val="0"/>
        <w:adjustRightInd w:val="0"/>
        <w:spacing w:line="480" w:lineRule="auto"/>
        <w:ind w:left="90"/>
        <w:rPr>
          <w:b/>
          <w:bCs/>
        </w:rPr>
      </w:pPr>
      <w:r w:rsidRPr="00775B0C">
        <w:rPr>
          <w:noProof/>
        </w:rPr>
        <w:lastRenderedPageBreak/>
        <w:drawing>
          <wp:inline distT="0" distB="0" distL="0" distR="0" wp14:anchorId="438415E5" wp14:editId="0DB75B6B">
            <wp:extent cx="4189228" cy="6018028"/>
            <wp:effectExtent l="0" t="0" r="1905" b="1905"/>
            <wp:docPr id="307248654" name="Google Shape;109;p4" descr="A graph of a graph of a number of data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Google Shape;109;p4" descr="A graph of a graph of a number of data&#10;&#10;Description automatically generated with medium confidence"/>
                    <pic:cNvPicPr preferRelativeResize="0"/>
                  </pic:nvPicPr>
                  <pic:blipFill rotWithShape="1">
                    <a:blip r:embed="rId6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4191609" cy="602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7D2">
        <w:rPr>
          <w:b/>
          <w:bCs/>
        </w:rPr>
        <w:t xml:space="preserve"> </w:t>
      </w:r>
    </w:p>
    <w:p w14:paraId="743EE397" w14:textId="2718FDF1" w:rsidR="00F247D2" w:rsidRPr="00850995" w:rsidRDefault="00F247D2" w:rsidP="00F247D2">
      <w:pPr>
        <w:autoSpaceDE w:val="0"/>
        <w:autoSpaceDN w:val="0"/>
        <w:adjustRightInd w:val="0"/>
        <w:spacing w:line="480" w:lineRule="auto"/>
        <w:ind w:left="90"/>
        <w:rPr>
          <w:b/>
          <w:bCs/>
        </w:rPr>
      </w:pPr>
      <w:r>
        <w:rPr>
          <w:b/>
          <w:bCs/>
        </w:rPr>
        <w:t xml:space="preserve">Figure S1. </w:t>
      </w:r>
      <w:r w:rsidRPr="00B92975">
        <w:t xml:space="preserve">Null distribution of the Mann-Kendall Sen’s Slope resulting from </w:t>
      </w:r>
      <w:r w:rsidRPr="00B92975">
        <w:rPr>
          <w:color w:val="0E101A"/>
        </w:rPr>
        <w:t xml:space="preserve">bootstrap resampling </w:t>
      </w:r>
      <w:r>
        <w:rPr>
          <w:color w:val="0E101A"/>
        </w:rPr>
        <w:t xml:space="preserve">of the </w:t>
      </w:r>
      <w:r>
        <w:t>warm season maximum hourly rainfall intensity</w:t>
      </w:r>
      <w:r w:rsidRPr="00B92975">
        <w:rPr>
          <w:color w:val="0E101A"/>
        </w:rPr>
        <w:t xml:space="preserve"> (top</w:t>
      </w:r>
      <w:r>
        <w:rPr>
          <w:color w:val="0E101A"/>
        </w:rPr>
        <w:t xml:space="preserve"> panel). The observed trend is shown using a black square symbol over the null distribution. The </w:t>
      </w:r>
      <w:r>
        <w:t>autocorrelation</w:t>
      </w:r>
      <w:r w:rsidR="00D86D5E">
        <w:t xml:space="preserve"> (ACF)</w:t>
      </w:r>
      <w:r w:rsidR="00301D9C">
        <w:t xml:space="preserve"> </w:t>
      </w:r>
      <w:r>
        <w:t xml:space="preserve">in the time series is shown in the bottom panel.  </w:t>
      </w:r>
    </w:p>
    <w:p w14:paraId="7ECAF992" w14:textId="51D772D9" w:rsidR="00C14F3A" w:rsidRDefault="00C14F3A">
      <w:pPr>
        <w:spacing w:after="160" w:line="278" w:lineRule="auto"/>
      </w:pPr>
      <w:r>
        <w:br w:type="page"/>
      </w:r>
    </w:p>
    <w:p w14:paraId="3A0DCA09" w14:textId="1EE37ED0" w:rsidR="00234E2F" w:rsidRDefault="00DC667D" w:rsidP="00236D33">
      <w:pPr>
        <w:autoSpaceDE w:val="0"/>
        <w:autoSpaceDN w:val="0"/>
        <w:adjustRightInd w:val="0"/>
        <w:spacing w:line="480" w:lineRule="auto"/>
        <w:ind w:left="90"/>
        <w:jc w:val="center"/>
      </w:pPr>
      <w:r>
        <w:rPr>
          <w:noProof/>
        </w:rPr>
        <w:lastRenderedPageBreak/>
        <w:drawing>
          <wp:inline distT="0" distB="0" distL="0" distR="0" wp14:anchorId="49F91602" wp14:editId="32959D35">
            <wp:extent cx="5696819" cy="4076065"/>
            <wp:effectExtent l="0" t="0" r="0" b="635"/>
            <wp:docPr id="4080865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221" cy="407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D0BF3" w14:textId="46257F53" w:rsidR="00AE4B69" w:rsidRDefault="00234E2F" w:rsidP="00C14F3A">
      <w:pPr>
        <w:autoSpaceDE w:val="0"/>
        <w:autoSpaceDN w:val="0"/>
        <w:adjustRightInd w:val="0"/>
        <w:spacing w:line="480" w:lineRule="auto"/>
        <w:ind w:left="90"/>
      </w:pPr>
      <w:r>
        <w:rPr>
          <w:b/>
          <w:bCs/>
        </w:rPr>
        <w:t>Figure S</w:t>
      </w:r>
      <w:r w:rsidR="00F247D2">
        <w:rPr>
          <w:b/>
          <w:bCs/>
        </w:rPr>
        <w:t>2</w:t>
      </w:r>
      <w:r w:rsidRPr="00091813">
        <w:rPr>
          <w:b/>
          <w:bCs/>
        </w:rPr>
        <w:t xml:space="preserve">. </w:t>
      </w:r>
      <w:r w:rsidRPr="00D05396">
        <w:rPr>
          <w:b/>
          <w:bCs/>
        </w:rPr>
        <w:t xml:space="preserve">A comparison of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22222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22222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22222"/>
              </w:rPr>
              <m:t>avg</m:t>
            </m:r>
          </m:sub>
        </m:sSub>
      </m:oMath>
      <w:r w:rsidR="000D43CA" w:rsidRPr="00D05396">
        <w:rPr>
          <w:b/>
          <w:bCs/>
          <w:color w:val="222222"/>
        </w:rPr>
        <w:t>(</w:t>
      </w:r>
      <w:r w:rsidR="008B2DD2" w:rsidRPr="00D05396">
        <w:rPr>
          <w:b/>
          <w:bCs/>
          <w:color w:val="222222"/>
        </w:rPr>
        <w:t>top</w:t>
      </w:r>
      <w:r w:rsidR="000D43CA" w:rsidRPr="00D05396">
        <w:rPr>
          <w:b/>
          <w:bCs/>
          <w:color w:val="222222"/>
        </w:rPr>
        <w:t xml:space="preserve"> panel) and</w:t>
      </w:r>
      <w:r w:rsidRPr="00D05396">
        <w:rPr>
          <w:b/>
          <w:bCs/>
        </w:rPr>
        <w:t xml:space="preserve"> CDD</w:t>
      </w:r>
      <w:r w:rsidR="00BA025F" w:rsidRPr="00D05396">
        <w:rPr>
          <w:b/>
          <w:bCs/>
        </w:rPr>
        <w:t xml:space="preserve"> (</w:t>
      </w:r>
      <w:r w:rsidR="008B2DD2" w:rsidRPr="00D05396">
        <w:rPr>
          <w:b/>
          <w:bCs/>
        </w:rPr>
        <w:t>bottom</w:t>
      </w:r>
      <w:r w:rsidR="00BA025F" w:rsidRPr="00D05396">
        <w:rPr>
          <w:b/>
          <w:bCs/>
        </w:rPr>
        <w:t xml:space="preserve"> panel) </w:t>
      </w:r>
      <w:r w:rsidRPr="00D05396">
        <w:rPr>
          <w:b/>
          <w:bCs/>
        </w:rPr>
        <w:t xml:space="preserve">for their similarity in time-varying trends as compared to </w:t>
      </w:r>
      <w:r w:rsidRPr="00091813">
        <w:rPr>
          <w:b/>
          <w:bCs/>
          <w:i/>
          <w:iCs/>
        </w:rPr>
        <w:t>R</w:t>
      </w:r>
      <w:r w:rsidRPr="00D05396">
        <w:rPr>
          <w:b/>
          <w:bCs/>
        </w:rPr>
        <w:t>,</w:t>
      </w:r>
      <w:r>
        <w:t xml:space="preserve"> Annual Maximum Warm Season Hourly Rainfall</w:t>
      </w:r>
      <w:r w:rsidR="00A012CE">
        <w:t xml:space="preserve"> (AMWSR)</w:t>
      </w:r>
      <w:r>
        <w:t>.</w:t>
      </w:r>
      <w:r w:rsidR="00A012CE">
        <w:t xml:space="preserve"> Left y-axis shows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222222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222222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  <w:color w:val="222222"/>
              </w:rPr>
              <m:t>avg</m:t>
            </m:r>
          </m:sub>
        </m:sSub>
      </m:oMath>
      <w:r w:rsidR="00A012CE">
        <w:t>(</w:t>
      </w:r>
      <w:r w:rsidR="008B2DD2">
        <w:t>top</w:t>
      </w:r>
      <w:r w:rsidR="00A012CE">
        <w:t>)</w:t>
      </w:r>
      <w:r>
        <w:t xml:space="preserve"> </w:t>
      </w:r>
      <w:r w:rsidR="002E1A9F">
        <w:t xml:space="preserve">or CDD (bottom). </w:t>
      </w:r>
      <w:r w:rsidR="001C3AC7">
        <w:t>For the top and bottom panels: right y-axis shows AMWSR; the solid line shows the</w:t>
      </w:r>
      <w:r>
        <w:t xml:space="preserve"> </w:t>
      </w:r>
      <w:r w:rsidR="001C3AC7" w:rsidRPr="001C3AC7">
        <w:t>locally weighted scatterplot smoothing</w:t>
      </w:r>
      <w:r w:rsidR="001C3AC7">
        <w:t xml:space="preserve"> (i.e., LOWESS fitted curve); the d</w:t>
      </w:r>
      <w:r w:rsidR="008B2DD2">
        <w:t>ashed</w:t>
      </w:r>
      <w:r w:rsidR="001C3AC7">
        <w:t xml:space="preserve"> line show</w:t>
      </w:r>
      <w:r w:rsidR="008B2DD2">
        <w:t>s</w:t>
      </w:r>
      <w:r w:rsidR="001C3AC7">
        <w:t xml:space="preserve"> the linear fit.</w:t>
      </w:r>
      <w:r>
        <w:t xml:space="preserve"> </w:t>
      </w:r>
    </w:p>
    <w:p w14:paraId="6ED97F9E" w14:textId="77777777" w:rsidR="00AE4B69" w:rsidRDefault="00AE4B69" w:rsidP="00C14F3A">
      <w:pPr>
        <w:autoSpaceDE w:val="0"/>
        <w:autoSpaceDN w:val="0"/>
        <w:adjustRightInd w:val="0"/>
        <w:spacing w:line="480" w:lineRule="auto"/>
        <w:ind w:left="90"/>
      </w:pPr>
    </w:p>
    <w:p w14:paraId="771AE3BF" w14:textId="77777777" w:rsidR="00AE4B69" w:rsidRDefault="00AE4B69" w:rsidP="00C14F3A">
      <w:pPr>
        <w:autoSpaceDE w:val="0"/>
        <w:autoSpaceDN w:val="0"/>
        <w:adjustRightInd w:val="0"/>
        <w:spacing w:line="480" w:lineRule="auto"/>
        <w:ind w:left="90"/>
      </w:pPr>
    </w:p>
    <w:p w14:paraId="1AEF85F0" w14:textId="77777777" w:rsidR="00AE4B69" w:rsidRDefault="00AE4B69" w:rsidP="00C14F3A">
      <w:pPr>
        <w:autoSpaceDE w:val="0"/>
        <w:autoSpaceDN w:val="0"/>
        <w:adjustRightInd w:val="0"/>
        <w:spacing w:line="480" w:lineRule="auto"/>
        <w:ind w:left="90"/>
      </w:pPr>
    </w:p>
    <w:p w14:paraId="17F65DC2" w14:textId="77777777" w:rsidR="00AE4B69" w:rsidRDefault="00AE4B69" w:rsidP="00C14F3A">
      <w:pPr>
        <w:autoSpaceDE w:val="0"/>
        <w:autoSpaceDN w:val="0"/>
        <w:adjustRightInd w:val="0"/>
        <w:spacing w:line="480" w:lineRule="auto"/>
        <w:ind w:left="90"/>
      </w:pPr>
    </w:p>
    <w:p w14:paraId="058DC92F" w14:textId="77777777" w:rsidR="00AE4B69" w:rsidRDefault="00AE4B69" w:rsidP="00C14F3A">
      <w:pPr>
        <w:autoSpaceDE w:val="0"/>
        <w:autoSpaceDN w:val="0"/>
        <w:adjustRightInd w:val="0"/>
        <w:spacing w:line="480" w:lineRule="auto"/>
        <w:ind w:left="90"/>
      </w:pPr>
    </w:p>
    <w:p w14:paraId="0C819A13" w14:textId="77777777" w:rsidR="00AE4B69" w:rsidRDefault="00AE4B69" w:rsidP="00C14F3A">
      <w:pPr>
        <w:autoSpaceDE w:val="0"/>
        <w:autoSpaceDN w:val="0"/>
        <w:adjustRightInd w:val="0"/>
        <w:spacing w:line="480" w:lineRule="auto"/>
        <w:ind w:left="90"/>
      </w:pPr>
    </w:p>
    <w:p w14:paraId="1EB55AF0" w14:textId="25B23A8B" w:rsidR="00AE4B69" w:rsidRDefault="0055299E" w:rsidP="00C14F3A">
      <w:pPr>
        <w:autoSpaceDE w:val="0"/>
        <w:autoSpaceDN w:val="0"/>
        <w:adjustRightInd w:val="0"/>
        <w:spacing w:line="480" w:lineRule="auto"/>
        <w:ind w:left="90"/>
      </w:pPr>
      <w:r>
        <w:rPr>
          <w:noProof/>
        </w:rPr>
        <w:lastRenderedPageBreak/>
        <w:drawing>
          <wp:inline distT="0" distB="0" distL="0" distR="0" wp14:anchorId="4FCBCA00" wp14:editId="065CB6E8">
            <wp:extent cx="5943600" cy="1895475"/>
            <wp:effectExtent l="0" t="0" r="0" b="9525"/>
            <wp:docPr id="84583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FB5C3" w14:textId="6B0ECA2F" w:rsidR="00AE4B69" w:rsidRDefault="00AE4B69" w:rsidP="00D05396">
      <w:pPr>
        <w:spacing w:line="480" w:lineRule="auto"/>
      </w:pPr>
      <w:r>
        <w:rPr>
          <w:b/>
          <w:bCs/>
        </w:rPr>
        <w:t xml:space="preserve">Figure S3. </w:t>
      </w:r>
      <w:r>
        <w:t xml:space="preserve">The relationship between CDD and </w:t>
      </w:r>
      <w:r w:rsidRPr="00522B62">
        <w:rPr>
          <w:b/>
          <w:bCs/>
          <w:i/>
        </w:rPr>
        <w:t>R</w:t>
      </w:r>
      <w:r>
        <w:rPr>
          <w:i/>
        </w:rPr>
        <w:t xml:space="preserve"> </w:t>
      </w:r>
      <w:r>
        <w:t>(a), showing a mildly positive relationship. The historical and future CDD</w:t>
      </w:r>
      <m:oMath>
        <m:r>
          <w:rPr>
            <w:rFonts w:ascii="Cambria Math" w:hAnsi="Cambria Math"/>
          </w:rPr>
          <m:t xml:space="preserve"> </m:t>
        </m:r>
      </m:oMath>
      <w:r>
        <w:t>for the warm season are shown in (b). The historical observations (1948-2023) are</w:t>
      </w:r>
      <w:r>
        <w:rPr>
          <w:b/>
        </w:rPr>
        <w:t xml:space="preserve"> </w:t>
      </w:r>
      <w:r>
        <w:t>in green, and the resolution-adjusted simulations are shown on the right side of the dotted line.</w:t>
      </w:r>
    </w:p>
    <w:p w14:paraId="31772318" w14:textId="142CED75" w:rsidR="00C14F3A" w:rsidRDefault="00C14F3A" w:rsidP="00234E2F">
      <w:pPr>
        <w:autoSpaceDE w:val="0"/>
        <w:autoSpaceDN w:val="0"/>
        <w:adjustRightInd w:val="0"/>
        <w:spacing w:line="480" w:lineRule="auto"/>
        <w:ind w:left="90"/>
      </w:pPr>
    </w:p>
    <w:p w14:paraId="022910BB" w14:textId="762A9C49" w:rsidR="00C14F3A" w:rsidRDefault="00C14F3A">
      <w:pPr>
        <w:spacing w:after="160" w:line="278" w:lineRule="auto"/>
      </w:pPr>
      <w:r>
        <w:br w:type="page"/>
      </w:r>
    </w:p>
    <w:p w14:paraId="725329F6" w14:textId="5238697A" w:rsidR="00F247D2" w:rsidRDefault="00301D9C" w:rsidP="00C14F3A">
      <w:pPr>
        <w:autoSpaceDE w:val="0"/>
        <w:autoSpaceDN w:val="0"/>
        <w:adjustRightInd w:val="0"/>
        <w:spacing w:line="480" w:lineRule="auto"/>
      </w:pPr>
      <w:r>
        <w:rPr>
          <w:noProof/>
        </w:rPr>
        <w:lastRenderedPageBreak/>
        <w:drawing>
          <wp:inline distT="0" distB="0" distL="0" distR="0" wp14:anchorId="7D1E35FF" wp14:editId="12F534ED">
            <wp:extent cx="5758180" cy="4345940"/>
            <wp:effectExtent l="0" t="0" r="0" b="0"/>
            <wp:docPr id="1969231425" name="Picture 1" descr="A graph of different valu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31425" name="Picture 1" descr="A graph of different valu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434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5548B" w14:textId="77777777" w:rsidR="00F247D2" w:rsidRDefault="00F247D2" w:rsidP="00234E2F">
      <w:pPr>
        <w:autoSpaceDE w:val="0"/>
        <w:autoSpaceDN w:val="0"/>
        <w:adjustRightInd w:val="0"/>
        <w:spacing w:line="480" w:lineRule="auto"/>
        <w:ind w:left="90"/>
      </w:pPr>
    </w:p>
    <w:p w14:paraId="2045966D" w14:textId="421EC5D3" w:rsidR="00F247D2" w:rsidRDefault="00F247D2" w:rsidP="00E6084D">
      <w:pPr>
        <w:autoSpaceDE w:val="0"/>
        <w:autoSpaceDN w:val="0"/>
        <w:adjustRightInd w:val="0"/>
        <w:spacing w:line="480" w:lineRule="auto"/>
        <w:ind w:left="90"/>
      </w:pPr>
      <w:r>
        <w:rPr>
          <w:b/>
          <w:bCs/>
        </w:rPr>
        <w:t>Figure S</w:t>
      </w:r>
      <w:r w:rsidR="00AE4B69">
        <w:rPr>
          <w:b/>
          <w:bCs/>
        </w:rPr>
        <w:t>4</w:t>
      </w:r>
      <w:r>
        <w:rPr>
          <w:b/>
          <w:bCs/>
        </w:rPr>
        <w:t>.</w:t>
      </w:r>
      <w:r w:rsidR="002845B5">
        <w:rPr>
          <w:b/>
          <w:bCs/>
        </w:rPr>
        <w:t xml:space="preserve"> Comparison of</w:t>
      </w:r>
      <w:r w:rsidR="00C14F3A">
        <w:rPr>
          <w:b/>
          <w:bCs/>
        </w:rPr>
        <w:t xml:space="preserve"> the</w:t>
      </w:r>
      <w:r w:rsidR="002845B5">
        <w:rPr>
          <w:b/>
          <w:bCs/>
        </w:rPr>
        <w:t xml:space="preserve"> </w:t>
      </w:r>
      <w:r w:rsidR="00626FFB">
        <w:rPr>
          <w:b/>
          <w:bCs/>
        </w:rPr>
        <w:t>l</w:t>
      </w:r>
      <w:r w:rsidR="002845B5">
        <w:rPr>
          <w:b/>
          <w:bCs/>
        </w:rPr>
        <w:t>ocation</w:t>
      </w:r>
      <w:r w:rsidR="00626FFB">
        <w:rPr>
          <w:b/>
          <w:bCs/>
        </w:rPr>
        <w:t xml:space="preserve"> parameters (</w:t>
      </w:r>
      <w:proofErr w:type="gramStart"/>
      <w:r w:rsidR="00390168">
        <w:rPr>
          <w:b/>
          <w:bCs/>
        </w:rPr>
        <w:t>A,B</w:t>
      </w:r>
      <w:proofErr w:type="gramEnd"/>
      <w:r w:rsidR="00390168">
        <w:rPr>
          <w:b/>
          <w:bCs/>
        </w:rPr>
        <w:t xml:space="preserve">, </w:t>
      </w:r>
      <w:r w:rsidR="00626FFB">
        <w:rPr>
          <w:b/>
          <w:bCs/>
        </w:rPr>
        <w:t>top row)</w:t>
      </w:r>
      <w:r w:rsidR="002845B5">
        <w:rPr>
          <w:b/>
          <w:bCs/>
        </w:rPr>
        <w:t xml:space="preserve"> and </w:t>
      </w:r>
      <w:r w:rsidR="00626FFB">
        <w:rPr>
          <w:b/>
          <w:bCs/>
        </w:rPr>
        <w:t>s</w:t>
      </w:r>
      <w:r w:rsidR="002845B5">
        <w:rPr>
          <w:b/>
          <w:bCs/>
        </w:rPr>
        <w:t>cale parameters</w:t>
      </w:r>
      <w:r w:rsidR="00626FFB">
        <w:rPr>
          <w:b/>
          <w:bCs/>
        </w:rPr>
        <w:t xml:space="preserve"> (</w:t>
      </w:r>
      <w:r w:rsidR="00390168">
        <w:rPr>
          <w:b/>
          <w:bCs/>
        </w:rPr>
        <w:t xml:space="preserve">C, D, </w:t>
      </w:r>
      <w:r w:rsidR="00626FFB">
        <w:rPr>
          <w:b/>
          <w:bCs/>
        </w:rPr>
        <w:t>bottom row)</w:t>
      </w:r>
      <w:r w:rsidR="002845B5">
        <w:rPr>
          <w:b/>
          <w:bCs/>
        </w:rPr>
        <w:t xml:space="preserve"> fit </w:t>
      </w:r>
      <w:r w:rsidR="002845B5" w:rsidRPr="00BA0197">
        <w:rPr>
          <w:b/>
          <w:bCs/>
        </w:rPr>
        <w:t>to</w:t>
      </w:r>
      <w:r w:rsidR="00BA0197" w:rsidRPr="00BA0197">
        <w:rPr>
          <w:b/>
          <w:bCs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22222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22222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22222"/>
              </w:rPr>
              <m:t>avg</m:t>
            </m:r>
          </m:sub>
        </m:sSub>
      </m:oMath>
      <w:r w:rsidR="00BA0197" w:rsidRPr="00D05396">
        <w:rPr>
          <w:b/>
          <w:bCs/>
          <w:color w:val="222222"/>
        </w:rPr>
        <w:t xml:space="preserve"> and</w:t>
      </w:r>
      <w:r w:rsidR="002845B5">
        <w:rPr>
          <w:b/>
          <w:bCs/>
        </w:rPr>
        <w:t xml:space="preserve"> CDD for</w:t>
      </w:r>
      <w:r w:rsidR="006D05C0">
        <w:rPr>
          <w:b/>
          <w:bCs/>
        </w:rPr>
        <w:t xml:space="preserve"> </w:t>
      </w:r>
      <w:r w:rsidR="002845B5">
        <w:rPr>
          <w:b/>
          <w:bCs/>
        </w:rPr>
        <w:t>one climate model</w:t>
      </w:r>
      <w:r w:rsidR="00390168">
        <w:rPr>
          <w:b/>
          <w:bCs/>
        </w:rPr>
        <w:t>- GFDL-ESM4.1</w:t>
      </w:r>
      <w:r w:rsidR="002845B5">
        <w:rPr>
          <w:b/>
          <w:bCs/>
        </w:rPr>
        <w:t xml:space="preserve">. </w:t>
      </w:r>
      <w:r w:rsidR="00626FFB">
        <w:rPr>
          <w:b/>
          <w:bCs/>
        </w:rPr>
        <w:t>The left column shows future scenario SSP 126, and the right column shows scenario SSP 370</w:t>
      </w:r>
      <w:r w:rsidR="00390168">
        <w:rPr>
          <w:b/>
          <w:bCs/>
        </w:rPr>
        <w:t xml:space="preserve">. </w:t>
      </w:r>
      <w:r w:rsidR="00390168">
        <w:t>In</w:t>
      </w:r>
      <w:r w:rsidR="00390168">
        <w:rPr>
          <w:b/>
          <w:bCs/>
        </w:rPr>
        <w:t xml:space="preserve"> </w:t>
      </w:r>
      <w:r w:rsidR="006D05C0">
        <w:t>all subplot</w:t>
      </w:r>
      <w:r w:rsidR="00390168">
        <w:t>s</w:t>
      </w:r>
      <w:r w:rsidR="006D05C0">
        <w:t xml:space="preserve">, blue shows the parameters for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222222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222222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  <w:color w:val="222222"/>
              </w:rPr>
              <m:t>avg</m:t>
            </m:r>
          </m:sub>
        </m:sSub>
      </m:oMath>
      <w:r w:rsidR="006D05C0">
        <w:t xml:space="preserve"> and gold</w:t>
      </w:r>
      <w:r w:rsidR="00AF7DDE">
        <w:t xml:space="preserve"> shows the parameters for CDD</w:t>
      </w:r>
      <w:r w:rsidR="00E6084D">
        <w:t xml:space="preserve">. </w:t>
      </w:r>
      <w:r w:rsidR="00E6084D" w:rsidRPr="00497721">
        <w:t xml:space="preserve">The similarity in location and the divergence in scale between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222222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222222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  <w:color w:val="222222"/>
              </w:rPr>
              <m:t>avg</m:t>
            </m:r>
          </m:sub>
        </m:sSub>
      </m:oMath>
      <w:r w:rsidR="00BA0197">
        <w:rPr>
          <w:color w:val="222222"/>
        </w:rPr>
        <w:t xml:space="preserve"> and </w:t>
      </w:r>
      <w:proofErr w:type="gramStart"/>
      <w:r w:rsidR="00E6084D" w:rsidRPr="00497721">
        <w:t>CDD and</w:t>
      </w:r>
      <w:proofErr w:type="gramEnd"/>
      <w:r w:rsidR="00E6084D" w:rsidRPr="00497721">
        <w:t xml:space="preserve"> translates to the overall risk, since CDD will have a larger tail, and thus more extremes over 3.</w:t>
      </w:r>
      <w:r w:rsidR="00D05396">
        <w:t>47</w:t>
      </w:r>
      <w:r w:rsidR="00E6084D" w:rsidRPr="00497721">
        <w:t xml:space="preserve"> inches/hour.</w:t>
      </w:r>
      <w:r w:rsidR="00E6084D">
        <w:t xml:space="preserve"> </w:t>
      </w:r>
      <w:r w:rsidR="00390168">
        <w:t xml:space="preserve">The results for the other climate models are very similar. </w:t>
      </w:r>
      <w:r w:rsidR="00E6084D">
        <w:t>Note that during the historical period, prior to 2024, parameters are more similar.</w:t>
      </w:r>
    </w:p>
    <w:p w14:paraId="2B7A6E1B" w14:textId="103B991C" w:rsidR="00626FFB" w:rsidRDefault="00626FFB">
      <w:pPr>
        <w:spacing w:after="160" w:line="278" w:lineRule="auto"/>
      </w:pPr>
      <w:r>
        <w:br w:type="page"/>
      </w:r>
    </w:p>
    <w:p w14:paraId="0891E1BC" w14:textId="2F6F6878" w:rsidR="00626FFB" w:rsidRDefault="00EE4409" w:rsidP="00626FFB">
      <w:pPr>
        <w:autoSpaceDE w:val="0"/>
        <w:autoSpaceDN w:val="0"/>
        <w:adjustRightInd w:val="0"/>
        <w:spacing w:line="480" w:lineRule="auto"/>
        <w:rPr>
          <w:b/>
          <w:bCs/>
          <w:color w:val="222222"/>
          <w:highlight w:val="white"/>
        </w:rPr>
      </w:pPr>
      <w:r>
        <w:rPr>
          <w:b/>
          <w:bCs/>
          <w:noProof/>
          <w:color w:val="222222"/>
          <w:highlight w:val="white"/>
        </w:rPr>
        <w:lastRenderedPageBreak/>
        <w:drawing>
          <wp:inline distT="0" distB="0" distL="0" distR="0" wp14:anchorId="376E0271" wp14:editId="5D52978C">
            <wp:extent cx="6127809" cy="2372008"/>
            <wp:effectExtent l="0" t="0" r="6350" b="9525"/>
            <wp:docPr id="13416676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552" cy="237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8D9A39" w14:textId="58217B26" w:rsidR="00F247D2" w:rsidRDefault="00F247D2" w:rsidP="00626FFB">
      <w:pPr>
        <w:autoSpaceDE w:val="0"/>
        <w:autoSpaceDN w:val="0"/>
        <w:adjustRightInd w:val="0"/>
        <w:spacing w:line="480" w:lineRule="auto"/>
        <w:rPr>
          <w:color w:val="222222"/>
        </w:rPr>
      </w:pPr>
      <w:r>
        <w:rPr>
          <w:b/>
          <w:bCs/>
          <w:color w:val="222222"/>
          <w:highlight w:val="white"/>
        </w:rPr>
        <w:t>Figure S</w:t>
      </w:r>
      <w:r w:rsidR="00AE4B69">
        <w:rPr>
          <w:b/>
          <w:bCs/>
          <w:color w:val="222222"/>
          <w:highlight w:val="white"/>
        </w:rPr>
        <w:t>5</w:t>
      </w:r>
      <w:r>
        <w:rPr>
          <w:b/>
          <w:bCs/>
          <w:color w:val="222222"/>
          <w:highlight w:val="white"/>
        </w:rPr>
        <w:t>.</w:t>
      </w:r>
      <w:r w:rsidR="002845B5">
        <w:rPr>
          <w:b/>
          <w:bCs/>
          <w:color w:val="222222"/>
        </w:rPr>
        <w:t xml:space="preserve"> Standardized Anomalies for unitless comparison of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  <w:i/>
                <w:color w:val="222222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22222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22222"/>
              </w:rPr>
              <m:t>avg</m:t>
            </m:r>
          </m:sub>
        </m:sSub>
      </m:oMath>
      <w:r w:rsidR="00BA0197" w:rsidRPr="00D05396">
        <w:rPr>
          <w:b/>
          <w:bCs/>
          <w:color w:val="222222"/>
        </w:rPr>
        <w:t xml:space="preserve"> and</w:t>
      </w:r>
      <w:r w:rsidR="00BA0197">
        <w:rPr>
          <w:color w:val="222222"/>
        </w:rPr>
        <w:t xml:space="preserve"> </w:t>
      </w:r>
      <w:r w:rsidR="002845B5">
        <w:rPr>
          <w:b/>
          <w:bCs/>
          <w:color w:val="222222"/>
        </w:rPr>
        <w:t>CDD datasets.</w:t>
      </w:r>
      <w:r w:rsidR="00390168">
        <w:rPr>
          <w:b/>
          <w:bCs/>
          <w:color w:val="222222"/>
        </w:rPr>
        <w:t xml:space="preserve"> </w:t>
      </w:r>
      <w:r w:rsidR="00390168">
        <w:rPr>
          <w:color w:val="222222"/>
        </w:rPr>
        <w:t xml:space="preserve">Panel A shows the annual data from the GFDL-ESM4.1 SSP 370 projection that is used to run the non-stationary models M2 and M3. </w:t>
      </w:r>
      <w:r w:rsidR="008F7724">
        <w:rPr>
          <w:color w:val="222222"/>
        </w:rPr>
        <w:t xml:space="preserve">The smoothed values in (B) have a rolling window of 30. </w:t>
      </w:r>
      <w:r w:rsidR="002845B5">
        <w:rPr>
          <w:color w:val="222222"/>
        </w:rPr>
        <w:t>Although the correlation between historical observations was very similar between</w:t>
      </w:r>
      <w:r w:rsidR="00BA0197">
        <w:rPr>
          <w:color w:val="222222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222222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222222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  <w:color w:val="222222"/>
              </w:rPr>
              <m:t>avg</m:t>
            </m:r>
          </m:sub>
        </m:sSub>
      </m:oMath>
      <w:r w:rsidR="002845B5">
        <w:rPr>
          <w:color w:val="222222"/>
        </w:rPr>
        <w:t xml:space="preserve"> </w:t>
      </w:r>
      <w:r w:rsidR="00BA0197">
        <w:rPr>
          <w:color w:val="222222"/>
        </w:rPr>
        <w:t xml:space="preserve">and </w:t>
      </w:r>
      <w:r w:rsidR="002845B5">
        <w:rPr>
          <w:color w:val="222222"/>
        </w:rPr>
        <w:t xml:space="preserve">CDD, the standardized anomaly highlights the </w:t>
      </w:r>
      <w:r w:rsidR="00D05396">
        <w:rPr>
          <w:color w:val="222222"/>
        </w:rPr>
        <w:t>slight</w:t>
      </w:r>
      <w:r w:rsidR="002845B5">
        <w:rPr>
          <w:color w:val="222222"/>
        </w:rPr>
        <w:t xml:space="preserve"> differences between the datasets</w:t>
      </w:r>
      <w:r w:rsidR="00D05396">
        <w:rPr>
          <w:color w:val="222222"/>
        </w:rPr>
        <w:t>, especially in the far future,</w:t>
      </w:r>
      <w:r w:rsidR="002845B5">
        <w:rPr>
          <w:color w:val="222222"/>
        </w:rPr>
        <w:t xml:space="preserve"> and how they diverge in projections. The </w:t>
      </w:r>
      <w:r w:rsidR="00390168">
        <w:rPr>
          <w:color w:val="222222"/>
        </w:rPr>
        <w:t xml:space="preserve">rolling </w:t>
      </w:r>
      <w:r w:rsidR="002845B5">
        <w:rPr>
          <w:color w:val="222222"/>
        </w:rPr>
        <w:t>mean value and standard deviations also diverge in the future projections, which</w:t>
      </w:r>
      <w:r w:rsidR="00390168">
        <w:rPr>
          <w:color w:val="222222"/>
        </w:rPr>
        <w:t xml:space="preserve"> is connected to the</w:t>
      </w:r>
      <w:r w:rsidR="002845B5">
        <w:rPr>
          <w:color w:val="222222"/>
        </w:rPr>
        <w:t xml:space="preserve"> changing location and scale parameter</w:t>
      </w:r>
      <w:r w:rsidR="000F3C89">
        <w:rPr>
          <w:color w:val="222222"/>
        </w:rPr>
        <w:t>s seen above in S</w:t>
      </w:r>
      <w:r w:rsidR="00CC6595">
        <w:rPr>
          <w:color w:val="222222"/>
        </w:rPr>
        <w:t>3</w:t>
      </w:r>
      <w:r w:rsidR="000F3C89">
        <w:rPr>
          <w:color w:val="222222"/>
        </w:rPr>
        <w:t xml:space="preserve">. </w:t>
      </w:r>
    </w:p>
    <w:p w14:paraId="089436D9" w14:textId="77777777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76833149" w14:textId="77777777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60F1E681" w14:textId="77777777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5C46749D" w14:textId="77777777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6CD5D333" w14:textId="77777777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2C70723D" w14:textId="77777777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4F825F53" w14:textId="77777777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1BA3D737" w14:textId="77777777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75F95EFA" w14:textId="445070AA" w:rsidR="00CC6595" w:rsidRDefault="00091813" w:rsidP="00234E2F">
      <w:pPr>
        <w:autoSpaceDE w:val="0"/>
        <w:autoSpaceDN w:val="0"/>
        <w:adjustRightInd w:val="0"/>
        <w:spacing w:line="480" w:lineRule="auto"/>
        <w:ind w:left="90"/>
      </w:pPr>
      <w:r>
        <w:rPr>
          <w:noProof/>
        </w:rPr>
        <w:lastRenderedPageBreak/>
        <w:drawing>
          <wp:inline distT="0" distB="0" distL="0" distR="0" wp14:anchorId="0C895927" wp14:editId="0DE97BEB">
            <wp:extent cx="5943600" cy="2948305"/>
            <wp:effectExtent l="0" t="0" r="0" b="4445"/>
            <wp:docPr id="159108965" name="Picture 3" descr="A graph showing a number of colum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08965" name="Picture 3" descr="A graph showing a number of column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E1044" w14:textId="095EFB46" w:rsidR="00CC6595" w:rsidRP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  <w:r>
        <w:rPr>
          <w:b/>
          <w:bCs/>
          <w:color w:val="222222"/>
          <w:highlight w:val="white"/>
        </w:rPr>
        <w:t>Figure S</w:t>
      </w:r>
      <w:r w:rsidR="00AE4B69">
        <w:rPr>
          <w:b/>
          <w:bCs/>
          <w:color w:val="222222"/>
        </w:rPr>
        <w:t>6</w:t>
      </w:r>
      <w:r>
        <w:rPr>
          <w:b/>
          <w:bCs/>
          <w:color w:val="222222"/>
        </w:rPr>
        <w:t xml:space="preserve">. </w:t>
      </w:r>
      <w:r>
        <w:rPr>
          <w:color w:val="222222"/>
        </w:rPr>
        <w:t>Boxplot showing the distribution of 1000 simulations</w:t>
      </w:r>
      <w:r w:rsidR="00390168">
        <w:rPr>
          <w:color w:val="222222"/>
        </w:rPr>
        <w:t xml:space="preserve"> per year</w:t>
      </w:r>
      <w:r>
        <w:rPr>
          <w:color w:val="222222"/>
        </w:rPr>
        <w:t xml:space="preserve"> of expected warm season annual maximum hourly precipitation</w:t>
      </w:r>
      <w:r w:rsidR="00577144">
        <w:rPr>
          <w:color w:val="222222"/>
        </w:rPr>
        <w:t xml:space="preserve"> </w:t>
      </w:r>
      <w:r w:rsidR="00577144" w:rsidRPr="00577144">
        <w:rPr>
          <w:color w:val="222222"/>
        </w:rPr>
        <w:t>conditioned on the two climate covariates</w:t>
      </w:r>
      <w:r>
        <w:rPr>
          <w:color w:val="222222"/>
        </w:rPr>
        <w:t>. The scenario</w:t>
      </w:r>
      <w:r w:rsidR="00390168">
        <w:rPr>
          <w:color w:val="222222"/>
        </w:rPr>
        <w:t xml:space="preserve"> from which the model parameters are </w:t>
      </w:r>
      <w:proofErr w:type="gramStart"/>
      <w:r w:rsidR="00390168">
        <w:rPr>
          <w:color w:val="222222"/>
        </w:rPr>
        <w:t>calculated from</w:t>
      </w:r>
      <w:proofErr w:type="gramEnd"/>
      <w:r>
        <w:rPr>
          <w:color w:val="222222"/>
        </w:rPr>
        <w:t xml:space="preserve"> is SSP 370 from the GFDL ES4.1 climate model and shows how CDD as a covariate predicts a heavier tail than</w:t>
      </w:r>
      <w:r w:rsidR="00577144">
        <w:rPr>
          <w:color w:val="222222"/>
        </w:rPr>
        <w:t xml:space="preserve"> average</w:t>
      </w:r>
      <w:r>
        <w:rPr>
          <w:color w:val="222222"/>
        </w:rPr>
        <w:t xml:space="preserve"> temperature, especially in values over 3.</w:t>
      </w:r>
      <w:r w:rsidR="00577144">
        <w:rPr>
          <w:color w:val="222222"/>
        </w:rPr>
        <w:t>47</w:t>
      </w:r>
      <w:r>
        <w:rPr>
          <w:color w:val="222222"/>
        </w:rPr>
        <w:t xml:space="preserve"> inches per hour (the Ida baseline) decades in the future.  </w:t>
      </w:r>
    </w:p>
    <w:p w14:paraId="5533AB83" w14:textId="77777777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5EC78703" w14:textId="77777777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30A990B5" w14:textId="77777777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68F6C924" w14:textId="77777777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666434E2" w14:textId="4AC8F23E" w:rsidR="00CC659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1D1681C9" w14:textId="77777777" w:rsidR="00CC6595" w:rsidRPr="002845B5" w:rsidRDefault="00CC6595" w:rsidP="00234E2F">
      <w:pPr>
        <w:autoSpaceDE w:val="0"/>
        <w:autoSpaceDN w:val="0"/>
        <w:adjustRightInd w:val="0"/>
        <w:spacing w:line="480" w:lineRule="auto"/>
        <w:ind w:left="90"/>
      </w:pPr>
    </w:p>
    <w:p w14:paraId="4717B92D" w14:textId="77777777" w:rsidR="00F247D2" w:rsidRPr="00234E2F" w:rsidRDefault="00F247D2" w:rsidP="00234E2F">
      <w:pPr>
        <w:autoSpaceDE w:val="0"/>
        <w:autoSpaceDN w:val="0"/>
        <w:adjustRightInd w:val="0"/>
        <w:spacing w:line="480" w:lineRule="auto"/>
        <w:ind w:left="90"/>
      </w:pPr>
    </w:p>
    <w:p w14:paraId="06C2B323" w14:textId="4B6C6BE6" w:rsidR="008A4B16" w:rsidRDefault="008A4B16" w:rsidP="00236D33">
      <w:pPr>
        <w:autoSpaceDE w:val="0"/>
        <w:autoSpaceDN w:val="0"/>
        <w:adjustRightInd w:val="0"/>
        <w:spacing w:line="480" w:lineRule="auto"/>
        <w:ind w:left="90"/>
        <w:jc w:val="center"/>
      </w:pPr>
    </w:p>
    <w:p w14:paraId="463D6985" w14:textId="77777777" w:rsidR="008A4B16" w:rsidRDefault="008A4B16" w:rsidP="008A623D">
      <w:pPr>
        <w:spacing w:line="480" w:lineRule="auto"/>
        <w:ind w:left="90"/>
        <w:rPr>
          <w:color w:val="222222"/>
          <w:highlight w:val="white"/>
        </w:rPr>
      </w:pPr>
      <w:r>
        <w:rPr>
          <w:noProof/>
          <w:color w:val="222222"/>
        </w:rPr>
        <w:lastRenderedPageBreak/>
        <w:drawing>
          <wp:inline distT="0" distB="0" distL="0" distR="0" wp14:anchorId="3295AA7C" wp14:editId="32BA2280">
            <wp:extent cx="5137315" cy="5993535"/>
            <wp:effectExtent l="0" t="0" r="6350" b="0"/>
            <wp:docPr id="200956848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568483" name="Picture 1" descr="A screenshot of a compu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315" cy="599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5F7A5" w14:textId="7C92E3C8" w:rsidR="008A4B16" w:rsidRDefault="008A4B16" w:rsidP="008A623D">
      <w:pPr>
        <w:spacing w:line="480" w:lineRule="auto"/>
        <w:ind w:left="90"/>
        <w:rPr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Figure </w:t>
      </w:r>
      <w:r w:rsidR="001A5591">
        <w:rPr>
          <w:b/>
          <w:bCs/>
          <w:color w:val="222222"/>
          <w:highlight w:val="white"/>
        </w:rPr>
        <w:t>S</w:t>
      </w:r>
      <w:r w:rsidR="00AE4B69">
        <w:rPr>
          <w:b/>
          <w:bCs/>
          <w:color w:val="222222"/>
          <w:highlight w:val="white"/>
        </w:rPr>
        <w:t>7</w:t>
      </w:r>
      <w:r>
        <w:rPr>
          <w:b/>
          <w:bCs/>
          <w:color w:val="222222"/>
          <w:highlight w:val="white"/>
        </w:rPr>
        <w:t xml:space="preserve">. </w:t>
      </w:r>
      <w:r>
        <w:rPr>
          <w:color w:val="222222"/>
          <w:highlight w:val="white"/>
        </w:rPr>
        <w:t xml:space="preserve">Outcome tree illustrating the compounded risk </w:t>
      </w:r>
      <w:r w:rsidR="00233122">
        <w:rPr>
          <w:color w:val="222222"/>
          <w:highlight w:val="white"/>
        </w:rPr>
        <w:t xml:space="preserve">of an Ida-like event </w:t>
      </w:r>
      <w:r>
        <w:rPr>
          <w:color w:val="222222"/>
          <w:highlight w:val="white"/>
        </w:rPr>
        <w:t xml:space="preserve">over </w:t>
      </w:r>
      <w:r w:rsidR="00233122">
        <w:rPr>
          <w:color w:val="222222"/>
          <w:highlight w:val="white"/>
        </w:rPr>
        <w:t xml:space="preserve">three </w:t>
      </w:r>
      <w:r>
        <w:rPr>
          <w:color w:val="222222"/>
          <w:highlight w:val="white"/>
        </w:rPr>
        <w:t>years with different probabilities</w:t>
      </w:r>
      <w:r w:rsidR="00233122">
        <w:rPr>
          <w:color w:val="222222"/>
          <w:highlight w:val="white"/>
        </w:rPr>
        <w:t xml:space="preserve"> of the event</w:t>
      </w:r>
      <w:r>
        <w:rPr>
          <w:color w:val="222222"/>
          <w:highlight w:val="white"/>
        </w:rPr>
        <w:t xml:space="preserve">. </w:t>
      </w:r>
    </w:p>
    <w:p w14:paraId="3D444FE6" w14:textId="77777777" w:rsidR="00897A35" w:rsidRDefault="00897A35" w:rsidP="008A623D">
      <w:pPr>
        <w:spacing w:line="480" w:lineRule="auto"/>
        <w:ind w:left="90"/>
        <w:rPr>
          <w:color w:val="222222"/>
          <w:highlight w:val="white"/>
        </w:rPr>
      </w:pPr>
    </w:p>
    <w:p w14:paraId="37F137CA" w14:textId="77777777" w:rsidR="00897A35" w:rsidRDefault="00897A35" w:rsidP="008A623D">
      <w:pPr>
        <w:spacing w:line="480" w:lineRule="auto"/>
        <w:ind w:left="90"/>
        <w:rPr>
          <w:color w:val="222222"/>
          <w:highlight w:val="white"/>
        </w:rPr>
      </w:pPr>
    </w:p>
    <w:p w14:paraId="05578264" w14:textId="77777777" w:rsidR="00897A35" w:rsidRDefault="00897A35" w:rsidP="008A623D">
      <w:pPr>
        <w:spacing w:line="480" w:lineRule="auto"/>
        <w:ind w:left="90"/>
        <w:rPr>
          <w:color w:val="222222"/>
          <w:highlight w:val="white"/>
        </w:rPr>
      </w:pPr>
    </w:p>
    <w:p w14:paraId="30C9120D" w14:textId="77777777" w:rsidR="00897A35" w:rsidRDefault="00897A35" w:rsidP="008A623D">
      <w:pPr>
        <w:spacing w:line="480" w:lineRule="auto"/>
        <w:ind w:left="90"/>
        <w:rPr>
          <w:color w:val="222222"/>
          <w:highlight w:val="white"/>
        </w:rPr>
      </w:pPr>
    </w:p>
    <w:p w14:paraId="6831A6FC" w14:textId="0ACE777A" w:rsidR="00577144" w:rsidRPr="00577144" w:rsidRDefault="00577144" w:rsidP="00577144">
      <w:pPr>
        <w:spacing w:line="480" w:lineRule="auto"/>
        <w:ind w:left="90"/>
        <w:rPr>
          <w:color w:val="222222"/>
          <w:highlight w:val="white"/>
        </w:rPr>
      </w:pPr>
      <w:r>
        <w:rPr>
          <w:b/>
          <w:bCs/>
          <w:color w:val="222222"/>
          <w:highlight w:val="white"/>
        </w:rPr>
        <w:lastRenderedPageBreak/>
        <w:t xml:space="preserve">Table T1. Model Coefficients for the non-stationary Gumbel distribution location and scale parameters conditioned on the two climate covariates. </w:t>
      </w:r>
      <w:r>
        <w:rPr>
          <w:color w:val="222222"/>
          <w:highlight w:val="white"/>
        </w:rPr>
        <w:t xml:space="preserve">To enable comparison in the time varying location and scale </w:t>
      </w:r>
      <w:r w:rsidRPr="00763305">
        <w:rPr>
          <w:color w:val="222222"/>
          <w:highlight w:val="white"/>
        </w:rPr>
        <w:t xml:space="preserve">equations </w:t>
      </w:r>
      <w:r w:rsidRPr="00577144">
        <w:rPr>
          <w:color w:val="222222"/>
          <w:highlight w:val="white"/>
        </w:rPr>
        <w:t>(</w:t>
      </w:r>
      <w:proofErr w:type="spellStart"/>
      <w:r w:rsidRPr="00577144">
        <w:rPr>
          <w:color w:val="222222"/>
          <w:highlight w:val="white"/>
        </w:rPr>
        <w:t>Eqs</w:t>
      </w:r>
      <w:proofErr w:type="spellEnd"/>
      <w:r w:rsidRPr="00577144">
        <w:rPr>
          <w:color w:val="222222"/>
          <w:highlight w:val="white"/>
        </w:rPr>
        <w:t xml:space="preserve">. </w:t>
      </w:r>
      <w:r>
        <w:rPr>
          <w:color w:val="222222"/>
          <w:highlight w:val="white"/>
        </w:rPr>
        <w:t>9</w:t>
      </w:r>
      <w:r w:rsidRPr="00577144">
        <w:rPr>
          <w:color w:val="222222"/>
          <w:highlight w:val="white"/>
        </w:rPr>
        <w:t xml:space="preserve"> and </w:t>
      </w:r>
      <w:r>
        <w:rPr>
          <w:color w:val="222222"/>
          <w:highlight w:val="white"/>
        </w:rPr>
        <w:t>10</w:t>
      </w:r>
      <w:r w:rsidRPr="00577144">
        <w:rPr>
          <w:color w:val="222222"/>
          <w:highlight w:val="white"/>
        </w:rPr>
        <w:t>)</w:t>
      </w:r>
      <w:r w:rsidRPr="00763305">
        <w:rPr>
          <w:color w:val="222222"/>
          <w:highlight w:val="white"/>
        </w:rPr>
        <w:t>,</w:t>
      </w:r>
      <w:r>
        <w:rPr>
          <w:color w:val="222222"/>
          <w:highlight w:val="white"/>
        </w:rPr>
        <w:t xml:space="preserve"> the standardized anomalies from the historical period shown in S4 were used to calculate these parameters</w:t>
      </w:r>
      <w:r w:rsidRPr="00577144">
        <w:rPr>
          <w:color w:val="222222"/>
        </w:rPr>
        <w:t xml:space="preserve"> using the GFDL ESM4.1 SSP 370 scenario as an example</w:t>
      </w:r>
      <w:r>
        <w:rPr>
          <w:color w:val="222222"/>
          <w:highlight w:val="white"/>
        </w:rPr>
        <w:t>. The intercepts (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222222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222222"/>
              </w:rPr>
              <m:t>a</m:t>
            </m:r>
          </m:e>
          <m:sub>
            <m:sSub>
              <m:sSubPr>
                <m:ctrlPr>
                  <w:rPr>
                    <w:rFonts w:ascii="Cambria Math" w:eastAsia="Cambria Math" w:hAnsi="Cambria Math" w:cs="Cambria Math"/>
                    <w:i/>
                    <w:color w:val="222222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222222"/>
                    <w:highlight w:val="white"/>
                  </w:rPr>
                  <m:t>u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222222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color w:val="222222"/>
          </w:rPr>
          <m:t>;</m:t>
        </m:r>
        <m:sSub>
          <m:sSubPr>
            <m:ctrlPr>
              <w:rPr>
                <w:rFonts w:ascii="Cambria Math" w:eastAsia="Cambria Math" w:hAnsi="Cambria Math" w:cs="Cambria Math"/>
                <w:i/>
                <w:color w:val="222222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222222"/>
              </w:rPr>
              <m:t>a</m:t>
            </m:r>
          </m:e>
          <m:sub>
            <m:sSub>
              <m:sSubPr>
                <m:ctrlPr>
                  <w:rPr>
                    <w:rFonts w:ascii="Cambria Math" w:eastAsia="Cambria Math" w:hAnsi="Cambria Math" w:cs="Cambria Math"/>
                    <w:i/>
                    <w:color w:val="222222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222222"/>
                    <w:highlight w:val="white"/>
                  </w:rPr>
                  <m:t>u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222222"/>
                  </w:rPr>
                  <m:t>3</m:t>
                </m:r>
              </m:sub>
            </m:sSub>
          </m:sub>
        </m:sSub>
        <m:r>
          <w:rPr>
            <w:rFonts w:ascii="Cambria Math" w:eastAsia="Cambria Math" w:hAnsi="Cambria Math" w:cs="Cambria Math"/>
            <w:color w:val="222222"/>
          </w:rPr>
          <m:t xml:space="preserve"> and </m:t>
        </m:r>
        <m:sSub>
          <m:sSubPr>
            <m:ctrlPr>
              <w:rPr>
                <w:rFonts w:ascii="Cambria Math" w:eastAsia="Cambria Math" w:hAnsi="Cambria Math" w:cs="Cambria Math"/>
                <w:i/>
                <w:color w:val="222222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222222"/>
              </w:rPr>
              <m:t>a</m:t>
            </m:r>
          </m:e>
          <m:sub>
            <m:sSub>
              <m:sSubPr>
                <m:ctrlPr>
                  <w:rPr>
                    <w:rFonts w:ascii="Cambria Math" w:eastAsia="Cambria Math" w:hAnsi="Cambria Math" w:cs="Cambria Math"/>
                    <w:i/>
                    <w:color w:val="222222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222222"/>
                  </w:rPr>
                  <m:t>2</m:t>
                </m:r>
              </m:sub>
            </m:sSub>
          </m:sub>
        </m:sSub>
        <m:r>
          <w:rPr>
            <w:rFonts w:ascii="Cambria Math" w:eastAsia="Cambria Math" w:hAnsi="Cambria Math" w:cs="Cambria Math"/>
            <w:color w:val="222222"/>
          </w:rPr>
          <m:t>;</m:t>
        </m:r>
        <m:sSub>
          <m:sSubPr>
            <m:ctrlPr>
              <w:rPr>
                <w:rFonts w:ascii="Cambria Math" w:eastAsia="Cambria Math" w:hAnsi="Cambria Math" w:cs="Cambria Math"/>
                <w:i/>
                <w:color w:val="222222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222222"/>
              </w:rPr>
              <m:t>a</m:t>
            </m:r>
          </m:e>
          <m:sub>
            <m:sSub>
              <m:sSubPr>
                <m:ctrlPr>
                  <w:rPr>
                    <w:rFonts w:ascii="Cambria Math" w:eastAsia="Cambria Math" w:hAnsi="Cambria Math" w:cs="Cambria Math"/>
                    <w:i/>
                    <w:color w:val="222222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222222"/>
                  </w:rPr>
                  <m:t>3</m:t>
                </m:r>
              </m:sub>
            </m:sSub>
          </m:sub>
        </m:sSub>
      </m:oMath>
      <w:r>
        <w:rPr>
          <w:color w:val="222222"/>
          <w:highlight w:val="white"/>
        </w:rPr>
        <w:t>) are similar but the slopes (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222222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222222"/>
              </w:rPr>
              <m:t>b</m:t>
            </m:r>
          </m:e>
          <m:sub>
            <m:sSub>
              <m:sSubPr>
                <m:ctrlPr>
                  <w:rPr>
                    <w:rFonts w:ascii="Cambria Math" w:eastAsia="Cambria Math" w:hAnsi="Cambria Math" w:cs="Cambria Math"/>
                    <w:i/>
                    <w:color w:val="222222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222222"/>
                    <w:highlight w:val="white"/>
                  </w:rPr>
                  <m:t>u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222222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color w:val="222222"/>
          </w:rPr>
          <m:t>;</m:t>
        </m:r>
        <m:sSub>
          <m:sSubPr>
            <m:ctrlPr>
              <w:rPr>
                <w:rFonts w:ascii="Cambria Math" w:eastAsia="Cambria Math" w:hAnsi="Cambria Math" w:cs="Cambria Math"/>
                <w:i/>
                <w:color w:val="222222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222222"/>
              </w:rPr>
              <m:t>b</m:t>
            </m:r>
          </m:e>
          <m:sub>
            <m:sSub>
              <m:sSubPr>
                <m:ctrlPr>
                  <w:rPr>
                    <w:rFonts w:ascii="Cambria Math" w:eastAsia="Cambria Math" w:hAnsi="Cambria Math" w:cs="Cambria Math"/>
                    <w:i/>
                    <w:color w:val="222222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222222"/>
                    <w:highlight w:val="white"/>
                  </w:rPr>
                  <m:t>u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222222"/>
                  </w:rPr>
                  <m:t>3</m:t>
                </m:r>
              </m:sub>
            </m:sSub>
          </m:sub>
        </m:sSub>
        <m:r>
          <w:rPr>
            <w:rFonts w:ascii="Cambria Math" w:eastAsia="Cambria Math" w:hAnsi="Cambria Math" w:cs="Cambria Math"/>
            <w:color w:val="222222"/>
          </w:rPr>
          <m:t xml:space="preserve"> and </m:t>
        </m:r>
        <m:sSub>
          <m:sSubPr>
            <m:ctrlPr>
              <w:rPr>
                <w:rFonts w:ascii="Cambria Math" w:eastAsia="Cambria Math" w:hAnsi="Cambria Math" w:cs="Cambria Math"/>
                <w:i/>
                <w:color w:val="222222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222222"/>
              </w:rPr>
              <m:t>b</m:t>
            </m:r>
          </m:e>
          <m:sub>
            <m:sSub>
              <m:sSubPr>
                <m:ctrlPr>
                  <w:rPr>
                    <w:rFonts w:ascii="Cambria Math" w:eastAsia="Cambria Math" w:hAnsi="Cambria Math" w:cs="Cambria Math"/>
                    <w:i/>
                    <w:color w:val="222222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222222"/>
                  </w:rPr>
                  <m:t>2</m:t>
                </m:r>
              </m:sub>
            </m:sSub>
          </m:sub>
        </m:sSub>
        <m:r>
          <w:rPr>
            <w:rFonts w:ascii="Cambria Math" w:eastAsia="Cambria Math" w:hAnsi="Cambria Math" w:cs="Cambria Math"/>
            <w:color w:val="222222"/>
          </w:rPr>
          <m:t>;</m:t>
        </m:r>
        <m:sSub>
          <m:sSubPr>
            <m:ctrlPr>
              <w:rPr>
                <w:rFonts w:ascii="Cambria Math" w:eastAsia="Cambria Math" w:hAnsi="Cambria Math" w:cs="Cambria Math"/>
                <w:i/>
                <w:color w:val="222222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222222"/>
              </w:rPr>
              <m:t>b</m:t>
            </m:r>
          </m:e>
          <m:sub>
            <m:sSub>
              <m:sSubPr>
                <m:ctrlPr>
                  <w:rPr>
                    <w:rFonts w:ascii="Cambria Math" w:eastAsia="Cambria Math" w:hAnsi="Cambria Math" w:cs="Cambria Math"/>
                    <w:i/>
                    <w:color w:val="222222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222222"/>
                  </w:rPr>
                  <m:t>3</m:t>
                </m:r>
              </m:sub>
            </m:sSub>
          </m:sub>
        </m:sSub>
      </m:oMath>
      <w:r>
        <w:rPr>
          <w:color w:val="222222"/>
          <w:highlight w:val="white"/>
        </w:rPr>
        <w:t xml:space="preserve">) are different, which partially explains the time deviations in the location and scale parameters and is consistent with the behavior seen in S3. </w:t>
      </w:r>
    </w:p>
    <w:p w14:paraId="53E010B3" w14:textId="77777777" w:rsidR="00577144" w:rsidRPr="00577144" w:rsidRDefault="00577144" w:rsidP="00577144">
      <w:pPr>
        <w:spacing w:line="480" w:lineRule="auto"/>
        <w:ind w:left="90"/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91"/>
        <w:gridCol w:w="2027"/>
        <w:gridCol w:w="2072"/>
        <w:gridCol w:w="2015"/>
        <w:gridCol w:w="2060"/>
      </w:tblGrid>
      <w:tr w:rsidR="00577144" w:rsidRPr="00577144" w14:paraId="5D7D3AF5" w14:textId="77777777" w:rsidTr="0095437A">
        <w:trPr>
          <w:trHeight w:val="586"/>
          <w:jc w:val="center"/>
        </w:trPr>
        <w:tc>
          <w:tcPr>
            <w:tcW w:w="9265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E7C25" w14:textId="77777777" w:rsidR="00577144" w:rsidRPr="00577144" w:rsidRDefault="00577144" w:rsidP="0095437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</w:rPr>
            </w:pPr>
            <w:r w:rsidRPr="00577144">
              <w:rPr>
                <w:b/>
                <w:bCs/>
                <w:kern w:val="24"/>
              </w:rPr>
              <w:t>Parameters From Standardized Anomaly Timeseries of Covariates</w:t>
            </w:r>
          </w:p>
        </w:tc>
      </w:tr>
      <w:tr w:rsidR="00577144" w:rsidRPr="00577144" w14:paraId="5007D22F" w14:textId="77777777" w:rsidTr="0095437A">
        <w:trPr>
          <w:trHeight w:val="857"/>
          <w:jc w:val="center"/>
        </w:trPr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BA697" w14:textId="77777777" w:rsidR="00577144" w:rsidRPr="00577144" w:rsidRDefault="00577144" w:rsidP="0095437A">
            <w:pPr>
              <w:jc w:val="center"/>
              <w:rPr>
                <w:b/>
                <w:bCs/>
              </w:rPr>
            </w:pPr>
          </w:p>
        </w:tc>
        <w:tc>
          <w:tcPr>
            <w:tcW w:w="2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2C3AC" w14:textId="77777777" w:rsidR="00577144" w:rsidRPr="00577144" w:rsidRDefault="00000000" w:rsidP="0095437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 xml:space="preserve">based on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avg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)</m:t>
                </m:r>
              </m:oMath>
            </m:oMathPara>
          </w:p>
        </w:tc>
        <w:tc>
          <w:tcPr>
            <w:tcW w:w="20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98F01" w14:textId="77777777" w:rsidR="00577144" w:rsidRPr="00577144" w:rsidRDefault="00000000" w:rsidP="0095437A">
            <w:pPr>
              <w:pStyle w:val="NormalWeb"/>
              <w:spacing w:before="0" w:beforeAutospacing="0" w:after="0" w:afterAutospacing="0"/>
              <w:ind w:left="-583"/>
              <w:jc w:val="center"/>
              <w:textAlignment w:val="bottom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3</m:t>
                        </m:r>
                      </m:sub>
                    </m:sSub>
                  </m:sub>
                </m:sSub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based on CDD)</m:t>
                </m:r>
              </m:oMath>
            </m:oMathPara>
          </w:p>
        </w:tc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FD409" w14:textId="77777777" w:rsidR="00577144" w:rsidRPr="00577144" w:rsidRDefault="00000000" w:rsidP="0095437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 xml:space="preserve">based on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avg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)</m:t>
                </m:r>
              </m:oMath>
            </m:oMathPara>
          </w:p>
        </w:tc>
        <w:tc>
          <w:tcPr>
            <w:tcW w:w="20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6195D" w14:textId="77777777" w:rsidR="00577144" w:rsidRPr="00577144" w:rsidRDefault="00000000" w:rsidP="0095437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3</m:t>
                        </m:r>
                      </m:sub>
                    </m:sSub>
                  </m:sub>
                </m:sSub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based on CDD)</m:t>
                </m:r>
              </m:oMath>
            </m:oMathPara>
          </w:p>
        </w:tc>
      </w:tr>
      <w:tr w:rsidR="00577144" w:rsidRPr="00577144" w14:paraId="3B252C3B" w14:textId="77777777" w:rsidTr="0095437A">
        <w:trPr>
          <w:trHeight w:val="1361"/>
          <w:jc w:val="center"/>
        </w:trPr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74744" w14:textId="77777777" w:rsidR="00577144" w:rsidRPr="00577144" w:rsidRDefault="00577144" w:rsidP="0095437A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577144">
              <w:rPr>
                <w:kern w:val="24"/>
              </w:rPr>
              <w:t>Location Parameter (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u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t</m:t>
                  </m:r>
                </m:e>
              </m:d>
            </m:oMath>
            <w:r w:rsidRPr="00577144">
              <w:t xml:space="preserve"> and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u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t</m:t>
                  </m:r>
                </m:e>
              </m:d>
            </m:oMath>
            <w:r w:rsidRPr="00577144">
              <w:rPr>
                <w:kern w:val="24"/>
              </w:rPr>
              <w:t>)</w:t>
            </w:r>
          </w:p>
        </w:tc>
        <w:tc>
          <w:tcPr>
            <w:tcW w:w="2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5CEA6" w14:textId="77777777" w:rsidR="00577144" w:rsidRPr="00577144" w:rsidRDefault="00577144" w:rsidP="0095437A">
            <w:pPr>
              <w:pStyle w:val="NormalWeb"/>
              <w:spacing w:before="0" w:beforeAutospacing="0" w:after="0" w:afterAutospacing="0"/>
              <w:jc w:val="center"/>
              <w:textAlignment w:val="center"/>
            </w:pPr>
            <w:r w:rsidRPr="00577144">
              <w:rPr>
                <w:kern w:val="24"/>
              </w:rPr>
              <w:t>0.965</w:t>
            </w:r>
          </w:p>
        </w:tc>
        <w:tc>
          <w:tcPr>
            <w:tcW w:w="20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59310" w14:textId="77777777" w:rsidR="00577144" w:rsidRPr="00577144" w:rsidRDefault="00577144" w:rsidP="0095437A">
            <w:pPr>
              <w:pStyle w:val="NormalWeb"/>
              <w:spacing w:before="0" w:beforeAutospacing="0" w:after="0" w:afterAutospacing="0"/>
              <w:jc w:val="center"/>
              <w:textAlignment w:val="center"/>
            </w:pPr>
            <w:r w:rsidRPr="00577144">
              <w:rPr>
                <w:kern w:val="24"/>
              </w:rPr>
              <w:t>0.963</w:t>
            </w:r>
          </w:p>
        </w:tc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7C811" w14:textId="77777777" w:rsidR="00577144" w:rsidRPr="00577144" w:rsidRDefault="00577144" w:rsidP="0095437A">
            <w:pPr>
              <w:pStyle w:val="NormalWeb"/>
              <w:spacing w:before="0" w:beforeAutospacing="0" w:after="0" w:afterAutospacing="0"/>
              <w:jc w:val="center"/>
              <w:textAlignment w:val="center"/>
            </w:pPr>
            <w:r w:rsidRPr="00577144">
              <w:rPr>
                <w:kern w:val="24"/>
              </w:rPr>
              <w:t>0.093</w:t>
            </w:r>
          </w:p>
        </w:tc>
        <w:tc>
          <w:tcPr>
            <w:tcW w:w="20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32CA9" w14:textId="77777777" w:rsidR="00577144" w:rsidRPr="00577144" w:rsidRDefault="00577144" w:rsidP="0095437A">
            <w:pPr>
              <w:pStyle w:val="NormalWeb"/>
              <w:spacing w:before="0" w:beforeAutospacing="0" w:after="0" w:afterAutospacing="0"/>
              <w:jc w:val="center"/>
              <w:textAlignment w:val="center"/>
            </w:pPr>
            <w:r w:rsidRPr="00577144">
              <w:rPr>
                <w:kern w:val="24"/>
              </w:rPr>
              <w:t>0.071</w:t>
            </w:r>
          </w:p>
        </w:tc>
      </w:tr>
      <w:tr w:rsidR="00577144" w:rsidRPr="00577144" w14:paraId="1B5ED549" w14:textId="77777777" w:rsidTr="0095437A">
        <w:trPr>
          <w:trHeight w:val="586"/>
          <w:jc w:val="center"/>
        </w:trPr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EAF4C" w14:textId="77777777" w:rsidR="00577144" w:rsidRPr="00577144" w:rsidRDefault="00577144" w:rsidP="0095437A">
            <w:pPr>
              <w:jc w:val="center"/>
              <w:rPr>
                <w:b/>
                <w:bCs/>
              </w:rPr>
            </w:pPr>
          </w:p>
        </w:tc>
        <w:tc>
          <w:tcPr>
            <w:tcW w:w="2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7C49C" w14:textId="77777777" w:rsidR="00577144" w:rsidRPr="00577144" w:rsidRDefault="00000000" w:rsidP="0095437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222222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222222"/>
                      </w:rPr>
                      <m:t>a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color w:val="222222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color w:val="222222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color w:val="222222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color w:val="222222"/>
                  </w:rPr>
                  <m:t>(</m:t>
                </m:r>
                <m:r>
                  <w:rPr>
                    <w:rFonts w:ascii="Cambria Math" w:eastAsia="Cambria Math" w:hAnsi="Cambria Math" w:cs="Cambria Math"/>
                    <w:color w:val="222222"/>
                  </w:rPr>
                  <m:t xml:space="preserve">based on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color w:val="222222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222222"/>
                      </w:rPr>
                      <m:t>T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222222"/>
                      </w:rPr>
                      <m:t>avg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222222"/>
                  </w:rPr>
                  <m:t>)</m:t>
                </m:r>
              </m:oMath>
            </m:oMathPara>
          </w:p>
        </w:tc>
        <w:tc>
          <w:tcPr>
            <w:tcW w:w="20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E71E2" w14:textId="77777777" w:rsidR="00577144" w:rsidRPr="00577144" w:rsidRDefault="00000000" w:rsidP="0095437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222222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222222"/>
                      </w:rPr>
                      <m:t>a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color w:val="222222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color w:val="222222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color w:val="222222"/>
                          </w:rPr>
                          <m:t>3</m:t>
                        </m:r>
                      </m:sub>
                    </m:sSub>
                  </m:sub>
                </m:sSub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color w:val="222222"/>
                  </w:rPr>
                  <m:t>(</m:t>
                </m:r>
                <m:r>
                  <w:rPr>
                    <w:rFonts w:ascii="Cambria Math" w:eastAsia="Cambria Math" w:hAnsi="Cambria Math" w:cs="Cambria Math"/>
                    <w:color w:val="222222"/>
                  </w:rPr>
                  <m:t>based on CDD)</m:t>
                </m:r>
              </m:oMath>
            </m:oMathPara>
          </w:p>
        </w:tc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3C371" w14:textId="77777777" w:rsidR="00577144" w:rsidRPr="00577144" w:rsidRDefault="00000000" w:rsidP="0095437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222222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222222"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color w:val="222222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color w:val="222222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color w:val="222222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color w:val="222222"/>
                  </w:rPr>
                  <m:t>(</m:t>
                </m:r>
                <m:r>
                  <w:rPr>
                    <w:rFonts w:ascii="Cambria Math" w:eastAsia="Cambria Math" w:hAnsi="Cambria Math" w:cs="Cambria Math"/>
                    <w:color w:val="222222"/>
                  </w:rPr>
                  <m:t xml:space="preserve">based on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color w:val="222222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222222"/>
                      </w:rPr>
                      <m:t>T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222222"/>
                      </w:rPr>
                      <m:t>avg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222222"/>
                  </w:rPr>
                  <m:t>)</m:t>
                </m:r>
              </m:oMath>
            </m:oMathPara>
          </w:p>
        </w:tc>
        <w:tc>
          <w:tcPr>
            <w:tcW w:w="20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DA5CE" w14:textId="77777777" w:rsidR="00577144" w:rsidRPr="00577144" w:rsidRDefault="00000000" w:rsidP="0095437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222222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222222"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color w:val="222222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color w:val="222222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color w:val="222222"/>
                          </w:rPr>
                          <m:t>3</m:t>
                        </m:r>
                      </m:sub>
                    </m:sSub>
                  </m:sub>
                </m:sSub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color w:val="222222"/>
                  </w:rPr>
                  <m:t>(</m:t>
                </m:r>
                <m:r>
                  <w:rPr>
                    <w:rFonts w:ascii="Cambria Math" w:eastAsia="Cambria Math" w:hAnsi="Cambria Math" w:cs="Cambria Math"/>
                    <w:color w:val="222222"/>
                  </w:rPr>
                  <m:t>based on CDD)</m:t>
                </m:r>
              </m:oMath>
            </m:oMathPara>
          </w:p>
        </w:tc>
      </w:tr>
      <w:tr w:rsidR="00577144" w:rsidRPr="00577144" w14:paraId="5E6246F0" w14:textId="77777777" w:rsidTr="0095437A">
        <w:trPr>
          <w:trHeight w:val="1217"/>
          <w:jc w:val="center"/>
        </w:trPr>
        <w:tc>
          <w:tcPr>
            <w:tcW w:w="10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91854" w14:textId="77777777" w:rsidR="00577144" w:rsidRPr="00577144" w:rsidRDefault="00577144" w:rsidP="0095437A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 w:rsidRPr="00577144">
              <w:rPr>
                <w:color w:val="000000" w:themeColor="dark1"/>
                <w:kern w:val="24"/>
              </w:rPr>
              <w:t>Scale Parameter (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i/>
                      <w:color w:val="222222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color w:val="222222"/>
                    </w:rPr>
                    <m:t>β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color w:val="222222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222222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color w:val="222222"/>
                    </w:rPr>
                    <m:t>t</m:t>
                  </m:r>
                </m:e>
              </m:d>
            </m:oMath>
            <w:r w:rsidRPr="00577144">
              <w:rPr>
                <w:color w:val="222222"/>
              </w:rPr>
              <w:t xml:space="preserve"> and </w:t>
            </w: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i/>
                      <w:color w:val="222222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color w:val="222222"/>
                    </w:rPr>
                    <m:t>β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color w:val="222222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222222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color w:val="222222"/>
                    </w:rPr>
                    <m:t>t</m:t>
                  </m:r>
                </m:e>
              </m:d>
            </m:oMath>
            <w:r w:rsidRPr="00577144">
              <w:rPr>
                <w:color w:val="000000" w:themeColor="dark1"/>
                <w:kern w:val="24"/>
              </w:rPr>
              <w:t>)</w:t>
            </w:r>
          </w:p>
        </w:tc>
        <w:tc>
          <w:tcPr>
            <w:tcW w:w="20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71AF1" w14:textId="77777777" w:rsidR="00577144" w:rsidRPr="00577144" w:rsidRDefault="00577144" w:rsidP="0095437A">
            <w:pPr>
              <w:pStyle w:val="NormalWeb"/>
              <w:spacing w:before="0" w:beforeAutospacing="0" w:after="0" w:afterAutospacing="0"/>
              <w:jc w:val="center"/>
              <w:textAlignment w:val="center"/>
            </w:pPr>
            <w:r w:rsidRPr="00577144">
              <w:rPr>
                <w:color w:val="000000"/>
                <w:kern w:val="24"/>
              </w:rPr>
              <w:t>0.316</w:t>
            </w:r>
          </w:p>
        </w:tc>
        <w:tc>
          <w:tcPr>
            <w:tcW w:w="20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173E1" w14:textId="77777777" w:rsidR="00577144" w:rsidRPr="00577144" w:rsidRDefault="00577144" w:rsidP="0095437A">
            <w:pPr>
              <w:pStyle w:val="NormalWeb"/>
              <w:spacing w:before="0" w:beforeAutospacing="0" w:after="0" w:afterAutospacing="0"/>
              <w:jc w:val="center"/>
              <w:textAlignment w:val="center"/>
            </w:pPr>
            <w:r w:rsidRPr="00577144">
              <w:rPr>
                <w:color w:val="000000"/>
                <w:kern w:val="24"/>
              </w:rPr>
              <w:t>0.322</w:t>
            </w:r>
          </w:p>
        </w:tc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760E4" w14:textId="77777777" w:rsidR="00577144" w:rsidRPr="00577144" w:rsidRDefault="00577144" w:rsidP="0095437A">
            <w:pPr>
              <w:pStyle w:val="NormalWeb"/>
              <w:spacing w:before="0" w:beforeAutospacing="0" w:after="0" w:afterAutospacing="0"/>
              <w:jc w:val="center"/>
              <w:textAlignment w:val="center"/>
            </w:pPr>
            <w:r w:rsidRPr="00577144">
              <w:rPr>
                <w:color w:val="000000"/>
                <w:kern w:val="24"/>
              </w:rPr>
              <w:t>0.046</w:t>
            </w:r>
          </w:p>
        </w:tc>
        <w:tc>
          <w:tcPr>
            <w:tcW w:w="20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D0916" w14:textId="77777777" w:rsidR="00577144" w:rsidRPr="00577144" w:rsidRDefault="00577144" w:rsidP="0095437A">
            <w:pPr>
              <w:pStyle w:val="NormalWeb"/>
              <w:spacing w:before="0" w:beforeAutospacing="0" w:after="0" w:afterAutospacing="0"/>
              <w:jc w:val="center"/>
              <w:textAlignment w:val="center"/>
            </w:pPr>
            <w:r w:rsidRPr="00577144">
              <w:rPr>
                <w:color w:val="000000"/>
                <w:kern w:val="24"/>
              </w:rPr>
              <w:t>0.063</w:t>
            </w:r>
          </w:p>
        </w:tc>
      </w:tr>
    </w:tbl>
    <w:p w14:paraId="3F48228E" w14:textId="77777777" w:rsidR="00F247D2" w:rsidRPr="00577144" w:rsidRDefault="00F247D2" w:rsidP="008A623D">
      <w:pPr>
        <w:spacing w:line="480" w:lineRule="auto"/>
        <w:ind w:left="90"/>
        <w:rPr>
          <w:color w:val="222222"/>
        </w:rPr>
      </w:pPr>
    </w:p>
    <w:p w14:paraId="6BD9A17F" w14:textId="77777777" w:rsidR="00234E2F" w:rsidRPr="00577144" w:rsidRDefault="00234E2F" w:rsidP="008A623D">
      <w:pPr>
        <w:spacing w:line="480" w:lineRule="auto"/>
        <w:ind w:left="90"/>
        <w:rPr>
          <w:color w:val="222222"/>
        </w:rPr>
      </w:pPr>
    </w:p>
    <w:p w14:paraId="7554A58C" w14:textId="77777777" w:rsidR="00234E2F" w:rsidRDefault="00234E2F" w:rsidP="008A623D">
      <w:pPr>
        <w:spacing w:line="480" w:lineRule="auto"/>
        <w:ind w:left="90"/>
        <w:rPr>
          <w:color w:val="222222"/>
          <w:highlight w:val="white"/>
        </w:rPr>
      </w:pPr>
    </w:p>
    <w:p w14:paraId="423FC67C" w14:textId="77777777" w:rsidR="00234E2F" w:rsidRDefault="00234E2F" w:rsidP="008A623D">
      <w:pPr>
        <w:spacing w:line="480" w:lineRule="auto"/>
        <w:ind w:left="90"/>
        <w:rPr>
          <w:color w:val="222222"/>
          <w:highlight w:val="white"/>
        </w:rPr>
      </w:pPr>
    </w:p>
    <w:p w14:paraId="6A33EDE1" w14:textId="77777777" w:rsidR="000F3C89" w:rsidRDefault="000F3C89" w:rsidP="008A623D">
      <w:pPr>
        <w:spacing w:line="480" w:lineRule="auto"/>
        <w:ind w:left="90"/>
        <w:rPr>
          <w:color w:val="222222"/>
          <w:highlight w:val="white"/>
        </w:rPr>
      </w:pPr>
    </w:p>
    <w:p w14:paraId="4D2080FB" w14:textId="77777777" w:rsidR="000F3C89" w:rsidRDefault="000F3C89" w:rsidP="008A623D">
      <w:pPr>
        <w:spacing w:line="480" w:lineRule="auto"/>
        <w:ind w:left="90"/>
        <w:rPr>
          <w:color w:val="222222"/>
          <w:highlight w:val="white"/>
        </w:rPr>
      </w:pPr>
    </w:p>
    <w:p w14:paraId="3008F7DE" w14:textId="77777777" w:rsidR="000F3C89" w:rsidRDefault="000F3C89" w:rsidP="008A623D">
      <w:pPr>
        <w:spacing w:line="480" w:lineRule="auto"/>
        <w:ind w:left="90"/>
        <w:rPr>
          <w:color w:val="222222"/>
          <w:highlight w:val="white"/>
        </w:rPr>
      </w:pPr>
    </w:p>
    <w:p w14:paraId="07012C9F" w14:textId="6DA64008" w:rsidR="00A20F2A" w:rsidRPr="0066406C" w:rsidRDefault="00A20F2A" w:rsidP="00A20F2A">
      <w:pPr>
        <w:spacing w:line="480" w:lineRule="auto"/>
        <w:rPr>
          <w:color w:val="222222"/>
          <w:highlight w:val="white"/>
        </w:rPr>
      </w:pPr>
      <w:r>
        <w:rPr>
          <w:b/>
          <w:bCs/>
          <w:color w:val="222222"/>
          <w:highlight w:val="white"/>
        </w:rPr>
        <w:lastRenderedPageBreak/>
        <w:t>Table T</w:t>
      </w:r>
      <w:r w:rsidR="00F247D2">
        <w:rPr>
          <w:b/>
          <w:bCs/>
          <w:color w:val="222222"/>
          <w:highlight w:val="white"/>
        </w:rPr>
        <w:t>2</w:t>
      </w:r>
      <w:r>
        <w:rPr>
          <w:b/>
          <w:bCs/>
          <w:color w:val="222222"/>
          <w:highlight w:val="white"/>
        </w:rPr>
        <w:t xml:space="preserve">. </w:t>
      </w:r>
      <w:r w:rsidRPr="00A20F2A">
        <w:rPr>
          <w:b/>
          <w:bCs/>
          <w:color w:val="222222"/>
        </w:rPr>
        <w:t>Probability of Reoccurrence of Ida</w:t>
      </w:r>
      <w:r>
        <w:rPr>
          <w:b/>
          <w:bCs/>
          <w:color w:val="222222"/>
        </w:rPr>
        <w:t>.</w:t>
      </w:r>
      <w:r w:rsidRPr="00A20F2A">
        <w:rPr>
          <w:b/>
          <w:bCs/>
          <w:color w:val="222222"/>
          <w:highlight w:val="white"/>
        </w:rPr>
        <w:t xml:space="preserve"> </w:t>
      </w:r>
      <w:r>
        <w:rPr>
          <w:color w:val="222222"/>
          <w:highlight w:val="white"/>
        </w:rPr>
        <w:t xml:space="preserve">The future probabilities of Ida-like event derived from the </w:t>
      </w:r>
      <w:r w:rsidR="006B4D76">
        <w:rPr>
          <w:color w:val="222222"/>
          <w:highlight w:val="white"/>
        </w:rPr>
        <w:t>three</w:t>
      </w:r>
      <w:r w:rsidR="00B541E7">
        <w:rPr>
          <w:color w:val="222222"/>
          <w:highlight w:val="white"/>
        </w:rPr>
        <w:t xml:space="preserve"> statistical </w:t>
      </w:r>
      <w:r>
        <w:rPr>
          <w:color w:val="222222"/>
          <w:highlight w:val="white"/>
        </w:rPr>
        <w:t xml:space="preserve">models for the 10-year planning phase (2023-2034). </w:t>
      </w:r>
      <w:r w:rsidR="00701EE0">
        <w:rPr>
          <w:color w:val="222222"/>
          <w:highlight w:val="white"/>
        </w:rPr>
        <w:t xml:space="preserve">These probabilities are used in the decision tree analysis to calculate the number of Ida-like events. </w:t>
      </w:r>
    </w:p>
    <w:p w14:paraId="079A42D1" w14:textId="1DF36F24" w:rsidR="00234E2F" w:rsidRPr="00E2567F" w:rsidRDefault="00E2567F" w:rsidP="00E2567F">
      <w:pPr>
        <w:spacing w:line="480" w:lineRule="auto"/>
        <w:ind w:left="90"/>
        <w:jc w:val="center"/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Yearly Probabilities from All Models </w:t>
      </w:r>
      <w:r w:rsidR="00BA0197">
        <w:rPr>
          <w:b/>
          <w:bCs/>
          <w:color w:val="222222"/>
          <w:highlight w:val="white"/>
        </w:rPr>
        <w:t>a</w:t>
      </w:r>
      <w:r>
        <w:rPr>
          <w:b/>
          <w:bCs/>
          <w:color w:val="222222"/>
          <w:highlight w:val="white"/>
        </w:rPr>
        <w:t>nd Scenarios</w:t>
      </w:r>
      <w:r w:rsidR="00F247D2">
        <w:rPr>
          <w:b/>
          <w:bCs/>
          <w:color w:val="222222"/>
          <w:highlight w:val="white"/>
        </w:rPr>
        <w:t xml:space="preserve"> for CDD</w:t>
      </w:r>
    </w:p>
    <w:tbl>
      <w:tblPr>
        <w:tblW w:w="9340" w:type="dxa"/>
        <w:tblLook w:val="04A0" w:firstRow="1" w:lastRow="0" w:firstColumn="1" w:lastColumn="0" w:noHBand="0" w:noVBand="1"/>
      </w:tblPr>
      <w:tblGrid>
        <w:gridCol w:w="620"/>
        <w:gridCol w:w="1087"/>
        <w:gridCol w:w="1141"/>
        <w:gridCol w:w="1082"/>
        <w:gridCol w:w="1082"/>
        <w:gridCol w:w="1082"/>
        <w:gridCol w:w="1082"/>
        <w:gridCol w:w="1082"/>
        <w:gridCol w:w="1082"/>
      </w:tblGrid>
      <w:tr w:rsidR="00A20F2A" w14:paraId="266E564F" w14:textId="77777777" w:rsidTr="00B541E7">
        <w:trPr>
          <w:trHeight w:val="583"/>
        </w:trPr>
        <w:tc>
          <w:tcPr>
            <w:tcW w:w="170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0CCF" w14:textId="77777777" w:rsidR="00A20F2A" w:rsidRPr="00B541E7" w:rsidRDefault="00A20F2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41E7">
              <w:rPr>
                <w:b/>
                <w:bCs/>
                <w:color w:val="000000"/>
                <w:sz w:val="16"/>
                <w:szCs w:val="16"/>
                <w:lang w:val="en-GB"/>
              </w:rPr>
              <w:t>GCM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1A4B" w14:textId="7D9D10D6" w:rsidR="00A20F2A" w:rsidRPr="00B541E7" w:rsidRDefault="00A20F2A" w:rsidP="00B541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98D1" w14:textId="2CFE0046" w:rsidR="00A20F2A" w:rsidRPr="00B541E7" w:rsidRDefault="00A20F2A" w:rsidP="00B541E7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41E7">
              <w:rPr>
                <w:b/>
                <w:bCs/>
                <w:color w:val="000000"/>
                <w:sz w:val="16"/>
                <w:szCs w:val="16"/>
              </w:rPr>
              <w:t>GFDL-</w:t>
            </w:r>
            <w:r w:rsidR="00E2567F">
              <w:rPr>
                <w:b/>
                <w:bCs/>
                <w:color w:val="000000"/>
                <w:sz w:val="16"/>
                <w:szCs w:val="16"/>
              </w:rPr>
              <w:t>ESM4.1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8794" w14:textId="0D9BE9F7" w:rsidR="00A20F2A" w:rsidRPr="00B541E7" w:rsidRDefault="00A20F2A" w:rsidP="00B541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4D7A" w14:textId="77777777" w:rsidR="00A20F2A" w:rsidRPr="00B541E7" w:rsidRDefault="00A20F2A" w:rsidP="00B541E7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41E7">
              <w:rPr>
                <w:b/>
                <w:bCs/>
                <w:color w:val="000000"/>
                <w:sz w:val="16"/>
                <w:szCs w:val="16"/>
              </w:rPr>
              <w:t>CESM2</w:t>
            </w:r>
          </w:p>
          <w:p w14:paraId="4249A388" w14:textId="77777777" w:rsidR="00B541E7" w:rsidRPr="00B541E7" w:rsidRDefault="00B541E7" w:rsidP="00B541E7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1FFA2A22" w14:textId="77777777" w:rsidR="00B541E7" w:rsidRPr="00B541E7" w:rsidRDefault="00B541E7" w:rsidP="00B541E7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2D72" w14:textId="316B64E6" w:rsidR="00A20F2A" w:rsidRPr="00B541E7" w:rsidRDefault="00A20F2A" w:rsidP="00B541E7">
            <w:pPr>
              <w:spacing w:line="276" w:lineRule="auto"/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591D" w14:textId="77777777" w:rsidR="00A20F2A" w:rsidRPr="00B541E7" w:rsidRDefault="00A20F2A" w:rsidP="00B541E7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41E7">
              <w:rPr>
                <w:b/>
                <w:bCs/>
                <w:color w:val="000000"/>
                <w:sz w:val="16"/>
                <w:szCs w:val="16"/>
              </w:rPr>
              <w:t>MPI-ESM1-2-HR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A7A2F" w14:textId="77777777" w:rsidR="00A20F2A" w:rsidRPr="00A20F2A" w:rsidRDefault="00A20F2A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A20F2A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</w:tr>
      <w:tr w:rsidR="00A20F2A" w14:paraId="4E9373C1" w14:textId="77777777" w:rsidTr="00A20F2A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EA7D" w14:textId="77777777" w:rsidR="00A20F2A" w:rsidRPr="00A20F2A" w:rsidRDefault="00A20F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>Year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BCC9" w14:textId="77777777" w:rsidR="00A20F2A" w:rsidRPr="00A20F2A" w:rsidRDefault="00A20F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>Stationary Model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6321" w14:textId="77777777" w:rsidR="00A20F2A" w:rsidRPr="00A20F2A" w:rsidRDefault="00A20F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>Nonstationary Model 1: Time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C958" w14:textId="1EFB71DA" w:rsidR="00A20F2A" w:rsidRPr="00A20F2A" w:rsidRDefault="00A20F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 xml:space="preserve">Nonstationary Model </w:t>
            </w:r>
            <w:r w:rsidR="00BA0197">
              <w:rPr>
                <w:b/>
                <w:bCs/>
                <w:color w:val="000000"/>
                <w:sz w:val="14"/>
                <w:szCs w:val="14"/>
                <w:lang w:val="en-GB"/>
              </w:rPr>
              <w:t>3</w:t>
            </w: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>: Low Emission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2570" w14:textId="2F4B6D65" w:rsidR="00A20F2A" w:rsidRPr="00A20F2A" w:rsidRDefault="00A20F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 xml:space="preserve">Nonstationary Model </w:t>
            </w:r>
            <w:r w:rsidR="00BA0197">
              <w:rPr>
                <w:b/>
                <w:bCs/>
                <w:color w:val="000000"/>
                <w:sz w:val="14"/>
                <w:szCs w:val="14"/>
                <w:lang w:val="en-GB"/>
              </w:rPr>
              <w:t>3</w:t>
            </w: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>: High Emission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05E3" w14:textId="7BB0942E" w:rsidR="00A20F2A" w:rsidRPr="00A20F2A" w:rsidRDefault="00A20F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 xml:space="preserve">Nonstationary Model </w:t>
            </w:r>
            <w:r w:rsidR="00BA0197">
              <w:rPr>
                <w:b/>
                <w:bCs/>
                <w:color w:val="000000"/>
                <w:sz w:val="14"/>
                <w:szCs w:val="14"/>
                <w:lang w:val="en-GB"/>
              </w:rPr>
              <w:t>3</w:t>
            </w: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>: Low Emission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CB40" w14:textId="40319668" w:rsidR="00A20F2A" w:rsidRPr="00A20F2A" w:rsidRDefault="00A20F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 xml:space="preserve">Nonstationary Model </w:t>
            </w:r>
            <w:r w:rsidR="00BA0197">
              <w:rPr>
                <w:b/>
                <w:bCs/>
                <w:color w:val="000000"/>
                <w:sz w:val="14"/>
                <w:szCs w:val="14"/>
                <w:lang w:val="en-GB"/>
              </w:rPr>
              <w:t>3</w:t>
            </w: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>: High Emission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44C5" w14:textId="4963EA9F" w:rsidR="00A20F2A" w:rsidRPr="00A20F2A" w:rsidRDefault="00A20F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 xml:space="preserve">Nonstationary Model </w:t>
            </w:r>
            <w:r w:rsidR="00BA0197">
              <w:rPr>
                <w:b/>
                <w:bCs/>
                <w:color w:val="000000"/>
                <w:sz w:val="14"/>
                <w:szCs w:val="14"/>
                <w:lang w:val="en-GB"/>
              </w:rPr>
              <w:t>3</w:t>
            </w: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>: Low Emission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41055" w14:textId="192CC39C" w:rsidR="00A20F2A" w:rsidRPr="00A20F2A" w:rsidRDefault="00A20F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 xml:space="preserve">Nonstationary Model </w:t>
            </w:r>
            <w:r w:rsidR="00BA0197">
              <w:rPr>
                <w:b/>
                <w:bCs/>
                <w:color w:val="000000"/>
                <w:sz w:val="14"/>
                <w:szCs w:val="14"/>
                <w:lang w:val="en-GB"/>
              </w:rPr>
              <w:t>3</w:t>
            </w:r>
            <w:r w:rsidRPr="00A20F2A">
              <w:rPr>
                <w:b/>
                <w:bCs/>
                <w:color w:val="000000"/>
                <w:sz w:val="14"/>
                <w:szCs w:val="14"/>
                <w:lang w:val="en-GB"/>
              </w:rPr>
              <w:t>: High Emission</w:t>
            </w:r>
          </w:p>
        </w:tc>
      </w:tr>
      <w:tr w:rsidR="00A20F2A" w14:paraId="2BBF9360" w14:textId="77777777" w:rsidTr="00A20F2A">
        <w:trPr>
          <w:trHeight w:val="31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9C04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2024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0452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0.045%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807B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0.265%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9520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0.343%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A712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0.371%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2B17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0.775%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EB1F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0.551%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CEF7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0.046%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1B73D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0.057%</w:t>
            </w:r>
          </w:p>
        </w:tc>
      </w:tr>
      <w:tr w:rsidR="00A20F2A" w14:paraId="12C5BB14" w14:textId="77777777" w:rsidTr="00A20F2A">
        <w:trPr>
          <w:trHeight w:val="31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992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2025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2762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0.045%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E00D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0.276%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1988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0.162%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42D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0.402%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C9B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0.655%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06E9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0.470%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F089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0.429%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89415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0.059%</w:t>
            </w:r>
          </w:p>
        </w:tc>
      </w:tr>
      <w:tr w:rsidR="00A20F2A" w14:paraId="417AB159" w14:textId="77777777" w:rsidTr="00A20F2A">
        <w:trPr>
          <w:trHeight w:val="31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B2C0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2026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4A58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0.045%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B63B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0.288%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F258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0.337%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C5A7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0.372%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6D8A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0.668%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00C0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0.799%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B9BD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0.287%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D6864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1.416%</w:t>
            </w:r>
          </w:p>
        </w:tc>
      </w:tr>
      <w:tr w:rsidR="00A20F2A" w14:paraId="0333ABCA" w14:textId="77777777" w:rsidTr="00A20F2A">
        <w:trPr>
          <w:trHeight w:val="31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8830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2027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5FA5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0.045%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1E5A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0.300%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1B43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0.208%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DEDC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0.202%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9223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1.205%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17FE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0.530%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257D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0.437%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531C8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0.438%</w:t>
            </w:r>
          </w:p>
        </w:tc>
      </w:tr>
      <w:tr w:rsidR="00A20F2A" w14:paraId="4A4EA753" w14:textId="77777777" w:rsidTr="00A20F2A">
        <w:trPr>
          <w:trHeight w:val="31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0799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2028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60AA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0.045%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095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0.313%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0F31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0.178%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BAAC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0.885%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133A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0.844%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817F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1.101%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AE6B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0.465%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D0B13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0.228%</w:t>
            </w:r>
          </w:p>
        </w:tc>
      </w:tr>
      <w:tr w:rsidR="00A20F2A" w14:paraId="1B9037EA" w14:textId="77777777" w:rsidTr="00A20F2A">
        <w:trPr>
          <w:trHeight w:val="31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09AC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2029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E241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0.045%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9820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0.326%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EC8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0.826%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B5E9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0.268%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6E55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0.772%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7FAE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1.428%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1705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0.194%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5E85D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0.922%</w:t>
            </w:r>
          </w:p>
        </w:tc>
      </w:tr>
      <w:tr w:rsidR="00A20F2A" w14:paraId="49ABA88D" w14:textId="77777777" w:rsidTr="00A20F2A">
        <w:trPr>
          <w:trHeight w:val="31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D6DD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2030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A15F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0.045%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7F1E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0.339%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9849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0.617%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020F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0.301%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D59C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0.200%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AB8C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1.195%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E697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0.099%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4E25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0.527%</w:t>
            </w:r>
          </w:p>
        </w:tc>
      </w:tr>
      <w:tr w:rsidR="00A20F2A" w14:paraId="4C4548F1" w14:textId="77777777" w:rsidTr="00A20F2A">
        <w:trPr>
          <w:trHeight w:val="31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029C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2031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0F42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0.045%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4918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0.353%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E9C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0.399%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126B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0.484%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6345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0.380%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241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2.259%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278C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0.217%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9119B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1.734%</w:t>
            </w:r>
          </w:p>
        </w:tc>
      </w:tr>
      <w:tr w:rsidR="00A20F2A" w14:paraId="274E3E37" w14:textId="77777777" w:rsidTr="00A20F2A">
        <w:trPr>
          <w:trHeight w:val="31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1308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2032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C65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0.045%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C66E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0.367%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4719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0.035%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5B75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0.277%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550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0.779%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7F87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2.123%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284B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0.535%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AC5AC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0.127%</w:t>
            </w:r>
          </w:p>
        </w:tc>
      </w:tr>
      <w:tr w:rsidR="00A20F2A" w14:paraId="262035D0" w14:textId="77777777" w:rsidTr="00A20F2A">
        <w:trPr>
          <w:trHeight w:val="31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7894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2033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B33C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0.045%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ED2B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0.382%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8BDF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0.417%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D09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0.481%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FDE1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1.875%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9674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1.261%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A168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0.810%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2CE4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0.253%</w:t>
            </w:r>
          </w:p>
        </w:tc>
      </w:tr>
      <w:tr w:rsidR="00A20F2A" w14:paraId="33A3FDD7" w14:textId="77777777" w:rsidTr="00A20F2A">
        <w:trPr>
          <w:trHeight w:val="3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32FF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2034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3096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0.045%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BD10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0.397%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EF18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1.171%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5538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  <w:lang w:val="en-GB"/>
              </w:rPr>
              <w:t>0.289%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1597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0.622%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304E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0.985%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C9C5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0.190%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D7591" w14:textId="77777777" w:rsidR="00A20F2A" w:rsidRPr="00A20F2A" w:rsidRDefault="00A20F2A" w:rsidP="00B541E7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A20F2A">
              <w:rPr>
                <w:color w:val="000000"/>
                <w:sz w:val="16"/>
                <w:szCs w:val="16"/>
              </w:rPr>
              <w:t>0.233%</w:t>
            </w:r>
          </w:p>
        </w:tc>
      </w:tr>
    </w:tbl>
    <w:p w14:paraId="6E820CD5" w14:textId="77777777" w:rsidR="00663B37" w:rsidRDefault="00663B37" w:rsidP="00A20F2A"/>
    <w:sectPr w:rsidR="00663B37" w:rsidSect="007F4616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852D79"/>
    <w:multiLevelType w:val="hybridMultilevel"/>
    <w:tmpl w:val="2A60EDD2"/>
    <w:lvl w:ilvl="0" w:tplc="24AC285E">
      <w:start w:val="1"/>
      <w:numFmt w:val="decimal"/>
      <w:lvlText w:val="%1."/>
      <w:lvlJc w:val="left"/>
      <w:pPr>
        <w:ind w:left="-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num w:numId="1" w16cid:durableId="1020821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37"/>
    <w:rsid w:val="00042931"/>
    <w:rsid w:val="00047962"/>
    <w:rsid w:val="00091813"/>
    <w:rsid w:val="00096284"/>
    <w:rsid w:val="000D43CA"/>
    <w:rsid w:val="000F3C89"/>
    <w:rsid w:val="00133296"/>
    <w:rsid w:val="0013479B"/>
    <w:rsid w:val="001366A3"/>
    <w:rsid w:val="00141316"/>
    <w:rsid w:val="00187271"/>
    <w:rsid w:val="001A5591"/>
    <w:rsid w:val="001B1F33"/>
    <w:rsid w:val="001B5597"/>
    <w:rsid w:val="001C3AC7"/>
    <w:rsid w:val="00225469"/>
    <w:rsid w:val="00231769"/>
    <w:rsid w:val="00233122"/>
    <w:rsid w:val="00234E2F"/>
    <w:rsid w:val="00236D33"/>
    <w:rsid w:val="00242B71"/>
    <w:rsid w:val="002845B5"/>
    <w:rsid w:val="002E1A9F"/>
    <w:rsid w:val="00301D9C"/>
    <w:rsid w:val="00312585"/>
    <w:rsid w:val="00333C75"/>
    <w:rsid w:val="00390168"/>
    <w:rsid w:val="00405210"/>
    <w:rsid w:val="004C47A7"/>
    <w:rsid w:val="004C6492"/>
    <w:rsid w:val="004E662D"/>
    <w:rsid w:val="0055299E"/>
    <w:rsid w:val="0055744E"/>
    <w:rsid w:val="00577144"/>
    <w:rsid w:val="005A7B76"/>
    <w:rsid w:val="005D01F9"/>
    <w:rsid w:val="005E477C"/>
    <w:rsid w:val="00626FFB"/>
    <w:rsid w:val="00663B37"/>
    <w:rsid w:val="006B4D76"/>
    <w:rsid w:val="006D05C0"/>
    <w:rsid w:val="006E4C0E"/>
    <w:rsid w:val="00701EE0"/>
    <w:rsid w:val="00763305"/>
    <w:rsid w:val="007F4616"/>
    <w:rsid w:val="00850995"/>
    <w:rsid w:val="0087159F"/>
    <w:rsid w:val="00892A17"/>
    <w:rsid w:val="00897A35"/>
    <w:rsid w:val="008A4B16"/>
    <w:rsid w:val="008A623D"/>
    <w:rsid w:val="008B2DD2"/>
    <w:rsid w:val="008F7724"/>
    <w:rsid w:val="00983A3F"/>
    <w:rsid w:val="009E7751"/>
    <w:rsid w:val="00A012CE"/>
    <w:rsid w:val="00A20F2A"/>
    <w:rsid w:val="00A26689"/>
    <w:rsid w:val="00A459DC"/>
    <w:rsid w:val="00AE4B69"/>
    <w:rsid w:val="00AF7DDE"/>
    <w:rsid w:val="00B25AFD"/>
    <w:rsid w:val="00B541E7"/>
    <w:rsid w:val="00B7653B"/>
    <w:rsid w:val="00B770F7"/>
    <w:rsid w:val="00B80D68"/>
    <w:rsid w:val="00B86D8C"/>
    <w:rsid w:val="00B92975"/>
    <w:rsid w:val="00BA0197"/>
    <w:rsid w:val="00BA025F"/>
    <w:rsid w:val="00BA2CDB"/>
    <w:rsid w:val="00BD432E"/>
    <w:rsid w:val="00C14F3A"/>
    <w:rsid w:val="00C702FE"/>
    <w:rsid w:val="00C96944"/>
    <w:rsid w:val="00CA24C6"/>
    <w:rsid w:val="00CA6FB7"/>
    <w:rsid w:val="00CC6595"/>
    <w:rsid w:val="00CF0048"/>
    <w:rsid w:val="00D05396"/>
    <w:rsid w:val="00D705E3"/>
    <w:rsid w:val="00D76047"/>
    <w:rsid w:val="00D86D5E"/>
    <w:rsid w:val="00DC667D"/>
    <w:rsid w:val="00E2567F"/>
    <w:rsid w:val="00E37BFB"/>
    <w:rsid w:val="00E6084D"/>
    <w:rsid w:val="00EE4409"/>
    <w:rsid w:val="00F247D2"/>
    <w:rsid w:val="00F40A24"/>
    <w:rsid w:val="00F55D84"/>
    <w:rsid w:val="00F70ECB"/>
    <w:rsid w:val="00F7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9192F"/>
  <w15:chartTrackingRefBased/>
  <w15:docId w15:val="{EC08271F-CB6A-4137-8FA5-CCC62F22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B3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B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B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B3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B3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B3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B3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B3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B3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B3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B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B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B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3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B3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3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B3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3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B3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3B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B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B37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663B37"/>
    <w:rPr>
      <w:rFonts w:ascii="Arial" w:eastAsia="Arial" w:hAnsi="Arial" w:cs="Arial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3B37"/>
    <w:rPr>
      <w:rFonts w:ascii="Arial" w:eastAsia="Arial" w:hAnsi="Arial" w:cs="Arial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63B37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663B37"/>
    <w:rPr>
      <w:b/>
      <w:bCs/>
    </w:rPr>
  </w:style>
  <w:style w:type="table" w:styleId="TableGrid">
    <w:name w:val="Table Grid"/>
    <w:basedOn w:val="TableNormal"/>
    <w:uiPriority w:val="39"/>
    <w:rsid w:val="00663B3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A4B1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58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585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8A623D"/>
  </w:style>
  <w:style w:type="paragraph" w:styleId="Revision">
    <w:name w:val="Revision"/>
    <w:hidden/>
    <w:uiPriority w:val="99"/>
    <w:semiHidden/>
    <w:rsid w:val="0018727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36D3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247D2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AE4B6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cmossel@gradcenter.cuny.ed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Mossel</dc:creator>
  <cp:keywords/>
  <dc:description/>
  <cp:lastModifiedBy>Carolien Mossel</cp:lastModifiedBy>
  <cp:revision>2</cp:revision>
  <dcterms:created xsi:type="dcterms:W3CDTF">2024-10-18T14:25:00Z</dcterms:created>
  <dcterms:modified xsi:type="dcterms:W3CDTF">2024-10-18T14:25:00Z</dcterms:modified>
</cp:coreProperties>
</file>