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PlainTable4"/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1892"/>
        <w:gridCol w:w="6509"/>
      </w:tblGrid>
      <w:tr w:rsidR="00784EDF" w:rsidRPr="004A4D18" w14:paraId="7C03E6E1" w14:textId="77777777" w:rsidTr="004A4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5D809FB" w14:textId="01C3B10C" w:rsidR="00784EDF" w:rsidRPr="004A4D18" w:rsidRDefault="00570D73" w:rsidP="007F76C3">
            <w:pPr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Supplemental Table 1.</w:t>
            </w:r>
            <w:r w:rsidR="00784EDF" w:rsidRPr="004A4D1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84EDF" w:rsidRPr="004A4D18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</w:rPr>
              <w:t>Summary of social vulnerability metrics employed in this study. Expected influence on potential tornado impacts are also noted.</w:t>
            </w:r>
          </w:p>
        </w:tc>
      </w:tr>
      <w:tr w:rsidR="00784EDF" w:rsidRPr="004A4D18" w14:paraId="34BB2AC2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BD39F4" w14:textId="77777777" w:rsidR="00784EDF" w:rsidRPr="004A4D18" w:rsidRDefault="00784EDF" w:rsidP="007F76C3">
            <w:pPr>
              <w:pStyle w:val="Heading3"/>
              <w:outlineLvl w:val="2"/>
              <w:rPr>
                <w:rFonts w:ascii="Arial" w:hAnsi="Arial" w:cs="Arial"/>
                <w:b/>
              </w:rPr>
            </w:pPr>
            <w:r w:rsidRPr="004A4D18">
              <w:rPr>
                <w:rFonts w:ascii="Arial" w:hAnsi="Arial" w:cs="Arial"/>
                <w:b/>
              </w:rPr>
              <w:t>Vulnerability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514FD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Metric</w:t>
            </w:r>
          </w:p>
        </w:tc>
        <w:tc>
          <w:tcPr>
            <w:tcW w:w="65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E31576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Influence on Potential Impacts</w:t>
            </w:r>
          </w:p>
        </w:tc>
      </w:tr>
      <w:tr w:rsidR="00784EDF" w:rsidRPr="004A4D18" w14:paraId="60D4F5A2" w14:textId="77777777" w:rsidTr="004A4D18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64149E" w14:textId="77777777" w:rsidR="00784EDF" w:rsidRPr="004A4D18" w:rsidRDefault="00784EDF" w:rsidP="007F76C3">
            <w:pPr>
              <w:pStyle w:val="Heading2"/>
              <w:outlineLvl w:val="1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4A4D18">
              <w:rPr>
                <w:rFonts w:ascii="Arial" w:hAnsi="Arial" w:cs="Arial"/>
                <w:b/>
                <w:bCs/>
                <w:sz w:val="20"/>
                <w:szCs w:val="24"/>
              </w:rPr>
              <w:t>Population</w:t>
            </w:r>
          </w:p>
        </w:tc>
        <w:tc>
          <w:tcPr>
            <w:tcW w:w="18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977B776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Total Persons</w:t>
            </w:r>
          </w:p>
        </w:tc>
        <w:tc>
          <w:tcPr>
            <w:tcW w:w="65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0C5D6FA" w14:textId="1FA85739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Affects the exposure of people to a hazard; The higher the population, the greater the tornado impact</w:t>
            </w:r>
            <w:r w:rsidR="006529C9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20,40</w:t>
            </w:r>
            <w:r w:rsidR="000D1224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2</w:t>
            </w: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 xml:space="preserve"> </w:t>
            </w:r>
          </w:p>
        </w:tc>
      </w:tr>
      <w:tr w:rsidR="00784EDF" w:rsidRPr="004A4D18" w14:paraId="42F2486D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64E02642" w14:textId="77777777" w:rsidR="00784EDF" w:rsidRPr="004A4D18" w:rsidRDefault="00784EDF" w:rsidP="007F76C3">
            <w:pPr>
              <w:pStyle w:val="Heading2"/>
              <w:outlineLvl w:val="1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628AD16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Population Density</w:t>
            </w:r>
          </w:p>
        </w:tc>
        <w:tc>
          <w:tcPr>
            <w:tcW w:w="65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184E92D" w14:textId="0B14A1BE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Affects the exposure of people to a hazard; The higher the population, the greater the tornado impact; Highlights where crowding is a concern</w:t>
            </w:r>
            <w:r w:rsidR="0026761E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20,40,81</w:t>
            </w:r>
          </w:p>
        </w:tc>
      </w:tr>
      <w:tr w:rsidR="00784EDF" w:rsidRPr="004A4D18" w14:paraId="5EF4C462" w14:textId="77777777" w:rsidTr="004A4D18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158B5" w14:textId="77777777" w:rsidR="00784EDF" w:rsidRPr="004A4D18" w:rsidRDefault="00784EDF" w:rsidP="007F76C3">
            <w:pPr>
              <w:pStyle w:val="Heading2"/>
              <w:outlineLvl w:val="1"/>
              <w:rPr>
                <w:rFonts w:ascii="Arial" w:hAnsi="Arial" w:cs="Arial"/>
                <w:b/>
                <w:sz w:val="20"/>
                <w:szCs w:val="24"/>
              </w:rPr>
            </w:pPr>
            <w:r w:rsidRPr="004A4D18">
              <w:rPr>
                <w:rFonts w:ascii="Arial" w:hAnsi="Arial" w:cs="Arial"/>
                <w:b/>
                <w:sz w:val="20"/>
                <w:szCs w:val="24"/>
              </w:rPr>
              <w:t>Socio-economic</w:t>
            </w:r>
          </w:p>
        </w:tc>
        <w:tc>
          <w:tcPr>
            <w:tcW w:w="18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451328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Income below the poverty level in the last 12 months</w:t>
            </w:r>
          </w:p>
        </w:tc>
        <w:tc>
          <w:tcPr>
            <w:tcW w:w="65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CEBF5" w14:textId="4C28AF45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Hindered capacity to rebuild and recover; limited access to insurance, financial networks, savings</w:t>
            </w:r>
            <w:r w:rsidR="0026761E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26761E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3</w:t>
            </w:r>
            <w:r w:rsidR="0026761E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  <w:r w:rsidR="0026761E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5</w:t>
            </w:r>
          </w:p>
        </w:tc>
      </w:tr>
      <w:tr w:rsidR="00784EDF" w:rsidRPr="004A4D18" w14:paraId="13D51076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6F1ECE26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0BD783E4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Civilian labor force unemployed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65EB6D82" w14:textId="6DDA1CE1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Hindered capacity to rebuild and recover; limited access to insurance, financial networks, savings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3</w:t>
            </w:r>
          </w:p>
        </w:tc>
      </w:tr>
      <w:tr w:rsidR="00784EDF" w:rsidRPr="004A4D18" w14:paraId="41F5A7F2" w14:textId="77777777" w:rsidTr="004A4D18">
        <w:trPr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6FE5387C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47B4E109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Public assistance/Food Stamps in the last 12 months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0129F702" w14:textId="14A9ED07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Hindered capacity to rebuild and recover; limited access to insurance, financial networks, savings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</w:t>
            </w:r>
            <w:r w:rsidR="000D1224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</w:p>
        </w:tc>
      </w:tr>
      <w:tr w:rsidR="00784EDF" w:rsidRPr="004A4D18" w14:paraId="79612396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 w:val="restart"/>
            <w:shd w:val="clear" w:color="auto" w:fill="FFFFFF" w:themeFill="background1"/>
            <w:noWrap/>
            <w:vAlign w:val="center"/>
          </w:tcPr>
          <w:p w14:paraId="0838CCCE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Housing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0615AA45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Mobile or manufactured homes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0831CBB9" w14:textId="788916A7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Poor construction design; associated with economic factors; often outside of high-density areas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16,17,40,62,64,65,66,67,68,76,8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6</w:t>
            </w:r>
          </w:p>
        </w:tc>
      </w:tr>
      <w:tr w:rsidR="00784EDF" w:rsidRPr="004A4D18" w14:paraId="174E5980" w14:textId="77777777" w:rsidTr="004A4D18">
        <w:trPr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1E9F3837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5D3C603C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Renters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7044B7DC" w14:textId="5C67375A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Lack of financial resources and recovery aid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37,40,8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</w:p>
        </w:tc>
      </w:tr>
      <w:tr w:rsidR="00784EDF" w:rsidRPr="004A4D18" w14:paraId="541EC3D4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 w:val="restart"/>
            <w:shd w:val="clear" w:color="auto" w:fill="FFFFFF" w:themeFill="background1"/>
            <w:noWrap/>
            <w:vAlign w:val="center"/>
          </w:tcPr>
          <w:p w14:paraId="33CC509A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Age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403CFA43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Aged 65 years or greater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7E59BFC4" w14:textId="6D71BCE4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Reliance on outside assistance; mobility; medical care; socially and economically isolated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40,60,7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200D3F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8</w:t>
            </w:r>
          </w:p>
        </w:tc>
      </w:tr>
      <w:tr w:rsidR="00784EDF" w:rsidRPr="004A4D18" w14:paraId="73317A05" w14:textId="77777777" w:rsidTr="004A4D18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3B4B7F25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5A599431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Less than 18 years old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39970F44" w14:textId="01031373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Reliance on outside assistance</w:t>
            </w:r>
            <w:r w:rsidR="002C419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2C419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  <w:r w:rsidR="002C419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9</w:t>
            </w:r>
          </w:p>
        </w:tc>
      </w:tr>
      <w:tr w:rsidR="00784EDF" w:rsidRPr="004A4D18" w14:paraId="4ADD99E0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4C22F53F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74274D39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Less than 5 years old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22CA6DA8" w14:textId="785E9722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Reliance on outside assistance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36,37,</w:t>
            </w:r>
            <w:r w:rsidR="002C419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2C419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8</w:t>
            </w:r>
          </w:p>
        </w:tc>
      </w:tr>
      <w:tr w:rsidR="00784EDF" w:rsidRPr="004A4D18" w14:paraId="2BB33F3D" w14:textId="77777777" w:rsidTr="004A4D18">
        <w:trPr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 w:val="restart"/>
            <w:shd w:val="clear" w:color="auto" w:fill="FFFFFF" w:themeFill="background1"/>
            <w:noWrap/>
            <w:vAlign w:val="center"/>
          </w:tcPr>
          <w:p w14:paraId="32650A08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Race and Ethnicity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693E9EB5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Non-white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225B82BD" w14:textId="1F9BFAF3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Historical social and economic marginalization of minority groups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3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90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1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2</w:t>
            </w:r>
            <w:r w:rsidR="0019760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3</w:t>
            </w:r>
          </w:p>
        </w:tc>
      </w:tr>
      <w:tr w:rsidR="00784EDF" w:rsidRPr="004A4D18" w14:paraId="7ACFA7D7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168DD1F1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59BBC8AA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Hispanic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140E11DB" w14:textId="798E4168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Language and cultural barriers to response and recovery</w:t>
            </w:r>
            <w:r w:rsidR="00804E4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58</w:t>
            </w:r>
          </w:p>
        </w:tc>
      </w:tr>
      <w:tr w:rsidR="00784EDF" w:rsidRPr="004A4D18" w14:paraId="6940B0A4" w14:textId="77777777" w:rsidTr="004A4D18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0B66E689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05A6B9F7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Black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6838E1F0" w14:textId="273AC298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Historic marginalization; cultural barriers</w:t>
            </w:r>
            <w:r w:rsidR="00804E4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804E4B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</w:p>
        </w:tc>
      </w:tr>
      <w:tr w:rsidR="00784EDF" w:rsidRPr="004A4D18" w14:paraId="69D49FC2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shd w:val="clear" w:color="auto" w:fill="FFFFFF" w:themeFill="background1"/>
            <w:noWrap/>
            <w:vAlign w:val="center"/>
          </w:tcPr>
          <w:p w14:paraId="71C57877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Migrants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3FAB54DB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Citizenship and Date of US Entry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2AE3377E" w14:textId="59C6E3F2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Language barriers; limited economic and social networks; reliance on family, neighbors for hazard information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40,58,7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2</w:t>
            </w: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 xml:space="preserve"> </w:t>
            </w:r>
          </w:p>
        </w:tc>
      </w:tr>
      <w:tr w:rsidR="00784EDF" w:rsidRPr="004A4D18" w14:paraId="10F5F855" w14:textId="77777777" w:rsidTr="004A4D18">
        <w:trPr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shd w:val="clear" w:color="auto" w:fill="FFFFFF" w:themeFill="background1"/>
            <w:noWrap/>
            <w:vAlign w:val="center"/>
          </w:tcPr>
          <w:p w14:paraId="1D01BE27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Language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66E8AE7D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Speaks English "less than well"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077AE6D4" w14:textId="34C2B607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Limited hazard information comprehension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58,40,7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2</w:t>
            </w:r>
          </w:p>
        </w:tc>
      </w:tr>
      <w:tr w:rsidR="00784EDF" w:rsidRPr="004A4D18" w14:paraId="6FCD4CD2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shd w:val="clear" w:color="auto" w:fill="FFFFFF" w:themeFill="background1"/>
            <w:noWrap/>
            <w:vAlign w:val="center"/>
          </w:tcPr>
          <w:p w14:paraId="474499E3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Disability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2DD07E78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Adults (16-64 years old) with a disability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329095BD" w14:textId="73E1B3EC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Reliance on outside assistance; medical care; socially and economically isolated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</w:p>
        </w:tc>
      </w:tr>
      <w:tr w:rsidR="00784EDF" w:rsidRPr="004A4D18" w14:paraId="23BDEBC5" w14:textId="77777777" w:rsidTr="004A4D18">
        <w:trPr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 w:val="restart"/>
            <w:shd w:val="clear" w:color="auto" w:fill="FFFFFF" w:themeFill="background1"/>
            <w:noWrap/>
            <w:vAlign w:val="center"/>
          </w:tcPr>
          <w:p w14:paraId="32091A56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Sex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22442D6F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Female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2C8FCD26" w14:textId="4796FD36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Historic lower economic status compared to males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,9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5</w:t>
            </w:r>
          </w:p>
        </w:tc>
      </w:tr>
      <w:tr w:rsidR="00784EDF" w:rsidRPr="004A4D18" w14:paraId="08DD2DE7" w14:textId="77777777" w:rsidTr="004A4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vMerge/>
            <w:shd w:val="clear" w:color="auto" w:fill="FFFFFF" w:themeFill="background1"/>
            <w:noWrap/>
            <w:vAlign w:val="center"/>
          </w:tcPr>
          <w:p w14:paraId="480AAA8D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5C3DAFB9" w14:textId="77777777" w:rsidR="00784EDF" w:rsidRPr="004A4D18" w:rsidRDefault="00784EDF" w:rsidP="007F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Single female head of household with children present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458B3781" w14:textId="1CBE09BD" w:rsidR="00784EDF" w:rsidRPr="00B00D7D" w:rsidRDefault="00784EDF" w:rsidP="007F76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Family care responsibilities; lower economic status and limited financial resources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6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,8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</w:t>
            </w:r>
          </w:p>
        </w:tc>
      </w:tr>
      <w:tr w:rsidR="00784EDF" w:rsidRPr="004A4D18" w14:paraId="5F726368" w14:textId="77777777" w:rsidTr="004A4D18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shd w:val="clear" w:color="auto" w:fill="FFFFFF" w:themeFill="background1"/>
            <w:noWrap/>
            <w:vAlign w:val="center"/>
          </w:tcPr>
          <w:p w14:paraId="2836A8D2" w14:textId="77777777" w:rsidR="00784EDF" w:rsidRPr="004A4D18" w:rsidRDefault="00784EDF" w:rsidP="007F76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Education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14:paraId="53F75914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Less than 4 years of High School</w:t>
            </w:r>
          </w:p>
          <w:p w14:paraId="53213778" w14:textId="77777777" w:rsidR="00784EDF" w:rsidRPr="004A4D18" w:rsidRDefault="00784EDF" w:rsidP="007F7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4A4D18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(No Diploma)</w:t>
            </w:r>
          </w:p>
        </w:tc>
        <w:tc>
          <w:tcPr>
            <w:tcW w:w="6509" w:type="dxa"/>
            <w:shd w:val="clear" w:color="auto" w:fill="FFFFFF" w:themeFill="background1"/>
            <w:vAlign w:val="center"/>
          </w:tcPr>
          <w:p w14:paraId="3C59E351" w14:textId="25D6C275" w:rsidR="00784EDF" w:rsidRPr="00B00D7D" w:rsidRDefault="00784EDF" w:rsidP="007F76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B00D7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Limited understanding and comprehension of hazard information; associated with economic factors</w:t>
            </w:r>
            <w:r w:rsidR="00C91B26" w:rsidRPr="00B00D7D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40,7</w:t>
            </w:r>
            <w:r w:rsidR="009B7528"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</w:rPr>
              <w:t>7</w:t>
            </w:r>
          </w:p>
        </w:tc>
      </w:tr>
    </w:tbl>
    <w:p w14:paraId="21F16C7A" w14:textId="5A9A7FC3" w:rsidR="00225BF6" w:rsidRDefault="0024584F" w:rsidP="002458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9963FDF" wp14:editId="43D61263">
            <wp:extent cx="5977719" cy="6745107"/>
            <wp:effectExtent l="0" t="0" r="4445" b="0"/>
            <wp:docPr id="1686293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36" cy="68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B2C2" w14:textId="224DD778" w:rsidR="0024584F" w:rsidRPr="00FB7D7C" w:rsidRDefault="00570D73" w:rsidP="00784EDF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570D73">
        <w:rPr>
          <w:rFonts w:ascii="Arial" w:hAnsi="Arial" w:cs="Arial"/>
          <w:b/>
          <w:bCs/>
          <w:sz w:val="24"/>
          <w:szCs w:val="24"/>
        </w:rPr>
        <w:t xml:space="preserve">Supplemental </w:t>
      </w:r>
      <w:r>
        <w:rPr>
          <w:rFonts w:ascii="Arial" w:hAnsi="Arial" w:cs="Arial"/>
          <w:b/>
          <w:bCs/>
          <w:sz w:val="24"/>
          <w:szCs w:val="24"/>
        </w:rPr>
        <w:t>Figure</w:t>
      </w:r>
      <w:r w:rsidRPr="00570D73">
        <w:rPr>
          <w:rFonts w:ascii="Arial" w:hAnsi="Arial" w:cs="Arial"/>
          <w:b/>
          <w:bCs/>
          <w:sz w:val="24"/>
          <w:szCs w:val="24"/>
        </w:rPr>
        <w:t xml:space="preserve"> 1. </w:t>
      </w:r>
      <w:r w:rsidR="00784EDF" w:rsidRPr="00845141">
        <w:rPr>
          <w:rFonts w:ascii="Arial" w:hAnsi="Arial" w:cs="Arial"/>
          <w:sz w:val="24"/>
          <w:szCs w:val="24"/>
        </w:rPr>
        <w:t>County-level vulnerability percentile rankings for each societal metric in 1980.</w:t>
      </w:r>
    </w:p>
    <w:p w14:paraId="1E7BAA1F" w14:textId="77777777" w:rsidR="0024584F" w:rsidRDefault="0024584F" w:rsidP="0024584F">
      <w:pPr>
        <w:jc w:val="center"/>
        <w:rPr>
          <w:rFonts w:ascii="Arial" w:hAnsi="Arial" w:cs="Arial"/>
          <w:sz w:val="24"/>
          <w:szCs w:val="24"/>
        </w:rPr>
      </w:pPr>
    </w:p>
    <w:p w14:paraId="18DDCB45" w14:textId="77777777" w:rsidR="0024584F" w:rsidRDefault="0024584F" w:rsidP="0024584F">
      <w:pPr>
        <w:jc w:val="center"/>
        <w:rPr>
          <w:rFonts w:ascii="Arial" w:hAnsi="Arial" w:cs="Arial"/>
          <w:sz w:val="24"/>
          <w:szCs w:val="24"/>
        </w:rPr>
      </w:pPr>
    </w:p>
    <w:p w14:paraId="1D259546" w14:textId="77777777" w:rsidR="0024584F" w:rsidRDefault="0024584F" w:rsidP="00784EDF">
      <w:pPr>
        <w:rPr>
          <w:rFonts w:ascii="Arial" w:hAnsi="Arial" w:cs="Arial"/>
          <w:sz w:val="24"/>
          <w:szCs w:val="24"/>
        </w:rPr>
      </w:pPr>
    </w:p>
    <w:p w14:paraId="34D0EE52" w14:textId="2B03EA52" w:rsidR="0024584F" w:rsidRDefault="0024584F" w:rsidP="002458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C6EC682" wp14:editId="45E380EE">
            <wp:extent cx="5964072" cy="6743710"/>
            <wp:effectExtent l="0" t="0" r="0" b="0"/>
            <wp:docPr id="499638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21" cy="676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7050" w14:textId="05945C64" w:rsidR="00784EDF" w:rsidRPr="00784EDF" w:rsidRDefault="00570D73" w:rsidP="00784EDF">
      <w:pPr>
        <w:rPr>
          <w:rFonts w:ascii="Arial" w:hAnsi="Arial" w:cs="Arial"/>
          <w:sz w:val="24"/>
          <w:szCs w:val="24"/>
        </w:rPr>
      </w:pPr>
      <w:r w:rsidRPr="00570D73">
        <w:rPr>
          <w:rFonts w:ascii="Arial" w:hAnsi="Arial" w:cs="Arial"/>
          <w:b/>
          <w:bCs/>
          <w:sz w:val="24"/>
          <w:szCs w:val="24"/>
        </w:rPr>
        <w:t xml:space="preserve">Supplemental </w:t>
      </w:r>
      <w:r>
        <w:rPr>
          <w:rFonts w:ascii="Arial" w:hAnsi="Arial" w:cs="Arial"/>
          <w:b/>
          <w:bCs/>
          <w:sz w:val="24"/>
          <w:szCs w:val="24"/>
        </w:rPr>
        <w:t>Figure</w:t>
      </w:r>
      <w:r w:rsidRPr="00570D7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70D73">
        <w:rPr>
          <w:rFonts w:ascii="Arial" w:hAnsi="Arial" w:cs="Arial"/>
          <w:b/>
          <w:bCs/>
          <w:sz w:val="24"/>
          <w:szCs w:val="24"/>
        </w:rPr>
        <w:t xml:space="preserve">. </w:t>
      </w:r>
      <w:r w:rsidR="00784EDF" w:rsidRPr="00845141">
        <w:rPr>
          <w:rFonts w:ascii="Arial" w:hAnsi="Arial" w:cs="Arial"/>
          <w:sz w:val="24"/>
          <w:szCs w:val="24"/>
        </w:rPr>
        <w:t>County-level vulnerability percentile rankings for each societal metric in 2020.</w:t>
      </w:r>
      <w:r w:rsidR="00784EDF" w:rsidRPr="00784EDF">
        <w:rPr>
          <w:rFonts w:ascii="Arial" w:hAnsi="Arial" w:cs="Arial"/>
          <w:sz w:val="24"/>
          <w:szCs w:val="24"/>
        </w:rPr>
        <w:t xml:space="preserve"> </w:t>
      </w:r>
    </w:p>
    <w:p w14:paraId="6C78EF3E" w14:textId="77777777" w:rsidR="0024584F" w:rsidRDefault="0024584F" w:rsidP="00784EDF">
      <w:pPr>
        <w:jc w:val="both"/>
        <w:rPr>
          <w:rFonts w:ascii="Arial" w:hAnsi="Arial" w:cs="Arial"/>
          <w:sz w:val="24"/>
          <w:szCs w:val="24"/>
        </w:rPr>
      </w:pPr>
    </w:p>
    <w:p w14:paraId="0165AB35" w14:textId="77777777" w:rsidR="0024584F" w:rsidRDefault="0024584F" w:rsidP="0024584F">
      <w:pPr>
        <w:jc w:val="center"/>
        <w:rPr>
          <w:rFonts w:ascii="Arial" w:hAnsi="Arial" w:cs="Arial"/>
          <w:sz w:val="24"/>
          <w:szCs w:val="24"/>
        </w:rPr>
      </w:pPr>
    </w:p>
    <w:p w14:paraId="53DC867D" w14:textId="77777777" w:rsidR="00784EDF" w:rsidRDefault="00784EDF" w:rsidP="00784EDF">
      <w:pPr>
        <w:rPr>
          <w:rFonts w:ascii="Arial" w:hAnsi="Arial" w:cs="Arial"/>
          <w:sz w:val="24"/>
          <w:szCs w:val="24"/>
        </w:rPr>
      </w:pPr>
    </w:p>
    <w:p w14:paraId="5B391F89" w14:textId="3741302A" w:rsidR="00784EDF" w:rsidRDefault="00784EDF" w:rsidP="002458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C6A681" wp14:editId="698C4943">
            <wp:extent cx="5950585" cy="6673850"/>
            <wp:effectExtent l="0" t="0" r="0" b="0"/>
            <wp:docPr id="13372850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C665" w14:textId="3FD45843" w:rsidR="00784EDF" w:rsidRDefault="00570D73" w:rsidP="00784EDF">
      <w:pPr>
        <w:rPr>
          <w:rFonts w:ascii="Arial" w:hAnsi="Arial" w:cs="Arial"/>
          <w:sz w:val="24"/>
          <w:szCs w:val="24"/>
        </w:rPr>
      </w:pPr>
      <w:r w:rsidRPr="00570D73">
        <w:rPr>
          <w:rFonts w:ascii="Arial" w:hAnsi="Arial" w:cs="Arial"/>
          <w:b/>
          <w:bCs/>
          <w:sz w:val="24"/>
          <w:szCs w:val="24"/>
        </w:rPr>
        <w:t xml:space="preserve">Supplemental </w:t>
      </w:r>
      <w:r>
        <w:rPr>
          <w:rFonts w:ascii="Arial" w:hAnsi="Arial" w:cs="Arial"/>
          <w:b/>
          <w:bCs/>
          <w:sz w:val="24"/>
          <w:szCs w:val="24"/>
        </w:rPr>
        <w:t>Figure</w:t>
      </w:r>
      <w:r w:rsidRPr="00570D7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70D73">
        <w:rPr>
          <w:rFonts w:ascii="Arial" w:hAnsi="Arial" w:cs="Arial"/>
          <w:b/>
          <w:bCs/>
          <w:sz w:val="24"/>
          <w:szCs w:val="24"/>
        </w:rPr>
        <w:t xml:space="preserve">. </w:t>
      </w:r>
      <w:r w:rsidR="00784EDF" w:rsidRPr="00845141">
        <w:rPr>
          <w:rFonts w:ascii="Arial" w:hAnsi="Arial" w:cs="Arial"/>
          <w:sz w:val="24"/>
          <w:szCs w:val="24"/>
        </w:rPr>
        <w:t>County-level differences (1980 to 2020) in social vulnerability metric percentile ranking.</w:t>
      </w:r>
    </w:p>
    <w:p w14:paraId="4009C7F9" w14:textId="77777777" w:rsidR="004D613F" w:rsidRDefault="004D613F" w:rsidP="00784EDF">
      <w:pPr>
        <w:rPr>
          <w:rFonts w:ascii="Arial" w:hAnsi="Arial" w:cs="Arial"/>
          <w:sz w:val="24"/>
          <w:szCs w:val="24"/>
        </w:rPr>
      </w:pPr>
    </w:p>
    <w:p w14:paraId="524962DD" w14:textId="77777777" w:rsidR="004D613F" w:rsidRDefault="004D613F" w:rsidP="00784EDF">
      <w:pPr>
        <w:rPr>
          <w:rFonts w:ascii="Arial" w:hAnsi="Arial" w:cs="Arial"/>
          <w:sz w:val="24"/>
          <w:szCs w:val="24"/>
        </w:rPr>
      </w:pPr>
    </w:p>
    <w:p w14:paraId="64629618" w14:textId="77777777" w:rsidR="004D613F" w:rsidRDefault="004D613F" w:rsidP="00784EDF">
      <w:pPr>
        <w:rPr>
          <w:rFonts w:ascii="Arial" w:hAnsi="Arial" w:cs="Arial"/>
          <w:sz w:val="24"/>
          <w:szCs w:val="24"/>
        </w:rPr>
      </w:pPr>
    </w:p>
    <w:p w14:paraId="22909576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82. Ehrlich, D., Kemper, T., Pesaresi, M., &amp; Corbane, C. Built-up area and population density: Two essential societal variables to address climate hazard impact. </w:t>
      </w:r>
      <w:r>
        <w:rPr>
          <w:rFonts w:ascii="Arial" w:hAnsi="Arial" w:cs="Arial"/>
          <w:i/>
          <w:iCs/>
          <w:sz w:val="24"/>
          <w:szCs w:val="24"/>
        </w:rPr>
        <w:t>Environmental Science &amp; Policy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90,</w:t>
      </w:r>
      <w:r>
        <w:rPr>
          <w:rFonts w:ascii="Arial" w:hAnsi="Arial" w:cs="Arial"/>
          <w:sz w:val="24"/>
          <w:szCs w:val="24"/>
        </w:rPr>
        <w:t xml:space="preserve"> 73–82 (2018).</w:t>
      </w:r>
    </w:p>
    <w:p w14:paraId="1FC28B4A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83. Peacock, W. G., Gladwin, H. &amp; Morrow, B. H. Hurricane Andrew: Ethnicity, gender and the sociology of disasters. Routledge, 304 pp. (1997).</w:t>
      </w:r>
    </w:p>
    <w:p w14:paraId="05664AF0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84. Morrow, B. H. Identifying and mapping community vulnerability. </w:t>
      </w:r>
      <w:r>
        <w:rPr>
          <w:rFonts w:ascii="Arial" w:hAnsi="Arial" w:cs="Arial"/>
          <w:i/>
          <w:iCs/>
          <w:sz w:val="24"/>
          <w:szCs w:val="24"/>
        </w:rPr>
        <w:t>Disasters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23,</w:t>
      </w:r>
      <w:r>
        <w:rPr>
          <w:rFonts w:ascii="Arial" w:hAnsi="Arial" w:cs="Arial"/>
          <w:sz w:val="24"/>
          <w:szCs w:val="24"/>
        </w:rPr>
        <w:t xml:space="preserve"> 1–18 (1999).</w:t>
      </w:r>
    </w:p>
    <w:p w14:paraId="40557D61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85. Hallegatte, S., Vogt-Schilb, A., Rozenberg, J., Bangalore, M., &amp; Beaudet, C. From poverty to disaster and back: A review of the literature. </w:t>
      </w:r>
      <w:r>
        <w:rPr>
          <w:rFonts w:ascii="Arial" w:hAnsi="Arial" w:cs="Arial"/>
          <w:i/>
          <w:iCs/>
          <w:sz w:val="24"/>
          <w:szCs w:val="24"/>
        </w:rPr>
        <w:t>Economics of Disasters and Climate Change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4,</w:t>
      </w:r>
      <w:r>
        <w:rPr>
          <w:rFonts w:ascii="Arial" w:hAnsi="Arial" w:cs="Arial"/>
          <w:sz w:val="24"/>
          <w:szCs w:val="24"/>
        </w:rPr>
        <w:t xml:space="preserve"> 223–247 (2020).</w:t>
      </w:r>
    </w:p>
    <w:p w14:paraId="2AB7C1D0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86. Eidson, M., J. A. Lybarger, J. E. Parsons, J. N. MacCormack, &amp; Freeman, J. I. Risk Factors for Tornado Injuries. </w:t>
      </w:r>
      <w:r>
        <w:rPr>
          <w:rFonts w:ascii="Arial" w:hAnsi="Arial" w:cs="Arial"/>
          <w:i/>
          <w:iCs/>
          <w:sz w:val="24"/>
          <w:szCs w:val="24"/>
        </w:rPr>
        <w:t>International Journal of Epidemiology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19,</w:t>
      </w:r>
      <w:r>
        <w:rPr>
          <w:rFonts w:ascii="Arial" w:hAnsi="Arial" w:cs="Arial"/>
          <w:sz w:val="24"/>
          <w:szCs w:val="24"/>
        </w:rPr>
        <w:t xml:space="preserve"> 1051–1056 (1990).</w:t>
      </w:r>
    </w:p>
    <w:p w14:paraId="66931EA7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87. Ngo, E. B. When disasters and age collide: Reviewing vulnerability of the elderly. </w:t>
      </w:r>
      <w:r>
        <w:rPr>
          <w:rFonts w:ascii="Arial" w:hAnsi="Arial" w:cs="Arial"/>
          <w:i/>
          <w:iCs/>
          <w:sz w:val="24"/>
          <w:szCs w:val="24"/>
        </w:rPr>
        <w:t>Nat. Hazards Rev.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2,</w:t>
      </w:r>
      <w:r>
        <w:rPr>
          <w:rFonts w:ascii="Arial" w:hAnsi="Arial" w:cs="Arial"/>
          <w:sz w:val="24"/>
          <w:szCs w:val="24"/>
        </w:rPr>
        <w:t xml:space="preserve"> 80–89 (2001).</w:t>
      </w:r>
    </w:p>
    <w:p w14:paraId="350BE18F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88. Phillips, B. D. &amp; P. L. Hewett. Home alone: Disasters, mass emergencies, and children in self-care. </w:t>
      </w:r>
      <w:r>
        <w:rPr>
          <w:rFonts w:ascii="Arial" w:hAnsi="Arial" w:cs="Arial"/>
          <w:i/>
          <w:iCs/>
          <w:sz w:val="24"/>
          <w:szCs w:val="24"/>
        </w:rPr>
        <w:t>J. Emerg. Manage.</w:t>
      </w:r>
      <w:r>
        <w:rPr>
          <w:rFonts w:ascii="Arial" w:hAnsi="Arial" w:cs="Arial"/>
          <w:sz w:val="24"/>
          <w:szCs w:val="24"/>
        </w:rPr>
        <w:t>, </w:t>
      </w:r>
      <w:r>
        <w:rPr>
          <w:rFonts w:ascii="Arial" w:hAnsi="Arial" w:cs="Arial"/>
          <w:b/>
          <w:bCs/>
          <w:sz w:val="24"/>
          <w:szCs w:val="24"/>
        </w:rPr>
        <w:t>3(2),</w:t>
      </w:r>
      <w:r>
        <w:rPr>
          <w:rFonts w:ascii="Arial" w:hAnsi="Arial" w:cs="Arial"/>
          <w:sz w:val="24"/>
          <w:szCs w:val="24"/>
        </w:rPr>
        <w:t> 31–35 (2005).</w:t>
      </w:r>
    </w:p>
    <w:p w14:paraId="23D8EC37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89. Martin, S. D., A. C. Bush, &amp; Lynch, J.A. National survey of terrorism preparedness training among pediatric, family practice, and emergency medicine programs. </w:t>
      </w:r>
      <w:r>
        <w:rPr>
          <w:rFonts w:ascii="Arial" w:hAnsi="Arial" w:cs="Arial"/>
          <w:i/>
          <w:iCs/>
          <w:sz w:val="24"/>
          <w:szCs w:val="24"/>
        </w:rPr>
        <w:t>Pediatrics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118,</w:t>
      </w:r>
      <w:r>
        <w:rPr>
          <w:rFonts w:ascii="Arial" w:hAnsi="Arial" w:cs="Arial"/>
          <w:sz w:val="24"/>
          <w:szCs w:val="24"/>
        </w:rPr>
        <w:t xml:space="preserve"> e620–626 (2006).</w:t>
      </w:r>
    </w:p>
    <w:p w14:paraId="53EAB579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90. Fothergill, A., &amp; Peek, L. Poverty and disasters in the United States: A review of recent sociological findings. </w:t>
      </w:r>
      <w:r>
        <w:rPr>
          <w:rFonts w:ascii="Arial" w:hAnsi="Arial" w:cs="Arial"/>
          <w:i/>
          <w:iCs/>
          <w:sz w:val="24"/>
          <w:szCs w:val="24"/>
        </w:rPr>
        <w:t>Nat. Hazards,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32,</w:t>
      </w:r>
      <w:r>
        <w:rPr>
          <w:rFonts w:ascii="Arial" w:hAnsi="Arial" w:cs="Arial"/>
          <w:sz w:val="24"/>
          <w:szCs w:val="24"/>
        </w:rPr>
        <w:t xml:space="preserve"> 89–110 (2004).</w:t>
      </w:r>
    </w:p>
    <w:p w14:paraId="6E40C556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91. Cutter, S. L. C. T. Emrich, J. T. Mitchell, B. J. Boruff, M. Gall, M. C. Schmidtlein, C. G. Burton, &amp; Melton, G. The long road home: Race, class, and recovery from Hurricane Katrina. </w:t>
      </w:r>
      <w:r>
        <w:rPr>
          <w:rFonts w:ascii="Arial" w:hAnsi="Arial" w:cs="Arial"/>
          <w:i/>
          <w:iCs/>
          <w:sz w:val="24"/>
          <w:szCs w:val="24"/>
        </w:rPr>
        <w:t>Environ. Sci. Policy,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48,</w:t>
      </w:r>
      <w:r>
        <w:rPr>
          <w:rFonts w:ascii="Arial" w:hAnsi="Arial" w:cs="Arial"/>
          <w:sz w:val="24"/>
          <w:szCs w:val="24"/>
        </w:rPr>
        <w:t xml:space="preserve"> 8–20 (2006).</w:t>
      </w:r>
    </w:p>
    <w:p w14:paraId="45DF610A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92. Peguero, A. Latino disaster vulnerability: The dissemination of hurricane mitigation information among Florida’s home-owners. </w:t>
      </w:r>
      <w:r>
        <w:rPr>
          <w:rFonts w:ascii="Arial" w:hAnsi="Arial" w:cs="Arial"/>
          <w:i/>
          <w:iCs/>
          <w:sz w:val="24"/>
          <w:szCs w:val="24"/>
        </w:rPr>
        <w:t>Hisp. J. Behav. Sci.,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28,</w:t>
      </w:r>
      <w:r>
        <w:rPr>
          <w:rFonts w:ascii="Arial" w:hAnsi="Arial" w:cs="Arial"/>
          <w:sz w:val="24"/>
          <w:szCs w:val="24"/>
        </w:rPr>
        <w:t xml:space="preserve"> 5–22 (2006). </w:t>
      </w:r>
    </w:p>
    <w:p w14:paraId="259A8C95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93. Elder, K., S. Xirasagar, N. Miller, S. A. Bowen, S. Glover, &amp; Piper, C. African Americans’ decisions not to evacuate New Orleans before Hurricane Katrina: A qualitative study. </w:t>
      </w:r>
      <w:r>
        <w:rPr>
          <w:rFonts w:ascii="Arial" w:hAnsi="Arial" w:cs="Arial"/>
          <w:i/>
          <w:iCs/>
          <w:sz w:val="24"/>
          <w:szCs w:val="24"/>
        </w:rPr>
        <w:t>Amer. J. Public Health,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97,</w:t>
      </w:r>
      <w:r>
        <w:rPr>
          <w:rFonts w:ascii="Arial" w:hAnsi="Arial" w:cs="Arial"/>
          <w:sz w:val="24"/>
          <w:szCs w:val="24"/>
        </w:rPr>
        <w:t xml:space="preserve"> S124–S129 (2007).</w:t>
      </w:r>
    </w:p>
    <w:p w14:paraId="351002B3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94. Senkbeil, J. C., Scott, D. A., Guinazu-Walker, P., &amp; Rockman, M. S. Ethnic and racial differences in tornado hazard perception, preparedness, and shelter lead time in Tuscaloosa. </w:t>
      </w:r>
      <w:r>
        <w:rPr>
          <w:rFonts w:ascii="Arial" w:hAnsi="Arial" w:cs="Arial"/>
          <w:i/>
          <w:iCs/>
          <w:sz w:val="24"/>
          <w:szCs w:val="24"/>
        </w:rPr>
        <w:t>The Professional Geographer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66(4),</w:t>
      </w:r>
      <w:r>
        <w:rPr>
          <w:rFonts w:ascii="Arial" w:hAnsi="Arial" w:cs="Arial"/>
          <w:sz w:val="24"/>
          <w:szCs w:val="24"/>
        </w:rPr>
        <w:t xml:space="preserve"> 610–620 (2014).</w:t>
      </w:r>
    </w:p>
    <w:p w14:paraId="42446D4F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95. Laska, S., &amp; Morrow, B. H. Social vulnerabilities and Hurricane Katrina: an unnatural disaster in New Orleans. </w:t>
      </w:r>
      <w:r>
        <w:rPr>
          <w:rFonts w:ascii="Arial" w:hAnsi="Arial" w:cs="Arial"/>
          <w:i/>
          <w:iCs/>
          <w:sz w:val="24"/>
          <w:szCs w:val="24"/>
        </w:rPr>
        <w:t>Marine technology society journal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40(4),</w:t>
      </w:r>
      <w:r>
        <w:rPr>
          <w:rFonts w:ascii="Arial" w:hAnsi="Arial" w:cs="Arial"/>
          <w:sz w:val="24"/>
          <w:szCs w:val="24"/>
        </w:rPr>
        <w:t xml:space="preserve"> 16–26 (2006).</w:t>
      </w:r>
    </w:p>
    <w:p w14:paraId="56225932" w14:textId="77777777" w:rsidR="004D613F" w:rsidRDefault="004D613F" w:rsidP="004D613F">
      <w:pPr>
        <w:rPr>
          <w:rFonts w:ascii="Arial" w:hAnsi="Arial" w:cs="Arial"/>
          <w:sz w:val="24"/>
          <w:szCs w:val="24"/>
        </w:rPr>
      </w:pPr>
    </w:p>
    <w:p w14:paraId="7EC4C9C6" w14:textId="77777777" w:rsidR="004D613F" w:rsidRDefault="004D613F" w:rsidP="004D613F"/>
    <w:p w14:paraId="35250072" w14:textId="77777777" w:rsidR="004D613F" w:rsidRDefault="004D613F" w:rsidP="00784ED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78ED434" w14:textId="77777777" w:rsidR="004D613F" w:rsidRDefault="004D613F" w:rsidP="00784EDF">
      <w:pPr>
        <w:rPr>
          <w:rFonts w:ascii="Arial" w:hAnsi="Arial" w:cs="Arial"/>
          <w:sz w:val="24"/>
          <w:szCs w:val="24"/>
        </w:rPr>
      </w:pPr>
    </w:p>
    <w:p w14:paraId="6D6FB0F8" w14:textId="77777777" w:rsidR="004D613F" w:rsidRPr="0024584F" w:rsidRDefault="004D613F" w:rsidP="00784EDF">
      <w:pPr>
        <w:rPr>
          <w:rFonts w:ascii="Arial" w:hAnsi="Arial" w:cs="Arial"/>
          <w:sz w:val="24"/>
          <w:szCs w:val="24"/>
        </w:rPr>
      </w:pPr>
    </w:p>
    <w:sectPr w:rsidR="004D613F" w:rsidRPr="0024584F" w:rsidSect="00BF4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84F"/>
    <w:rsid w:val="00060E6B"/>
    <w:rsid w:val="00067A14"/>
    <w:rsid w:val="000D1224"/>
    <w:rsid w:val="00167F6F"/>
    <w:rsid w:val="0019760B"/>
    <w:rsid w:val="002003BD"/>
    <w:rsid w:val="00200D3F"/>
    <w:rsid w:val="00225BF6"/>
    <w:rsid w:val="0024584F"/>
    <w:rsid w:val="0026761E"/>
    <w:rsid w:val="002C4196"/>
    <w:rsid w:val="004A4D18"/>
    <w:rsid w:val="004D613F"/>
    <w:rsid w:val="00570D73"/>
    <w:rsid w:val="005A689C"/>
    <w:rsid w:val="0061539E"/>
    <w:rsid w:val="00631FC6"/>
    <w:rsid w:val="006529C9"/>
    <w:rsid w:val="006772AE"/>
    <w:rsid w:val="00784EDF"/>
    <w:rsid w:val="007F533A"/>
    <w:rsid w:val="00804E4B"/>
    <w:rsid w:val="00845141"/>
    <w:rsid w:val="009B7528"/>
    <w:rsid w:val="00A42DA0"/>
    <w:rsid w:val="00B00D7D"/>
    <w:rsid w:val="00B06C38"/>
    <w:rsid w:val="00BA4A08"/>
    <w:rsid w:val="00BF4013"/>
    <w:rsid w:val="00BF4AE7"/>
    <w:rsid w:val="00C54B8A"/>
    <w:rsid w:val="00C91B26"/>
    <w:rsid w:val="00CD7659"/>
    <w:rsid w:val="00D81757"/>
    <w:rsid w:val="00ED3FE2"/>
    <w:rsid w:val="00FB1ABC"/>
    <w:rsid w:val="00FB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0A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D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4ED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84EDF"/>
  </w:style>
  <w:style w:type="character" w:customStyle="1" w:styleId="Heading2Char">
    <w:name w:val="Heading 2 Char"/>
    <w:basedOn w:val="DefaultParagraphFont"/>
    <w:link w:val="Heading2"/>
    <w:uiPriority w:val="9"/>
    <w:rsid w:val="00784EDF"/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84EDF"/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4E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4EDF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4EDF"/>
    <w:rPr>
      <w:kern w:val="0"/>
      <w:sz w:val="20"/>
      <w:szCs w:val="20"/>
      <w14:ligatures w14:val="none"/>
    </w:rPr>
  </w:style>
  <w:style w:type="table" w:customStyle="1" w:styleId="PlainTable4">
    <w:name w:val="Plain Table 4"/>
    <w:basedOn w:val="TableNormal"/>
    <w:uiPriority w:val="44"/>
    <w:rsid w:val="00784ED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D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D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4ED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84EDF"/>
  </w:style>
  <w:style w:type="character" w:customStyle="1" w:styleId="Heading2Char">
    <w:name w:val="Heading 2 Char"/>
    <w:basedOn w:val="DefaultParagraphFont"/>
    <w:link w:val="Heading2"/>
    <w:uiPriority w:val="9"/>
    <w:rsid w:val="00784EDF"/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84EDF"/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4E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4EDF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4EDF"/>
    <w:rPr>
      <w:kern w:val="0"/>
      <w:sz w:val="20"/>
      <w:szCs w:val="20"/>
      <w14:ligatures w14:val="none"/>
    </w:rPr>
  </w:style>
  <w:style w:type="table" w:customStyle="1" w:styleId="PlainTable4">
    <w:name w:val="Plain Table 4"/>
    <w:basedOn w:val="TableNormal"/>
    <w:uiPriority w:val="44"/>
    <w:rsid w:val="00784ED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D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Strader</dc:creator>
  <cp:lastModifiedBy>Sandeep</cp:lastModifiedBy>
  <cp:revision>2</cp:revision>
  <dcterms:created xsi:type="dcterms:W3CDTF">2024-04-29T14:06:00Z</dcterms:created>
  <dcterms:modified xsi:type="dcterms:W3CDTF">2024-04-29T14:06:00Z</dcterms:modified>
</cp:coreProperties>
</file>