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55E1E" w14:textId="0DF89FD0" w:rsidR="00703274" w:rsidRPr="00C872F8" w:rsidRDefault="00703274" w:rsidP="00703274">
      <w:pPr>
        <w:spacing w:line="480" w:lineRule="auto"/>
        <w:jc w:val="center"/>
        <w:rPr>
          <w:rFonts w:ascii="Times New Roman" w:hAnsi="Times New Roman" w:cs="Times New Roman"/>
          <w:b/>
        </w:rPr>
      </w:pPr>
      <w:r w:rsidRPr="00C872F8">
        <w:rPr>
          <w:rFonts w:ascii="Times New Roman" w:hAnsi="Times New Roman" w:cs="Times New Roman"/>
          <w:b/>
        </w:rPr>
        <w:t>Supplement</w:t>
      </w:r>
      <w:r w:rsidR="00A054F8">
        <w:rPr>
          <w:rFonts w:ascii="Times New Roman" w:hAnsi="Times New Roman" w:cs="Times New Roman"/>
          <w:b/>
        </w:rPr>
        <w:t>ary Material</w:t>
      </w:r>
    </w:p>
    <w:p w14:paraId="25187E24" w14:textId="77777777" w:rsidR="00703274" w:rsidRDefault="00703274" w:rsidP="00703274">
      <w:pPr>
        <w:spacing w:line="480" w:lineRule="auto"/>
        <w:jc w:val="center"/>
        <w:rPr>
          <w:rFonts w:ascii="Times New Roman" w:hAnsi="Times New Roman" w:cs="Times New Roman"/>
          <w:u w:val="single"/>
        </w:rPr>
      </w:pPr>
    </w:p>
    <w:p w14:paraId="48403C58" w14:textId="0ECB3850" w:rsidR="00E77E78" w:rsidRPr="00703274" w:rsidRDefault="00E77E78" w:rsidP="00E77E78">
      <w:pPr>
        <w:spacing w:line="480" w:lineRule="auto"/>
        <w:rPr>
          <w:rFonts w:ascii="Times New Roman" w:hAnsi="Times New Roman" w:cs="Times New Roman"/>
          <w:b/>
        </w:rPr>
      </w:pPr>
      <w:r w:rsidRPr="00703274">
        <w:rPr>
          <w:rFonts w:ascii="Times New Roman" w:hAnsi="Times New Roman" w:cs="Times New Roman"/>
          <w:b/>
        </w:rPr>
        <w:t xml:space="preserve">1) </w:t>
      </w:r>
      <w:r w:rsidR="00727328">
        <w:rPr>
          <w:rFonts w:ascii="Times New Roman" w:hAnsi="Times New Roman" w:cs="Times New Roman"/>
          <w:b/>
        </w:rPr>
        <w:t>B</w:t>
      </w:r>
      <w:r w:rsidR="00CB2252" w:rsidRPr="00703274">
        <w:rPr>
          <w:rFonts w:ascii="Times New Roman" w:hAnsi="Times New Roman" w:cs="Times New Roman"/>
          <w:b/>
        </w:rPr>
        <w:t xml:space="preserve">oundary conditions for biogeochemical parameters </w:t>
      </w:r>
      <w:r w:rsidR="00320A1A">
        <w:rPr>
          <w:rFonts w:ascii="Times New Roman" w:hAnsi="Times New Roman" w:cs="Times New Roman"/>
          <w:b/>
        </w:rPr>
        <w:t>other than NO</w:t>
      </w:r>
      <w:r w:rsidR="00320A1A" w:rsidRPr="00320A1A">
        <w:rPr>
          <w:rFonts w:ascii="Times New Roman" w:hAnsi="Times New Roman" w:cs="Times New Roman"/>
          <w:b/>
          <w:vertAlign w:val="subscript"/>
        </w:rPr>
        <w:t>3</w:t>
      </w:r>
      <w:r w:rsidR="00320A1A">
        <w:rPr>
          <w:rFonts w:ascii="Times New Roman" w:hAnsi="Times New Roman" w:cs="Times New Roman"/>
          <w:b/>
        </w:rPr>
        <w:t>, DIC, and TA</w:t>
      </w:r>
    </w:p>
    <w:p w14:paraId="363078F8" w14:textId="5AB9179C" w:rsidR="00CB2252" w:rsidRDefault="00C03B69" w:rsidP="00CB2252">
      <w:pPr>
        <w:spacing w:line="480" w:lineRule="auto"/>
        <w:ind w:firstLine="720"/>
        <w:rPr>
          <w:rFonts w:ascii="Times New Roman" w:hAnsi="Times New Roman" w:cs="Times New Roman"/>
        </w:rPr>
      </w:pPr>
      <w:r>
        <w:rPr>
          <w:rFonts w:ascii="Times New Roman" w:hAnsi="Times New Roman" w:cs="Times New Roman"/>
        </w:rPr>
        <w:t xml:space="preserve">We do not have sufficient </w:t>
      </w:r>
      <w:r w:rsidR="00292310">
        <w:rPr>
          <w:rFonts w:ascii="Times New Roman" w:hAnsi="Times New Roman" w:cs="Times New Roman"/>
        </w:rPr>
        <w:t xml:space="preserve">information </w:t>
      </w:r>
      <w:r>
        <w:rPr>
          <w:rFonts w:ascii="Times New Roman" w:hAnsi="Times New Roman" w:cs="Times New Roman"/>
        </w:rPr>
        <w:t>to directly</w:t>
      </w:r>
      <w:r w:rsidR="00292310">
        <w:rPr>
          <w:rFonts w:ascii="Times New Roman" w:hAnsi="Times New Roman" w:cs="Times New Roman"/>
        </w:rPr>
        <w:t xml:space="preserve"> construct</w:t>
      </w:r>
      <w:r>
        <w:rPr>
          <w:rFonts w:ascii="Times New Roman" w:hAnsi="Times New Roman" w:cs="Times New Roman"/>
        </w:rPr>
        <w:t xml:space="preserve"> boundary conditions for biogeochemical variables</w:t>
      </w:r>
      <w:r w:rsidR="00292310">
        <w:rPr>
          <w:rFonts w:ascii="Times New Roman" w:hAnsi="Times New Roman" w:cs="Times New Roman"/>
        </w:rPr>
        <w:t xml:space="preserve"> other than NO</w:t>
      </w:r>
      <w:r w:rsidR="00292310" w:rsidRPr="00292310">
        <w:rPr>
          <w:rFonts w:ascii="Times New Roman" w:hAnsi="Times New Roman" w:cs="Times New Roman"/>
          <w:vertAlign w:val="subscript"/>
        </w:rPr>
        <w:t>3</w:t>
      </w:r>
      <w:r w:rsidR="00292310">
        <w:rPr>
          <w:rFonts w:ascii="Times New Roman" w:hAnsi="Times New Roman" w:cs="Times New Roman"/>
        </w:rPr>
        <w:t>, DIC and TA</w:t>
      </w:r>
      <w:r>
        <w:rPr>
          <w:rFonts w:ascii="Times New Roman" w:hAnsi="Times New Roman" w:cs="Times New Roman"/>
        </w:rPr>
        <w:t xml:space="preserve">. Therefore we chose to use the results from the CoSINE model instead. </w:t>
      </w:r>
      <w:r w:rsidR="005667C9">
        <w:rPr>
          <w:rFonts w:ascii="Times New Roman" w:hAnsi="Times New Roman" w:cs="Times New Roman"/>
        </w:rPr>
        <w:t>T</w:t>
      </w:r>
      <w:r>
        <w:rPr>
          <w:rFonts w:ascii="Times New Roman" w:hAnsi="Times New Roman" w:cs="Times New Roman"/>
        </w:rPr>
        <w:t>his mode</w:t>
      </w:r>
      <w:r w:rsidR="005667C9">
        <w:rPr>
          <w:rFonts w:ascii="Times New Roman" w:hAnsi="Times New Roman" w:cs="Times New Roman"/>
        </w:rPr>
        <w:t>l simulation ends in 2007 and therefore</w:t>
      </w:r>
      <w:r>
        <w:rPr>
          <w:rFonts w:ascii="Times New Roman" w:hAnsi="Times New Roman" w:cs="Times New Roman"/>
        </w:rPr>
        <w:t xml:space="preserve"> we chose the results for the last two year (2006-2007) </w:t>
      </w:r>
      <w:r w:rsidR="005667C9">
        <w:rPr>
          <w:rFonts w:ascii="Times New Roman" w:hAnsi="Times New Roman" w:cs="Times New Roman"/>
        </w:rPr>
        <w:t>for our model period 2011-2012. T</w:t>
      </w:r>
      <w:r>
        <w:rPr>
          <w:rFonts w:ascii="Times New Roman" w:hAnsi="Times New Roman" w:cs="Times New Roman"/>
        </w:rPr>
        <w:t xml:space="preserve">his choice of different </w:t>
      </w:r>
      <w:r w:rsidR="005667C9">
        <w:rPr>
          <w:rFonts w:ascii="Times New Roman" w:hAnsi="Times New Roman" w:cs="Times New Roman"/>
        </w:rPr>
        <w:t>model periods, however, shall not significant</w:t>
      </w:r>
      <w:r>
        <w:rPr>
          <w:rFonts w:ascii="Times New Roman" w:hAnsi="Times New Roman" w:cs="Times New Roman"/>
        </w:rPr>
        <w:t>ly affect the bottom carbonate chemistry parameters in the model</w:t>
      </w:r>
      <w:r w:rsidR="005667C9">
        <w:rPr>
          <w:rFonts w:ascii="Times New Roman" w:hAnsi="Times New Roman" w:cs="Times New Roman"/>
        </w:rPr>
        <w:t xml:space="preserve"> for two reasons</w:t>
      </w:r>
      <w:r>
        <w:rPr>
          <w:rFonts w:ascii="Times New Roman" w:hAnsi="Times New Roman" w:cs="Times New Roman"/>
        </w:rPr>
        <w:t xml:space="preserve">. </w:t>
      </w:r>
      <w:r w:rsidR="00E77E78">
        <w:rPr>
          <w:rFonts w:ascii="Times New Roman" w:hAnsi="Times New Roman" w:cs="Times New Roman"/>
        </w:rPr>
        <w:t xml:space="preserve">First of all, the </w:t>
      </w:r>
      <w:r w:rsidR="005667C9">
        <w:rPr>
          <w:rFonts w:ascii="Times New Roman" w:hAnsi="Times New Roman" w:cs="Times New Roman"/>
        </w:rPr>
        <w:t xml:space="preserve">CoSINE model </w:t>
      </w:r>
      <w:r w:rsidR="00E77E78">
        <w:rPr>
          <w:rFonts w:ascii="Times New Roman" w:hAnsi="Times New Roman" w:cs="Times New Roman"/>
        </w:rPr>
        <w:t xml:space="preserve">concentration of particulate organic matter </w:t>
      </w:r>
      <w:r w:rsidR="005667C9">
        <w:rPr>
          <w:rFonts w:ascii="Times New Roman" w:hAnsi="Times New Roman" w:cs="Times New Roman"/>
        </w:rPr>
        <w:t>in the Gulf of Mexico offshore waters is typically small with, e.g., POC &lt; 5 µ molC/kg</w:t>
      </w:r>
      <w:r w:rsidR="00E77E78">
        <w:rPr>
          <w:rFonts w:ascii="Times New Roman" w:hAnsi="Times New Roman" w:cs="Times New Roman"/>
        </w:rPr>
        <w:t>. This is consistent with the observed POC concentration for the upper 150 m along a shelf slope transect off Jacksonville, Florida</w:t>
      </w:r>
      <w:r w:rsidR="00FE21C9">
        <w:rPr>
          <w:rFonts w:ascii="Times New Roman" w:hAnsi="Times New Roman" w:cs="Times New Roman"/>
        </w:rPr>
        <w:t xml:space="preserve"> during the ECOA cruise in July 2017 (</w:t>
      </w:r>
      <w:hyperlink r:id="rId7" w:history="1">
        <w:r w:rsidR="00FE21C9" w:rsidRPr="00035652">
          <w:rPr>
            <w:rStyle w:val="Hyperlink"/>
            <w:rFonts w:ascii="Times New Roman" w:hAnsi="Times New Roman" w:cs="Times New Roman"/>
          </w:rPr>
          <w:t>https://www.nodc.noaa.gov/oads/data/0157080.xml</w:t>
        </w:r>
      </w:hyperlink>
      <w:r w:rsidR="00FE21C9">
        <w:rPr>
          <w:rFonts w:ascii="Times New Roman" w:hAnsi="Times New Roman" w:cs="Times New Roman"/>
        </w:rPr>
        <w:t>)</w:t>
      </w:r>
      <w:r w:rsidR="00E77E78">
        <w:rPr>
          <w:rFonts w:ascii="Times New Roman" w:hAnsi="Times New Roman" w:cs="Times New Roman"/>
        </w:rPr>
        <w:t>, which is about 100 mile north</w:t>
      </w:r>
      <w:r w:rsidR="00FE21C9">
        <w:rPr>
          <w:rFonts w:ascii="Times New Roman" w:hAnsi="Times New Roman" w:cs="Times New Roman"/>
        </w:rPr>
        <w:t xml:space="preserve"> of our northern model boundary</w:t>
      </w:r>
      <w:r w:rsidR="00E77E78">
        <w:rPr>
          <w:rFonts w:ascii="Times New Roman" w:hAnsi="Times New Roman" w:cs="Times New Roman"/>
        </w:rPr>
        <w:t xml:space="preserve">. </w:t>
      </w:r>
      <w:r w:rsidR="00FE21C9">
        <w:rPr>
          <w:rFonts w:ascii="Times New Roman" w:hAnsi="Times New Roman" w:cs="Times New Roman"/>
        </w:rPr>
        <w:t>Similarly, o</w:t>
      </w:r>
      <w:r w:rsidR="00E77E78">
        <w:rPr>
          <w:rFonts w:ascii="Times New Roman" w:hAnsi="Times New Roman" w:cs="Times New Roman"/>
        </w:rPr>
        <w:t>bserved chlorophyll concentration in the Gulf of Mexico offshore waters and in the Florida Strait is also typically lower than &lt;1 µg/l, which is equivalent to &lt; 4 µmol</w:t>
      </w:r>
      <w:r w:rsidR="00FE21C9">
        <w:rPr>
          <w:rFonts w:ascii="Times New Roman" w:hAnsi="Times New Roman" w:cs="Times New Roman"/>
        </w:rPr>
        <w:t>C</w:t>
      </w:r>
      <w:r w:rsidR="00E77E78">
        <w:rPr>
          <w:rFonts w:ascii="Times New Roman" w:hAnsi="Times New Roman" w:cs="Times New Roman"/>
        </w:rPr>
        <w:t xml:space="preserve">/kg using a carbon-to-chlorophyll ratio of 50 (Figure S2; Llopiz, 2018). Therefore, POC is unlikely </w:t>
      </w:r>
      <w:r w:rsidR="00FE21C9">
        <w:rPr>
          <w:rFonts w:ascii="Times New Roman" w:hAnsi="Times New Roman" w:cs="Times New Roman"/>
        </w:rPr>
        <w:t xml:space="preserve">to be </w:t>
      </w:r>
      <w:r w:rsidR="00E77E78">
        <w:rPr>
          <w:rFonts w:ascii="Times New Roman" w:hAnsi="Times New Roman" w:cs="Times New Roman"/>
        </w:rPr>
        <w:t xml:space="preserve">a major factor contributing to the </w:t>
      </w:r>
      <w:r w:rsidR="00FE21C9">
        <w:rPr>
          <w:rFonts w:ascii="Times New Roman" w:hAnsi="Times New Roman" w:cs="Times New Roman"/>
        </w:rPr>
        <w:t xml:space="preserve">variability of </w:t>
      </w:r>
      <w:r w:rsidR="00E77E78">
        <w:rPr>
          <w:rFonts w:ascii="Times New Roman" w:hAnsi="Times New Roman" w:cs="Times New Roman"/>
        </w:rPr>
        <w:t>modeled bottom DIC</w:t>
      </w:r>
      <w:r w:rsidR="00FE21C9">
        <w:rPr>
          <w:rFonts w:ascii="Times New Roman" w:hAnsi="Times New Roman" w:cs="Times New Roman"/>
        </w:rPr>
        <w:t xml:space="preserve"> and TA concentrations (magnitudes of both up &gt;40 µmol/kg on daily to monthly timescales), which are dominated by the meandering of Florida Current and associated eddies</w:t>
      </w:r>
      <w:r w:rsidR="00E77E78">
        <w:rPr>
          <w:rFonts w:ascii="Times New Roman" w:hAnsi="Times New Roman" w:cs="Times New Roman"/>
        </w:rPr>
        <w:t>. Secondly, the t</w:t>
      </w:r>
      <w:r w:rsidR="00FE21C9">
        <w:rPr>
          <w:rFonts w:ascii="Times New Roman" w:hAnsi="Times New Roman" w:cs="Times New Roman"/>
        </w:rPr>
        <w:t>ypical DOC concentration in the GOM and Florida Straits</w:t>
      </w:r>
      <w:r w:rsidR="00E77E78">
        <w:rPr>
          <w:rFonts w:ascii="Times New Roman" w:hAnsi="Times New Roman" w:cs="Times New Roman"/>
        </w:rPr>
        <w:t xml:space="preserve"> region is about 40-50 µmolC/kg based on limited measurements during GOMECC2</w:t>
      </w:r>
      <w:r w:rsidR="00FE21C9">
        <w:rPr>
          <w:rFonts w:ascii="Times New Roman" w:hAnsi="Times New Roman" w:cs="Times New Roman"/>
        </w:rPr>
        <w:t xml:space="preserve"> cruise</w:t>
      </w:r>
      <w:r w:rsidR="00E77E78">
        <w:rPr>
          <w:rFonts w:ascii="Times New Roman" w:hAnsi="Times New Roman" w:cs="Times New Roman"/>
        </w:rPr>
        <w:t xml:space="preserve">, and the CoSINE model </w:t>
      </w:r>
      <w:r w:rsidR="00FE21C9">
        <w:rPr>
          <w:rFonts w:ascii="Times New Roman" w:hAnsi="Times New Roman" w:cs="Times New Roman"/>
        </w:rPr>
        <w:t xml:space="preserve">results </w:t>
      </w:r>
      <w:r w:rsidR="00E77E78">
        <w:rPr>
          <w:rFonts w:ascii="Times New Roman" w:hAnsi="Times New Roman" w:cs="Times New Roman"/>
        </w:rPr>
        <w:t>s</w:t>
      </w:r>
      <w:r w:rsidR="00FE21C9">
        <w:rPr>
          <w:rFonts w:ascii="Times New Roman" w:hAnsi="Times New Roman" w:cs="Times New Roman"/>
        </w:rPr>
        <w:t>how</w:t>
      </w:r>
      <w:r w:rsidR="006A105F">
        <w:rPr>
          <w:rFonts w:ascii="Times New Roman" w:hAnsi="Times New Roman" w:cs="Times New Roman"/>
        </w:rPr>
        <w:t xml:space="preserve"> a similar range</w:t>
      </w:r>
      <w:r w:rsidR="00E77E78">
        <w:rPr>
          <w:rFonts w:ascii="Times New Roman" w:hAnsi="Times New Roman" w:cs="Times New Roman"/>
        </w:rPr>
        <w:t>. Importantly,</w:t>
      </w:r>
      <w:r w:rsidR="006A105F">
        <w:rPr>
          <w:rFonts w:ascii="Times New Roman" w:hAnsi="Times New Roman" w:cs="Times New Roman"/>
        </w:rPr>
        <w:t xml:space="preserve"> the range of </w:t>
      </w:r>
      <w:r w:rsidR="00641C63">
        <w:rPr>
          <w:rFonts w:ascii="Times New Roman" w:hAnsi="Times New Roman" w:cs="Times New Roman"/>
        </w:rPr>
        <w:t xml:space="preserve">the </w:t>
      </w:r>
      <w:r w:rsidR="00FE21C9">
        <w:rPr>
          <w:rFonts w:ascii="Times New Roman" w:hAnsi="Times New Roman" w:cs="Times New Roman"/>
        </w:rPr>
        <w:t xml:space="preserve">CoSINE model </w:t>
      </w:r>
      <w:r w:rsidR="006A105F">
        <w:rPr>
          <w:rFonts w:ascii="Times New Roman" w:hAnsi="Times New Roman" w:cs="Times New Roman"/>
        </w:rPr>
        <w:t xml:space="preserve">DOC along </w:t>
      </w:r>
      <w:r w:rsidR="00FE21C9">
        <w:rPr>
          <w:rFonts w:ascii="Times New Roman" w:hAnsi="Times New Roman" w:cs="Times New Roman"/>
        </w:rPr>
        <w:t>our</w:t>
      </w:r>
      <w:r w:rsidR="00641C63">
        <w:rPr>
          <w:rFonts w:ascii="Times New Roman" w:hAnsi="Times New Roman" w:cs="Times New Roman"/>
        </w:rPr>
        <w:t xml:space="preserve"> </w:t>
      </w:r>
      <w:r w:rsidR="006A105F">
        <w:rPr>
          <w:rFonts w:ascii="Times New Roman" w:hAnsi="Times New Roman" w:cs="Times New Roman"/>
        </w:rPr>
        <w:t>western boundary</w:t>
      </w:r>
      <w:r w:rsidR="00641C63">
        <w:rPr>
          <w:rFonts w:ascii="Times New Roman" w:hAnsi="Times New Roman" w:cs="Times New Roman"/>
        </w:rPr>
        <w:t xml:space="preserve"> </w:t>
      </w:r>
      <w:r w:rsidR="00FE21C9">
        <w:rPr>
          <w:rFonts w:ascii="Times New Roman" w:hAnsi="Times New Roman" w:cs="Times New Roman"/>
        </w:rPr>
        <w:t xml:space="preserve">on seasonal and inter-annual time-scale </w:t>
      </w:r>
      <w:r w:rsidR="006A105F">
        <w:rPr>
          <w:rFonts w:ascii="Times New Roman" w:hAnsi="Times New Roman" w:cs="Times New Roman"/>
        </w:rPr>
        <w:t xml:space="preserve">is </w:t>
      </w:r>
      <w:r w:rsidR="006D1A93">
        <w:rPr>
          <w:rFonts w:ascii="Times New Roman" w:hAnsi="Times New Roman" w:cs="Times New Roman"/>
        </w:rPr>
        <w:t>&lt;</w:t>
      </w:r>
      <w:r w:rsidR="006A105F">
        <w:rPr>
          <w:rFonts w:ascii="Times New Roman" w:hAnsi="Times New Roman" w:cs="Times New Roman"/>
        </w:rPr>
        <w:t>10 µmolC/kg</w:t>
      </w:r>
      <w:r w:rsidR="00FE21C9">
        <w:rPr>
          <w:rFonts w:ascii="Times New Roman" w:hAnsi="Times New Roman" w:cs="Times New Roman"/>
        </w:rPr>
        <w:t xml:space="preserve"> (Figure S3)</w:t>
      </w:r>
      <w:r w:rsidR="006A105F">
        <w:rPr>
          <w:rFonts w:ascii="Times New Roman" w:hAnsi="Times New Roman" w:cs="Times New Roman"/>
        </w:rPr>
        <w:t xml:space="preserve">. Given the slow </w:t>
      </w:r>
      <w:r w:rsidR="006A105F">
        <w:rPr>
          <w:rFonts w:ascii="Times New Roman" w:hAnsi="Times New Roman" w:cs="Times New Roman"/>
        </w:rPr>
        <w:lastRenderedPageBreak/>
        <w:t>remineralization (e.g. 0.03 day</w:t>
      </w:r>
      <w:r w:rsidR="006A105F" w:rsidRPr="006A105F">
        <w:rPr>
          <w:rFonts w:ascii="Times New Roman" w:hAnsi="Times New Roman" w:cs="Times New Roman"/>
          <w:vertAlign w:val="superscript"/>
        </w:rPr>
        <w:t>-1</w:t>
      </w:r>
      <w:r w:rsidR="006A105F">
        <w:rPr>
          <w:rFonts w:ascii="Times New Roman" w:hAnsi="Times New Roman" w:cs="Times New Roman"/>
        </w:rPr>
        <w:t xml:space="preserve">) of DOC in deep waters and assuming a 10-day transit time for GOM waters to our study area, we expect </w:t>
      </w:r>
      <w:r w:rsidR="00641C63">
        <w:rPr>
          <w:rFonts w:ascii="Times New Roman" w:hAnsi="Times New Roman" w:cs="Times New Roman"/>
        </w:rPr>
        <w:t xml:space="preserve">this variability translates to </w:t>
      </w:r>
      <w:r w:rsidR="00FE21C9">
        <w:rPr>
          <w:rFonts w:ascii="Times New Roman" w:hAnsi="Times New Roman" w:cs="Times New Roman"/>
        </w:rPr>
        <w:t xml:space="preserve">less than </w:t>
      </w:r>
      <w:r w:rsidR="00641C63">
        <w:rPr>
          <w:rFonts w:ascii="Times New Roman" w:hAnsi="Times New Roman" w:cs="Times New Roman"/>
        </w:rPr>
        <w:t>3 µmolC/kg of DIC variability in</w:t>
      </w:r>
      <w:r w:rsidR="00FE21C9">
        <w:rPr>
          <w:rFonts w:ascii="Times New Roman" w:hAnsi="Times New Roman" w:cs="Times New Roman"/>
        </w:rPr>
        <w:t xml:space="preserve"> the Florida Straits</w:t>
      </w:r>
      <w:r w:rsidR="00641C63">
        <w:rPr>
          <w:rFonts w:ascii="Times New Roman" w:hAnsi="Times New Roman" w:cs="Times New Roman"/>
        </w:rPr>
        <w:t xml:space="preserve">, much smaller than the modeled DIC variability. Therefore, the uncertainty of model results due to this boundary choice shall be small. </w:t>
      </w:r>
    </w:p>
    <w:p w14:paraId="32303BB4" w14:textId="77777777" w:rsidR="0003787A" w:rsidRDefault="0003787A" w:rsidP="00CB2252">
      <w:pPr>
        <w:spacing w:line="480" w:lineRule="auto"/>
        <w:ind w:firstLine="720"/>
        <w:rPr>
          <w:rFonts w:ascii="Times New Roman" w:hAnsi="Times New Roman" w:cs="Times New Roman"/>
        </w:rPr>
      </w:pPr>
    </w:p>
    <w:p w14:paraId="39C0F1B4" w14:textId="77777777" w:rsidR="00CB2252" w:rsidRPr="00703274" w:rsidRDefault="00CB2252" w:rsidP="00CB2252">
      <w:pPr>
        <w:spacing w:line="480" w:lineRule="auto"/>
        <w:rPr>
          <w:rFonts w:ascii="Times New Roman" w:hAnsi="Times New Roman" w:cs="Times New Roman"/>
          <w:b/>
        </w:rPr>
      </w:pPr>
      <w:r w:rsidRPr="00703274">
        <w:rPr>
          <w:rFonts w:ascii="Times New Roman" w:hAnsi="Times New Roman" w:cs="Times New Roman"/>
          <w:b/>
        </w:rPr>
        <w:t xml:space="preserve">2) Sensitivity of mesoscale eddies to the cut-off period using high-pass filtering </w:t>
      </w:r>
    </w:p>
    <w:p w14:paraId="1F897709" w14:textId="1D14525D" w:rsidR="0003787A" w:rsidRDefault="00CB2252" w:rsidP="00CB2252">
      <w:pPr>
        <w:spacing w:line="480" w:lineRule="auto"/>
        <w:ind w:firstLine="720"/>
        <w:rPr>
          <w:rFonts w:ascii="Times New Roman" w:hAnsi="Times New Roman" w:cs="Times New Roman"/>
        </w:rPr>
      </w:pPr>
      <w:r>
        <w:rPr>
          <w:rFonts w:ascii="Times New Roman" w:hAnsi="Times New Roman" w:cs="Times New Roman"/>
        </w:rPr>
        <w:t xml:space="preserve">The magnitudes of temporal variability of bottom water properties due to mesoscale eddies are somewhat depending on the cut-off period of high-pass filtering because there is no clear-cut definition of mesoscale timescales. </w:t>
      </w:r>
      <w:r w:rsidR="00D96F7C">
        <w:rPr>
          <w:rFonts w:ascii="Times New Roman" w:hAnsi="Times New Roman" w:cs="Times New Roman"/>
        </w:rPr>
        <w:t xml:space="preserve">In the manuscript, we chose an arbitrary cut-off period of 11 day and any variability shorter than that is considered meso-scale variability. </w:t>
      </w:r>
      <w:r>
        <w:rPr>
          <w:rFonts w:ascii="Times New Roman" w:hAnsi="Times New Roman" w:cs="Times New Roman"/>
        </w:rPr>
        <w:t xml:space="preserve">However, the general conclusions we draw </w:t>
      </w:r>
      <w:r w:rsidR="00D96F7C">
        <w:rPr>
          <w:rFonts w:ascii="Times New Roman" w:hAnsi="Times New Roman" w:cs="Times New Roman"/>
        </w:rPr>
        <w:t xml:space="preserve">shall </w:t>
      </w:r>
      <w:r>
        <w:rPr>
          <w:rFonts w:ascii="Times New Roman" w:hAnsi="Times New Roman" w:cs="Times New Roman"/>
        </w:rPr>
        <w:t xml:space="preserve">remain valid for a cut-off period ranging from 7 to 15 day. </w:t>
      </w:r>
      <w:r w:rsidR="005E578C">
        <w:rPr>
          <w:rFonts w:ascii="Times New Roman" w:hAnsi="Times New Roman" w:cs="Times New Roman"/>
        </w:rPr>
        <w:t xml:space="preserve">An example of </w:t>
      </w:r>
      <w:r w:rsidR="006A105F">
        <w:rPr>
          <w:rFonts w:ascii="Times New Roman" w:hAnsi="Times New Roman" w:cs="Times New Roman"/>
        </w:rPr>
        <w:t>this is</w:t>
      </w:r>
      <w:r w:rsidR="006D1A93">
        <w:rPr>
          <w:rFonts w:ascii="Times New Roman" w:hAnsi="Times New Roman" w:cs="Times New Roman"/>
        </w:rPr>
        <w:t xml:space="preserve"> shown in Figure S4</w:t>
      </w:r>
      <w:r w:rsidR="00D96F7C">
        <w:rPr>
          <w:rFonts w:ascii="Times New Roman" w:hAnsi="Times New Roman" w:cs="Times New Roman"/>
        </w:rPr>
        <w:t>, which</w:t>
      </w:r>
      <w:r w:rsidR="0063136E">
        <w:rPr>
          <w:rFonts w:ascii="Times New Roman" w:hAnsi="Times New Roman" w:cs="Times New Roman"/>
        </w:rPr>
        <w:t xml:space="preserve"> shows the model vorticity and bottom temperature</w:t>
      </w:r>
      <w:r w:rsidR="00D96F7C">
        <w:rPr>
          <w:rFonts w:ascii="Times New Roman" w:hAnsi="Times New Roman" w:cs="Times New Roman"/>
        </w:rPr>
        <w:t xml:space="preserve"> </w:t>
      </w:r>
      <w:r w:rsidR="0063136E">
        <w:rPr>
          <w:rFonts w:ascii="Times New Roman" w:hAnsi="Times New Roman" w:cs="Times New Roman"/>
        </w:rPr>
        <w:t xml:space="preserve">at the two slope stations in Pourtales Terrace and Miami Terrace, </w:t>
      </w:r>
      <w:r w:rsidR="00D96F7C">
        <w:rPr>
          <w:rFonts w:ascii="Times New Roman" w:hAnsi="Times New Roman" w:cs="Times New Roman"/>
        </w:rPr>
        <w:t xml:space="preserve">same as </w:t>
      </w:r>
      <w:r w:rsidR="0063136E">
        <w:rPr>
          <w:rFonts w:ascii="Times New Roman" w:hAnsi="Times New Roman" w:cs="Times New Roman"/>
        </w:rPr>
        <w:t xml:space="preserve">Figure 15 but with </w:t>
      </w:r>
      <w:r w:rsidR="00D96F7C">
        <w:rPr>
          <w:rFonts w:ascii="Times New Roman" w:hAnsi="Times New Roman" w:cs="Times New Roman"/>
        </w:rPr>
        <w:t>a cut-off period of 15-day</w:t>
      </w:r>
      <w:r w:rsidR="0063136E">
        <w:rPr>
          <w:rFonts w:ascii="Times New Roman" w:hAnsi="Times New Roman" w:cs="Times New Roman"/>
        </w:rPr>
        <w:t xml:space="preserve"> for low-passed filtering</w:t>
      </w:r>
      <w:r w:rsidR="00D96F7C">
        <w:rPr>
          <w:rFonts w:ascii="Times New Roman" w:hAnsi="Times New Roman" w:cs="Times New Roman"/>
        </w:rPr>
        <w:t xml:space="preserve">. The results show similar </w:t>
      </w:r>
      <w:r w:rsidR="0063136E">
        <w:rPr>
          <w:rFonts w:ascii="Times New Roman" w:hAnsi="Times New Roman" w:cs="Times New Roman"/>
        </w:rPr>
        <w:t xml:space="preserve">but slightly increased </w:t>
      </w:r>
      <w:r w:rsidR="00D96F7C">
        <w:rPr>
          <w:rFonts w:ascii="Times New Roman" w:hAnsi="Times New Roman" w:cs="Times New Roman"/>
        </w:rPr>
        <w:t xml:space="preserve">correlations between </w:t>
      </w:r>
      <w:r w:rsidR="0063136E">
        <w:rPr>
          <w:rFonts w:ascii="Times New Roman" w:hAnsi="Times New Roman" w:cs="Times New Roman"/>
        </w:rPr>
        <w:t xml:space="preserve">the </w:t>
      </w:r>
      <w:r w:rsidR="00D96F7C">
        <w:rPr>
          <w:rFonts w:ascii="Times New Roman" w:hAnsi="Times New Roman" w:cs="Times New Roman"/>
        </w:rPr>
        <w:t>vorticity and temperature anomaly</w:t>
      </w:r>
      <w:r w:rsidR="00DC538E">
        <w:rPr>
          <w:rFonts w:ascii="Times New Roman" w:hAnsi="Times New Roman" w:cs="Times New Roman"/>
        </w:rPr>
        <w:t xml:space="preserve"> (more energy) and slightly weaker</w:t>
      </w:r>
      <w:r w:rsidR="0063136E">
        <w:rPr>
          <w:rFonts w:ascii="Times New Roman" w:hAnsi="Times New Roman" w:cs="Times New Roman"/>
        </w:rPr>
        <w:t xml:space="preserve"> correlations between low-passed vorticity and temperature (less energy)</w:t>
      </w:r>
      <w:r w:rsidR="005E578C">
        <w:rPr>
          <w:rFonts w:ascii="Times New Roman" w:hAnsi="Times New Roman" w:cs="Times New Roman"/>
        </w:rPr>
        <w:t xml:space="preserve">. </w:t>
      </w:r>
    </w:p>
    <w:p w14:paraId="0D81DFD0" w14:textId="77777777" w:rsidR="0003787A" w:rsidRDefault="0003787A" w:rsidP="00CB2252">
      <w:pPr>
        <w:spacing w:line="480" w:lineRule="auto"/>
        <w:ind w:firstLine="720"/>
        <w:rPr>
          <w:rFonts w:ascii="Times New Roman" w:hAnsi="Times New Roman" w:cs="Times New Roman"/>
        </w:rPr>
      </w:pPr>
    </w:p>
    <w:p w14:paraId="4A73E616" w14:textId="70014B0B" w:rsidR="0003787A" w:rsidRPr="00703274" w:rsidRDefault="0003787A" w:rsidP="0003787A">
      <w:pPr>
        <w:spacing w:line="480" w:lineRule="auto"/>
        <w:rPr>
          <w:rFonts w:ascii="Times New Roman" w:hAnsi="Times New Roman" w:cs="Times New Roman"/>
          <w:b/>
        </w:rPr>
      </w:pPr>
      <w:r>
        <w:rPr>
          <w:rFonts w:ascii="Times New Roman" w:hAnsi="Times New Roman" w:cs="Times New Roman"/>
          <w:b/>
        </w:rPr>
        <w:t>3</w:t>
      </w:r>
      <w:r w:rsidRPr="00703274">
        <w:rPr>
          <w:rFonts w:ascii="Times New Roman" w:hAnsi="Times New Roman" w:cs="Times New Roman"/>
          <w:b/>
        </w:rPr>
        <w:t xml:space="preserve">) Sensitivity of </w:t>
      </w:r>
      <w:r>
        <w:rPr>
          <w:rFonts w:ascii="Times New Roman" w:hAnsi="Times New Roman" w:cs="Times New Roman"/>
          <w:b/>
        </w:rPr>
        <w:t>model results to boundary conditions and horizontal mixing</w:t>
      </w:r>
    </w:p>
    <w:p w14:paraId="0A0F45AC" w14:textId="7659593C" w:rsidR="00011C26" w:rsidRDefault="0003787A" w:rsidP="0003787A">
      <w:pPr>
        <w:spacing w:line="480" w:lineRule="auto"/>
        <w:ind w:firstLine="720"/>
        <w:rPr>
          <w:rFonts w:ascii="Times New Roman" w:hAnsi="Times New Roman" w:cs="Times New Roman"/>
        </w:rPr>
      </w:pPr>
      <w:r>
        <w:rPr>
          <w:rFonts w:ascii="Times New Roman" w:hAnsi="Times New Roman" w:cs="Times New Roman"/>
        </w:rPr>
        <w:t>We have tested the sensitivity of model results to various model treatments including boundary conditions and mixing parameterizations (mixing rate and mixing scheme). The results indicate that the modeled key features including mesoscale eddies and temporal and spatial variability of key variables are robust to these treatments in general. There are, however, significant changes in the magnitudes of temporal-spatial variability and timing and locations of m</w:t>
      </w:r>
      <w:r w:rsidR="006D1A93">
        <w:rPr>
          <w:rFonts w:ascii="Times New Roman" w:hAnsi="Times New Roman" w:cs="Times New Roman"/>
        </w:rPr>
        <w:t>eso-scale eddies</w:t>
      </w:r>
      <w:r w:rsidR="003020EB">
        <w:rPr>
          <w:rFonts w:ascii="Times New Roman" w:hAnsi="Times New Roman" w:cs="Times New Roman"/>
        </w:rPr>
        <w:t xml:space="preserve">. An example of these is shown in </w:t>
      </w:r>
      <w:r w:rsidR="006D1A93">
        <w:rPr>
          <w:rFonts w:ascii="Times New Roman" w:hAnsi="Times New Roman" w:cs="Times New Roman"/>
        </w:rPr>
        <w:t>Figure S5-S6</w:t>
      </w:r>
      <w:r w:rsidR="003020EB">
        <w:rPr>
          <w:rFonts w:ascii="Times New Roman" w:hAnsi="Times New Roman" w:cs="Times New Roman"/>
        </w:rPr>
        <w:t xml:space="preserve"> in which modeled bottom temperature, DIC and TA concentrations are shown for three case: Control, reduced horizontal mixing coefficient from 10 m</w:t>
      </w:r>
      <w:r w:rsidR="003020EB" w:rsidRPr="003020EB">
        <w:rPr>
          <w:rFonts w:ascii="Times New Roman" w:hAnsi="Times New Roman" w:cs="Times New Roman"/>
          <w:vertAlign w:val="superscript"/>
        </w:rPr>
        <w:t>2</w:t>
      </w:r>
      <w:r w:rsidR="003020EB">
        <w:rPr>
          <w:rFonts w:ascii="Times New Roman" w:hAnsi="Times New Roman" w:cs="Times New Roman"/>
        </w:rPr>
        <w:t>/sec to 5 m</w:t>
      </w:r>
      <w:r w:rsidR="003020EB" w:rsidRPr="003020EB">
        <w:rPr>
          <w:rFonts w:ascii="Times New Roman" w:hAnsi="Times New Roman" w:cs="Times New Roman"/>
          <w:vertAlign w:val="superscript"/>
        </w:rPr>
        <w:t>2</w:t>
      </w:r>
      <w:r w:rsidR="003020EB">
        <w:rPr>
          <w:rFonts w:ascii="Times New Roman" w:hAnsi="Times New Roman" w:cs="Times New Roman"/>
        </w:rPr>
        <w:t>/sec (Low Mixing), and increased the western boundary flow by 5% (sea level gradient was adjusted accordingly) (Obc)</w:t>
      </w:r>
      <w:r>
        <w:rPr>
          <w:rFonts w:ascii="Times New Roman" w:hAnsi="Times New Roman" w:cs="Times New Roman"/>
        </w:rPr>
        <w:t xml:space="preserve">. </w:t>
      </w:r>
      <w:r w:rsidR="003020EB">
        <w:rPr>
          <w:rFonts w:ascii="Times New Roman" w:hAnsi="Times New Roman" w:cs="Times New Roman"/>
        </w:rPr>
        <w:t>The results indicate that reduced horizontal mixing could significantly increase temporal variability of these parameters</w:t>
      </w:r>
      <w:r w:rsidR="008C2F67">
        <w:rPr>
          <w:rFonts w:ascii="Times New Roman" w:hAnsi="Times New Roman" w:cs="Times New Roman"/>
        </w:rPr>
        <w:t xml:space="preserve">, </w:t>
      </w:r>
      <w:r w:rsidR="00114AD6">
        <w:rPr>
          <w:rFonts w:ascii="Times New Roman" w:hAnsi="Times New Roman" w:cs="Times New Roman"/>
        </w:rPr>
        <w:t xml:space="preserve">~10% </w:t>
      </w:r>
      <w:r w:rsidR="008C2F67">
        <w:rPr>
          <w:rFonts w:ascii="Times New Roman" w:hAnsi="Times New Roman" w:cs="Times New Roman"/>
        </w:rPr>
        <w:t xml:space="preserve">changes in </w:t>
      </w:r>
      <w:r w:rsidR="00114AD6">
        <w:rPr>
          <w:rFonts w:ascii="Times New Roman" w:hAnsi="Times New Roman" w:cs="Times New Roman"/>
        </w:rPr>
        <w:t>standard deviation</w:t>
      </w:r>
      <w:r w:rsidR="00EB1FC6">
        <w:rPr>
          <w:rFonts w:ascii="Times New Roman" w:hAnsi="Times New Roman" w:cs="Times New Roman"/>
        </w:rPr>
        <w:t xml:space="preserve"> (Table S1)</w:t>
      </w:r>
      <w:r w:rsidR="003020EB">
        <w:rPr>
          <w:rFonts w:ascii="Times New Roman" w:hAnsi="Times New Roman" w:cs="Times New Roman"/>
        </w:rPr>
        <w:t xml:space="preserve">, likely due to the increased horizontal gradients. On the other hand, </w:t>
      </w:r>
      <w:r w:rsidR="000B3358">
        <w:rPr>
          <w:rFonts w:ascii="Times New Roman" w:hAnsi="Times New Roman" w:cs="Times New Roman"/>
        </w:rPr>
        <w:t>model results appear to be less sensitivity to the small changes of boundary currents</w:t>
      </w:r>
      <w:r w:rsidR="008C2F67">
        <w:rPr>
          <w:rFonts w:ascii="Times New Roman" w:hAnsi="Times New Roman" w:cs="Times New Roman"/>
        </w:rPr>
        <w:t xml:space="preserve"> with &lt;5% changes in standard deviation</w:t>
      </w:r>
      <w:r w:rsidR="000B3358">
        <w:rPr>
          <w:rFonts w:ascii="Times New Roman" w:hAnsi="Times New Roman" w:cs="Times New Roman"/>
        </w:rPr>
        <w:t xml:space="preserve">. </w:t>
      </w:r>
      <w:r w:rsidR="00FF1D57">
        <w:rPr>
          <w:rFonts w:ascii="Times New Roman" w:hAnsi="Times New Roman" w:cs="Times New Roman"/>
        </w:rPr>
        <w:t>A systematic a</w:t>
      </w:r>
      <w:r w:rsidR="009B6EE9">
        <w:rPr>
          <w:rFonts w:ascii="Times New Roman" w:hAnsi="Times New Roman" w:cs="Times New Roman"/>
        </w:rPr>
        <w:t xml:space="preserve">nalysis of model sensitivity, however, is </w:t>
      </w:r>
      <w:r w:rsidR="00FF1D57">
        <w:rPr>
          <w:rFonts w:ascii="Times New Roman" w:hAnsi="Times New Roman" w:cs="Times New Roman"/>
        </w:rPr>
        <w:t xml:space="preserve">yet to be carried out in the future. </w:t>
      </w:r>
    </w:p>
    <w:p w14:paraId="52D6AAA5" w14:textId="77777777" w:rsidR="00011C26" w:rsidRDefault="00011C26" w:rsidP="0003787A">
      <w:pPr>
        <w:spacing w:line="480" w:lineRule="auto"/>
        <w:ind w:firstLine="720"/>
        <w:rPr>
          <w:rFonts w:ascii="Times New Roman" w:hAnsi="Times New Roman" w:cs="Times New Roman"/>
        </w:rPr>
      </w:pPr>
    </w:p>
    <w:p w14:paraId="692C1A41" w14:textId="77777777" w:rsidR="00011C26" w:rsidRDefault="00011C26">
      <w:pPr>
        <w:rPr>
          <w:rFonts w:ascii="Times New Roman" w:hAnsi="Times New Roman" w:cs="Times New Roman"/>
        </w:rPr>
      </w:pPr>
      <w:r>
        <w:rPr>
          <w:rFonts w:ascii="Times New Roman" w:hAnsi="Times New Roman" w:cs="Times New Roman"/>
        </w:rPr>
        <w:br w:type="page"/>
      </w:r>
    </w:p>
    <w:p w14:paraId="5BF82879" w14:textId="77777777" w:rsidR="00011C26" w:rsidRDefault="00011C26" w:rsidP="0003787A">
      <w:pPr>
        <w:spacing w:line="480" w:lineRule="auto"/>
        <w:ind w:firstLine="720"/>
        <w:rPr>
          <w:rFonts w:ascii="Times New Roman" w:hAnsi="Times New Roman" w:cs="Times New Roman"/>
        </w:rPr>
      </w:pPr>
    </w:p>
    <w:p w14:paraId="5A358345" w14:textId="77777777" w:rsidR="00011C26" w:rsidRDefault="00011C26" w:rsidP="0003787A">
      <w:pPr>
        <w:spacing w:line="480" w:lineRule="auto"/>
        <w:ind w:firstLine="720"/>
        <w:rPr>
          <w:rFonts w:ascii="Times New Roman" w:hAnsi="Times New Roman" w:cs="Times New Roman"/>
        </w:rPr>
      </w:pPr>
    </w:p>
    <w:p w14:paraId="51F9DBB0" w14:textId="77777777" w:rsidR="00011C26" w:rsidRDefault="00011C26" w:rsidP="0003787A">
      <w:pPr>
        <w:spacing w:line="480" w:lineRule="auto"/>
        <w:ind w:firstLine="720"/>
        <w:rPr>
          <w:rFonts w:ascii="Times New Roman" w:hAnsi="Times New Roman" w:cs="Times New Roman"/>
        </w:rPr>
      </w:pPr>
    </w:p>
    <w:p w14:paraId="2EA861B9" w14:textId="77777777" w:rsidR="008C2F67" w:rsidRDefault="008C2F67" w:rsidP="0003787A">
      <w:pPr>
        <w:spacing w:line="480" w:lineRule="auto"/>
        <w:ind w:firstLine="720"/>
        <w:rPr>
          <w:rFonts w:ascii="Times New Roman" w:hAnsi="Times New Roman" w:cs="Times New Roman"/>
        </w:rPr>
      </w:pPr>
    </w:p>
    <w:p w14:paraId="0CB9B321" w14:textId="77777777" w:rsidR="008C2F67" w:rsidRDefault="008C2F67" w:rsidP="0003787A">
      <w:pPr>
        <w:spacing w:line="480" w:lineRule="auto"/>
        <w:ind w:firstLine="720"/>
        <w:rPr>
          <w:rFonts w:ascii="Times New Roman" w:hAnsi="Times New Roman" w:cs="Times New Roman"/>
        </w:rPr>
      </w:pPr>
    </w:p>
    <w:p w14:paraId="04E318D8" w14:textId="33831457" w:rsidR="00011C26" w:rsidRPr="00011C26" w:rsidRDefault="00011C26" w:rsidP="00011C26">
      <w:pPr>
        <w:spacing w:line="480" w:lineRule="auto"/>
        <w:jc w:val="center"/>
        <w:rPr>
          <w:rFonts w:ascii="Times New Roman" w:hAnsi="Times New Roman" w:cs="Times New Roman"/>
          <w:b/>
          <w:sz w:val="22"/>
          <w:szCs w:val="22"/>
        </w:rPr>
      </w:pPr>
      <w:r w:rsidRPr="00011C26">
        <w:rPr>
          <w:rFonts w:ascii="Times New Roman" w:hAnsi="Times New Roman" w:cs="Times New Roman"/>
          <w:b/>
          <w:sz w:val="22"/>
          <w:szCs w:val="22"/>
        </w:rPr>
        <w:t xml:space="preserve">Table </w:t>
      </w:r>
      <w:r w:rsidR="00114AD6">
        <w:rPr>
          <w:rFonts w:ascii="Times New Roman" w:hAnsi="Times New Roman" w:cs="Times New Roman"/>
          <w:b/>
          <w:sz w:val="22"/>
          <w:szCs w:val="22"/>
        </w:rPr>
        <w:t>S</w:t>
      </w:r>
      <w:r w:rsidRPr="00011C26">
        <w:rPr>
          <w:rFonts w:ascii="Times New Roman" w:hAnsi="Times New Roman" w:cs="Times New Roman"/>
          <w:b/>
          <w:sz w:val="22"/>
          <w:szCs w:val="22"/>
        </w:rPr>
        <w:t>1. Standard deviation of modeled bottom temperature, DIC and TA at the two slope stations on the Pourtales Terrace and Miami Terrace.</w:t>
      </w:r>
    </w:p>
    <w:tbl>
      <w:tblPr>
        <w:tblStyle w:val="TableGrid"/>
        <w:tblW w:w="0" w:type="auto"/>
        <w:tblLook w:val="04A0" w:firstRow="1" w:lastRow="0" w:firstColumn="1" w:lastColumn="0" w:noHBand="0" w:noVBand="1"/>
      </w:tblPr>
      <w:tblGrid>
        <w:gridCol w:w="1915"/>
        <w:gridCol w:w="1915"/>
        <w:gridCol w:w="1915"/>
        <w:gridCol w:w="1915"/>
        <w:gridCol w:w="1916"/>
      </w:tblGrid>
      <w:tr w:rsidR="00011C26" w14:paraId="5D4EBBAD" w14:textId="77777777" w:rsidTr="009F541E">
        <w:tc>
          <w:tcPr>
            <w:tcW w:w="1915" w:type="dxa"/>
            <w:vAlign w:val="center"/>
          </w:tcPr>
          <w:p w14:paraId="774BFA48" w14:textId="77777777" w:rsidR="00011C26" w:rsidRPr="00543890" w:rsidRDefault="00011C26" w:rsidP="009F541E">
            <w:pPr>
              <w:spacing w:before="120" w:after="120"/>
              <w:jc w:val="center"/>
              <w:rPr>
                <w:rFonts w:ascii="Times New Roman" w:hAnsi="Times New Roman" w:cs="Times New Roman"/>
                <w:sz w:val="22"/>
                <w:szCs w:val="22"/>
              </w:rPr>
            </w:pPr>
          </w:p>
        </w:tc>
        <w:tc>
          <w:tcPr>
            <w:tcW w:w="1915" w:type="dxa"/>
            <w:vAlign w:val="center"/>
          </w:tcPr>
          <w:p w14:paraId="38CD9A43" w14:textId="77777777" w:rsidR="00011C26" w:rsidRPr="00543890" w:rsidRDefault="00011C26" w:rsidP="009F541E">
            <w:pPr>
              <w:spacing w:before="120" w:after="120"/>
              <w:jc w:val="center"/>
              <w:rPr>
                <w:rFonts w:ascii="Times New Roman" w:hAnsi="Times New Roman" w:cs="Times New Roman"/>
                <w:sz w:val="22"/>
                <w:szCs w:val="22"/>
              </w:rPr>
            </w:pPr>
          </w:p>
        </w:tc>
        <w:tc>
          <w:tcPr>
            <w:tcW w:w="1915" w:type="dxa"/>
            <w:vAlign w:val="center"/>
          </w:tcPr>
          <w:p w14:paraId="42A3CACA" w14:textId="398D0EF3"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Control</w:t>
            </w:r>
          </w:p>
        </w:tc>
        <w:tc>
          <w:tcPr>
            <w:tcW w:w="1915" w:type="dxa"/>
            <w:vAlign w:val="center"/>
          </w:tcPr>
          <w:p w14:paraId="20A7880B" w14:textId="7383400A"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Low Mixing</w:t>
            </w:r>
          </w:p>
        </w:tc>
        <w:tc>
          <w:tcPr>
            <w:tcW w:w="1916" w:type="dxa"/>
            <w:vAlign w:val="center"/>
          </w:tcPr>
          <w:p w14:paraId="561ACD9C" w14:textId="0D3CAF94"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Obc</w:t>
            </w:r>
          </w:p>
        </w:tc>
      </w:tr>
      <w:tr w:rsidR="00011C26" w14:paraId="4941D0E0" w14:textId="77777777" w:rsidTr="009F541E">
        <w:tc>
          <w:tcPr>
            <w:tcW w:w="1915" w:type="dxa"/>
            <w:vMerge w:val="restart"/>
            <w:vAlign w:val="center"/>
          </w:tcPr>
          <w:p w14:paraId="6E444418" w14:textId="77777777" w:rsidR="00011C26" w:rsidRDefault="00011C26"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Pourtales Terrace</w:t>
            </w:r>
          </w:p>
          <w:p w14:paraId="3082CC2B" w14:textId="1ACBBFF9" w:rsidR="00543890" w:rsidRPr="00543890" w:rsidRDefault="00543890" w:rsidP="009F541E">
            <w:pPr>
              <w:spacing w:before="120" w:after="120"/>
              <w:jc w:val="center"/>
              <w:rPr>
                <w:rFonts w:ascii="Times New Roman" w:hAnsi="Times New Roman" w:cs="Times New Roman"/>
                <w:sz w:val="22"/>
                <w:szCs w:val="22"/>
              </w:rPr>
            </w:pPr>
            <w:r>
              <w:rPr>
                <w:rFonts w:ascii="Times New Roman" w:hAnsi="Times New Roman" w:cs="Times New Roman"/>
                <w:sz w:val="22"/>
                <w:szCs w:val="22"/>
              </w:rPr>
              <w:t>(296 m)</w:t>
            </w:r>
          </w:p>
        </w:tc>
        <w:tc>
          <w:tcPr>
            <w:tcW w:w="1915" w:type="dxa"/>
            <w:vAlign w:val="center"/>
          </w:tcPr>
          <w:p w14:paraId="24DF4BD0" w14:textId="1D490758"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T</w:t>
            </w:r>
            <w:r w:rsidR="00543890" w:rsidRPr="00543890">
              <w:rPr>
                <w:rFonts w:ascii="Times New Roman" w:hAnsi="Times New Roman" w:cs="Times New Roman"/>
                <w:sz w:val="22"/>
                <w:szCs w:val="22"/>
              </w:rPr>
              <w:t xml:space="preserve"> (</w:t>
            </w:r>
            <w:r w:rsidR="00543890" w:rsidRPr="00543890">
              <w:rPr>
                <w:rFonts w:ascii="Times New Roman" w:hAnsi="Times New Roman" w:cs="Times New Roman"/>
                <w:sz w:val="22"/>
                <w:szCs w:val="22"/>
                <w:vertAlign w:val="superscript"/>
              </w:rPr>
              <w:t>o</w:t>
            </w:r>
            <w:r w:rsidR="00543890" w:rsidRPr="00543890">
              <w:rPr>
                <w:rFonts w:ascii="Times New Roman" w:hAnsi="Times New Roman" w:cs="Times New Roman"/>
                <w:sz w:val="22"/>
                <w:szCs w:val="22"/>
              </w:rPr>
              <w:t>C)</w:t>
            </w:r>
          </w:p>
        </w:tc>
        <w:tc>
          <w:tcPr>
            <w:tcW w:w="1915" w:type="dxa"/>
            <w:vAlign w:val="center"/>
          </w:tcPr>
          <w:p w14:paraId="256C3B43" w14:textId="000E81F3"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1.04</w:t>
            </w:r>
          </w:p>
        </w:tc>
        <w:tc>
          <w:tcPr>
            <w:tcW w:w="1915" w:type="dxa"/>
            <w:vAlign w:val="center"/>
          </w:tcPr>
          <w:p w14:paraId="442A44DE" w14:textId="479BE8D8"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1.02</w:t>
            </w:r>
          </w:p>
        </w:tc>
        <w:tc>
          <w:tcPr>
            <w:tcW w:w="1916" w:type="dxa"/>
            <w:vAlign w:val="center"/>
          </w:tcPr>
          <w:p w14:paraId="24A0D616" w14:textId="43408EB2"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1.05</w:t>
            </w:r>
          </w:p>
        </w:tc>
      </w:tr>
      <w:tr w:rsidR="00011C26" w14:paraId="528670F8" w14:textId="77777777" w:rsidTr="009F541E">
        <w:tc>
          <w:tcPr>
            <w:tcW w:w="1915" w:type="dxa"/>
            <w:vMerge/>
            <w:vAlign w:val="center"/>
          </w:tcPr>
          <w:p w14:paraId="7CF6F4C4" w14:textId="77777777" w:rsidR="00011C26" w:rsidRPr="00543890" w:rsidRDefault="00011C26" w:rsidP="009F541E">
            <w:pPr>
              <w:spacing w:before="120" w:after="120"/>
              <w:jc w:val="center"/>
              <w:rPr>
                <w:rFonts w:ascii="Times New Roman" w:hAnsi="Times New Roman" w:cs="Times New Roman"/>
                <w:sz w:val="22"/>
                <w:szCs w:val="22"/>
              </w:rPr>
            </w:pPr>
          </w:p>
        </w:tc>
        <w:tc>
          <w:tcPr>
            <w:tcW w:w="1915" w:type="dxa"/>
            <w:vAlign w:val="center"/>
          </w:tcPr>
          <w:p w14:paraId="291909C7" w14:textId="7AEFB238"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DIC</w:t>
            </w:r>
            <w:r w:rsidR="00543890" w:rsidRPr="00543890">
              <w:rPr>
                <w:rFonts w:ascii="Times New Roman" w:hAnsi="Times New Roman" w:cs="Times New Roman"/>
                <w:sz w:val="22"/>
                <w:szCs w:val="22"/>
              </w:rPr>
              <w:t xml:space="preserve"> (µmol/kg)</w:t>
            </w:r>
          </w:p>
        </w:tc>
        <w:tc>
          <w:tcPr>
            <w:tcW w:w="1915" w:type="dxa"/>
            <w:vAlign w:val="center"/>
          </w:tcPr>
          <w:p w14:paraId="4098D376" w14:textId="1EAF1D2E"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4.47</w:t>
            </w:r>
          </w:p>
        </w:tc>
        <w:tc>
          <w:tcPr>
            <w:tcW w:w="1915" w:type="dxa"/>
            <w:vAlign w:val="center"/>
          </w:tcPr>
          <w:p w14:paraId="41F52A3D" w14:textId="3EFF315F"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4.01</w:t>
            </w:r>
          </w:p>
        </w:tc>
        <w:tc>
          <w:tcPr>
            <w:tcW w:w="1916" w:type="dxa"/>
            <w:vAlign w:val="center"/>
          </w:tcPr>
          <w:p w14:paraId="75622DDD" w14:textId="5F15E42C"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4.4</w:t>
            </w:r>
          </w:p>
        </w:tc>
      </w:tr>
      <w:tr w:rsidR="00011C26" w14:paraId="57EDF604" w14:textId="77777777" w:rsidTr="009F541E">
        <w:tc>
          <w:tcPr>
            <w:tcW w:w="1915" w:type="dxa"/>
            <w:vMerge/>
            <w:vAlign w:val="center"/>
          </w:tcPr>
          <w:p w14:paraId="0AA8B356" w14:textId="77777777" w:rsidR="00011C26" w:rsidRPr="00543890" w:rsidRDefault="00011C26" w:rsidP="009F541E">
            <w:pPr>
              <w:spacing w:before="120" w:after="120"/>
              <w:jc w:val="center"/>
              <w:rPr>
                <w:rFonts w:ascii="Times New Roman" w:hAnsi="Times New Roman" w:cs="Times New Roman"/>
                <w:sz w:val="22"/>
                <w:szCs w:val="22"/>
              </w:rPr>
            </w:pPr>
          </w:p>
        </w:tc>
        <w:tc>
          <w:tcPr>
            <w:tcW w:w="1915" w:type="dxa"/>
            <w:vAlign w:val="center"/>
          </w:tcPr>
          <w:p w14:paraId="04F4AA89" w14:textId="30FB3415"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TA</w:t>
            </w:r>
            <w:r w:rsidR="00543890" w:rsidRPr="00543890">
              <w:rPr>
                <w:rFonts w:ascii="Times New Roman" w:hAnsi="Times New Roman" w:cs="Times New Roman"/>
                <w:sz w:val="22"/>
                <w:szCs w:val="22"/>
              </w:rPr>
              <w:t xml:space="preserve"> (µmol/kg)</w:t>
            </w:r>
          </w:p>
        </w:tc>
        <w:tc>
          <w:tcPr>
            <w:tcW w:w="1915" w:type="dxa"/>
            <w:vAlign w:val="center"/>
          </w:tcPr>
          <w:p w14:paraId="393EF767" w14:textId="65DF63F1"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5.13</w:t>
            </w:r>
          </w:p>
        </w:tc>
        <w:tc>
          <w:tcPr>
            <w:tcW w:w="1915" w:type="dxa"/>
            <w:vAlign w:val="center"/>
          </w:tcPr>
          <w:p w14:paraId="3FA5F5A5" w14:textId="460A0D56"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4.7</w:t>
            </w:r>
          </w:p>
        </w:tc>
        <w:tc>
          <w:tcPr>
            <w:tcW w:w="1916" w:type="dxa"/>
            <w:vAlign w:val="center"/>
          </w:tcPr>
          <w:p w14:paraId="5CCDA2DE" w14:textId="0AAE6E98"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5.15</w:t>
            </w:r>
          </w:p>
        </w:tc>
      </w:tr>
      <w:tr w:rsidR="00011C26" w14:paraId="733A175A" w14:textId="77777777" w:rsidTr="009F541E">
        <w:tc>
          <w:tcPr>
            <w:tcW w:w="1915" w:type="dxa"/>
            <w:vMerge w:val="restart"/>
            <w:vAlign w:val="center"/>
          </w:tcPr>
          <w:p w14:paraId="1590698F" w14:textId="77777777" w:rsidR="00011C26" w:rsidRDefault="00011C26"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Miami Terrace</w:t>
            </w:r>
          </w:p>
          <w:p w14:paraId="5F03C959" w14:textId="6B254BB2" w:rsidR="00543890" w:rsidRPr="00543890" w:rsidRDefault="00543890" w:rsidP="009F541E">
            <w:pPr>
              <w:spacing w:before="120" w:after="120"/>
              <w:jc w:val="center"/>
              <w:rPr>
                <w:rFonts w:ascii="Times New Roman" w:hAnsi="Times New Roman" w:cs="Times New Roman"/>
                <w:sz w:val="22"/>
                <w:szCs w:val="22"/>
              </w:rPr>
            </w:pPr>
            <w:r>
              <w:rPr>
                <w:rFonts w:ascii="Times New Roman" w:hAnsi="Times New Roman" w:cs="Times New Roman"/>
                <w:sz w:val="22"/>
                <w:szCs w:val="22"/>
              </w:rPr>
              <w:t>(417 m)</w:t>
            </w:r>
          </w:p>
        </w:tc>
        <w:tc>
          <w:tcPr>
            <w:tcW w:w="1915" w:type="dxa"/>
            <w:vAlign w:val="center"/>
          </w:tcPr>
          <w:p w14:paraId="2F5049A1" w14:textId="66949C7D"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T</w:t>
            </w:r>
            <w:r w:rsidR="00543890" w:rsidRPr="00543890">
              <w:rPr>
                <w:rFonts w:ascii="Times New Roman" w:hAnsi="Times New Roman" w:cs="Times New Roman"/>
                <w:sz w:val="22"/>
                <w:szCs w:val="22"/>
              </w:rPr>
              <w:t xml:space="preserve"> (</w:t>
            </w:r>
            <w:r w:rsidR="00543890" w:rsidRPr="00543890">
              <w:rPr>
                <w:rFonts w:ascii="Times New Roman" w:hAnsi="Times New Roman" w:cs="Times New Roman"/>
                <w:sz w:val="22"/>
                <w:szCs w:val="22"/>
                <w:vertAlign w:val="superscript"/>
              </w:rPr>
              <w:t>o</w:t>
            </w:r>
            <w:r w:rsidR="00543890" w:rsidRPr="00543890">
              <w:rPr>
                <w:rFonts w:ascii="Times New Roman" w:hAnsi="Times New Roman" w:cs="Times New Roman"/>
                <w:sz w:val="22"/>
                <w:szCs w:val="22"/>
              </w:rPr>
              <w:t>C)</w:t>
            </w:r>
          </w:p>
        </w:tc>
        <w:tc>
          <w:tcPr>
            <w:tcW w:w="1915" w:type="dxa"/>
            <w:vAlign w:val="center"/>
          </w:tcPr>
          <w:p w14:paraId="3625675A" w14:textId="2EEA8FCE"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0.74</w:t>
            </w:r>
          </w:p>
        </w:tc>
        <w:tc>
          <w:tcPr>
            <w:tcW w:w="1915" w:type="dxa"/>
            <w:vAlign w:val="center"/>
          </w:tcPr>
          <w:p w14:paraId="53FAB492" w14:textId="779B90D9"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0.82</w:t>
            </w:r>
          </w:p>
        </w:tc>
        <w:tc>
          <w:tcPr>
            <w:tcW w:w="1916" w:type="dxa"/>
            <w:vAlign w:val="center"/>
          </w:tcPr>
          <w:p w14:paraId="53EE2CD0" w14:textId="2610CBD2"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0.77</w:t>
            </w:r>
          </w:p>
        </w:tc>
      </w:tr>
      <w:tr w:rsidR="00011C26" w14:paraId="41849FEE" w14:textId="77777777" w:rsidTr="009F541E">
        <w:tc>
          <w:tcPr>
            <w:tcW w:w="1915" w:type="dxa"/>
            <w:vMerge/>
            <w:vAlign w:val="center"/>
          </w:tcPr>
          <w:p w14:paraId="169ED833" w14:textId="77777777" w:rsidR="00011C26" w:rsidRPr="00543890" w:rsidRDefault="00011C26" w:rsidP="009F541E">
            <w:pPr>
              <w:spacing w:before="120" w:after="120"/>
              <w:jc w:val="center"/>
              <w:rPr>
                <w:rFonts w:ascii="Times New Roman" w:hAnsi="Times New Roman" w:cs="Times New Roman"/>
                <w:sz w:val="22"/>
                <w:szCs w:val="22"/>
              </w:rPr>
            </w:pPr>
          </w:p>
        </w:tc>
        <w:tc>
          <w:tcPr>
            <w:tcW w:w="1915" w:type="dxa"/>
            <w:vAlign w:val="center"/>
          </w:tcPr>
          <w:p w14:paraId="66D8E3C8" w14:textId="020736B5"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DIC</w:t>
            </w:r>
            <w:r w:rsidR="00543890" w:rsidRPr="00543890">
              <w:rPr>
                <w:rFonts w:ascii="Times New Roman" w:hAnsi="Times New Roman" w:cs="Times New Roman"/>
                <w:sz w:val="22"/>
                <w:szCs w:val="22"/>
              </w:rPr>
              <w:t xml:space="preserve"> (µmol/kg)</w:t>
            </w:r>
          </w:p>
        </w:tc>
        <w:tc>
          <w:tcPr>
            <w:tcW w:w="1915" w:type="dxa"/>
            <w:vAlign w:val="center"/>
          </w:tcPr>
          <w:p w14:paraId="29A765E5" w14:textId="6D67FBD9"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1.41</w:t>
            </w:r>
          </w:p>
        </w:tc>
        <w:tc>
          <w:tcPr>
            <w:tcW w:w="1915" w:type="dxa"/>
            <w:vAlign w:val="center"/>
          </w:tcPr>
          <w:p w14:paraId="15FCCDCC" w14:textId="49359563"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1.60</w:t>
            </w:r>
          </w:p>
        </w:tc>
        <w:tc>
          <w:tcPr>
            <w:tcW w:w="1916" w:type="dxa"/>
            <w:vAlign w:val="center"/>
          </w:tcPr>
          <w:p w14:paraId="1E6FC927" w14:textId="27B0E3FD"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1.48</w:t>
            </w:r>
          </w:p>
        </w:tc>
      </w:tr>
      <w:tr w:rsidR="00011C26" w14:paraId="7D8D57DD" w14:textId="77777777" w:rsidTr="009F541E">
        <w:tc>
          <w:tcPr>
            <w:tcW w:w="1915" w:type="dxa"/>
            <w:vMerge/>
            <w:vAlign w:val="center"/>
          </w:tcPr>
          <w:p w14:paraId="17F8413C" w14:textId="77777777" w:rsidR="00011C26" w:rsidRPr="00543890" w:rsidRDefault="00011C26" w:rsidP="009F541E">
            <w:pPr>
              <w:spacing w:before="120" w:after="120"/>
              <w:jc w:val="center"/>
              <w:rPr>
                <w:rFonts w:ascii="Times New Roman" w:hAnsi="Times New Roman" w:cs="Times New Roman"/>
                <w:sz w:val="22"/>
                <w:szCs w:val="22"/>
              </w:rPr>
            </w:pPr>
          </w:p>
        </w:tc>
        <w:tc>
          <w:tcPr>
            <w:tcW w:w="1915" w:type="dxa"/>
            <w:vAlign w:val="center"/>
          </w:tcPr>
          <w:p w14:paraId="29EB511F" w14:textId="15BA3DDF" w:rsidR="00011C26" w:rsidRPr="00543890" w:rsidRDefault="009F541E"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TA</w:t>
            </w:r>
            <w:r w:rsidR="00543890" w:rsidRPr="00543890">
              <w:rPr>
                <w:rFonts w:ascii="Times New Roman" w:hAnsi="Times New Roman" w:cs="Times New Roman"/>
                <w:sz w:val="22"/>
                <w:szCs w:val="22"/>
              </w:rPr>
              <w:t xml:space="preserve"> (µmol/kg)</w:t>
            </w:r>
          </w:p>
        </w:tc>
        <w:tc>
          <w:tcPr>
            <w:tcW w:w="1915" w:type="dxa"/>
            <w:vAlign w:val="center"/>
          </w:tcPr>
          <w:p w14:paraId="4393E030" w14:textId="48271F66"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1.93</w:t>
            </w:r>
          </w:p>
        </w:tc>
        <w:tc>
          <w:tcPr>
            <w:tcW w:w="1915" w:type="dxa"/>
            <w:vAlign w:val="center"/>
          </w:tcPr>
          <w:p w14:paraId="1B0C67AF" w14:textId="1FEC78A1"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2.04</w:t>
            </w:r>
          </w:p>
        </w:tc>
        <w:tc>
          <w:tcPr>
            <w:tcW w:w="1916" w:type="dxa"/>
            <w:vAlign w:val="center"/>
          </w:tcPr>
          <w:p w14:paraId="45F25AAC" w14:textId="4DDC7388" w:rsidR="00011C26" w:rsidRPr="00543890" w:rsidRDefault="00543890" w:rsidP="009F541E">
            <w:pPr>
              <w:spacing w:before="120" w:after="120"/>
              <w:jc w:val="center"/>
              <w:rPr>
                <w:rFonts w:ascii="Times New Roman" w:hAnsi="Times New Roman" w:cs="Times New Roman"/>
                <w:sz w:val="22"/>
                <w:szCs w:val="22"/>
              </w:rPr>
            </w:pPr>
            <w:r w:rsidRPr="00543890">
              <w:rPr>
                <w:rFonts w:ascii="Times New Roman" w:hAnsi="Times New Roman" w:cs="Times New Roman"/>
                <w:sz w:val="22"/>
                <w:szCs w:val="22"/>
              </w:rPr>
              <w:t>1.9</w:t>
            </w:r>
          </w:p>
        </w:tc>
      </w:tr>
    </w:tbl>
    <w:p w14:paraId="0FFB6102" w14:textId="77777777" w:rsidR="00DE7ABF" w:rsidRDefault="00DE7ABF" w:rsidP="00011C26">
      <w:pPr>
        <w:spacing w:line="480" w:lineRule="auto"/>
        <w:rPr>
          <w:rFonts w:ascii="Times New Roman" w:hAnsi="Times New Roman" w:cs="Times New Roman"/>
        </w:rPr>
      </w:pPr>
    </w:p>
    <w:p w14:paraId="16C3EADB" w14:textId="77777777" w:rsidR="00DE7ABF" w:rsidRDefault="00DE7ABF" w:rsidP="00011C26">
      <w:pPr>
        <w:spacing w:line="480" w:lineRule="auto"/>
        <w:rPr>
          <w:rFonts w:ascii="Times New Roman" w:hAnsi="Times New Roman" w:cs="Times New Roman"/>
        </w:rPr>
      </w:pPr>
    </w:p>
    <w:p w14:paraId="77243F7A" w14:textId="77777777" w:rsidR="00DE7ABF" w:rsidRDefault="00DE7ABF">
      <w:pPr>
        <w:rPr>
          <w:rFonts w:ascii="Times New Roman" w:hAnsi="Times New Roman" w:cs="Times New Roman"/>
        </w:rPr>
      </w:pPr>
      <w:r>
        <w:rPr>
          <w:rFonts w:ascii="Times New Roman" w:hAnsi="Times New Roman" w:cs="Times New Roman"/>
        </w:rPr>
        <w:br w:type="page"/>
      </w:r>
    </w:p>
    <w:p w14:paraId="40EB67E9" w14:textId="77777777" w:rsidR="00DE7ABF" w:rsidRPr="00DE7ABF" w:rsidRDefault="00DE7ABF" w:rsidP="00011C26">
      <w:pPr>
        <w:spacing w:line="480" w:lineRule="auto"/>
        <w:rPr>
          <w:rFonts w:ascii="Times New Roman" w:hAnsi="Times New Roman" w:cs="Times New Roman"/>
          <w:b/>
        </w:rPr>
      </w:pPr>
      <w:r w:rsidRPr="00DE7ABF">
        <w:rPr>
          <w:rFonts w:ascii="Times New Roman" w:hAnsi="Times New Roman" w:cs="Times New Roman"/>
          <w:b/>
        </w:rPr>
        <w:t xml:space="preserve">Captions </w:t>
      </w:r>
    </w:p>
    <w:p w14:paraId="3C00C054" w14:textId="77777777" w:rsidR="00925CF3" w:rsidRPr="00B54FB7" w:rsidRDefault="00925CF3" w:rsidP="00925CF3">
      <w:pPr>
        <w:spacing w:line="480" w:lineRule="auto"/>
        <w:rPr>
          <w:rFonts w:ascii="Times New Roman" w:hAnsi="Times New Roman" w:cs="Times New Roman"/>
          <w:sz w:val="22"/>
          <w:szCs w:val="22"/>
        </w:rPr>
      </w:pPr>
      <w:r w:rsidRPr="00B54FB7">
        <w:rPr>
          <w:rFonts w:ascii="Times New Roman" w:hAnsi="Times New Roman" w:cs="Times New Roman"/>
          <w:sz w:val="22"/>
          <w:szCs w:val="22"/>
        </w:rPr>
        <w:t>Figure S1. Observed relationships of NO</w:t>
      </w:r>
      <w:r w:rsidRPr="00B54FB7">
        <w:rPr>
          <w:rFonts w:ascii="Times New Roman" w:hAnsi="Times New Roman" w:cs="Times New Roman"/>
          <w:sz w:val="22"/>
          <w:szCs w:val="22"/>
          <w:vertAlign w:val="subscript"/>
        </w:rPr>
        <w:t>3</w:t>
      </w:r>
      <w:r w:rsidRPr="00B54FB7">
        <w:rPr>
          <w:rFonts w:ascii="Times New Roman" w:hAnsi="Times New Roman" w:cs="Times New Roman"/>
          <w:sz w:val="22"/>
          <w:szCs w:val="22"/>
        </w:rPr>
        <w:t xml:space="preserve">, DIC and TA with temperature and salinity along the WFL transect during GOMECC2. The correlation coefficient of best polynomial fit for each pair is shown in </w:t>
      </w:r>
      <w:r>
        <w:rPr>
          <w:rFonts w:ascii="Times New Roman" w:hAnsi="Times New Roman" w:cs="Times New Roman"/>
          <w:sz w:val="22"/>
          <w:szCs w:val="22"/>
        </w:rPr>
        <w:t xml:space="preserve">the respective </w:t>
      </w:r>
      <w:r w:rsidRPr="00B54FB7">
        <w:rPr>
          <w:rFonts w:ascii="Times New Roman" w:hAnsi="Times New Roman" w:cs="Times New Roman"/>
          <w:sz w:val="22"/>
          <w:szCs w:val="22"/>
        </w:rPr>
        <w:t xml:space="preserve">panel. </w:t>
      </w:r>
    </w:p>
    <w:p w14:paraId="32211672" w14:textId="77777777" w:rsidR="00925CF3" w:rsidRDefault="00925CF3" w:rsidP="00925CF3">
      <w:pPr>
        <w:spacing w:line="480" w:lineRule="auto"/>
        <w:rPr>
          <w:rFonts w:ascii="Times New Roman" w:hAnsi="Times New Roman" w:cs="Times New Roman"/>
          <w:sz w:val="22"/>
          <w:szCs w:val="22"/>
        </w:rPr>
      </w:pPr>
    </w:p>
    <w:p w14:paraId="7B908E88" w14:textId="77777777" w:rsidR="00925CF3" w:rsidRPr="00B54FB7" w:rsidRDefault="00925CF3" w:rsidP="00925CF3">
      <w:pPr>
        <w:spacing w:line="480" w:lineRule="auto"/>
        <w:rPr>
          <w:rFonts w:ascii="Times New Roman" w:hAnsi="Times New Roman" w:cs="Times New Roman"/>
          <w:sz w:val="22"/>
          <w:szCs w:val="22"/>
        </w:rPr>
      </w:pPr>
      <w:r w:rsidRPr="00B54FB7">
        <w:rPr>
          <w:rFonts w:ascii="Times New Roman" w:hAnsi="Times New Roman" w:cs="Times New Roman"/>
          <w:sz w:val="22"/>
          <w:szCs w:val="22"/>
        </w:rPr>
        <w:t xml:space="preserve">Figure S2. Left panel: modeled mean and standard deviation of chlorophyll concentration (blue line) along the </w:t>
      </w:r>
      <w:r>
        <w:rPr>
          <w:rFonts w:ascii="Times New Roman" w:hAnsi="Times New Roman" w:cs="Times New Roman"/>
          <w:sz w:val="22"/>
          <w:szCs w:val="22"/>
        </w:rPr>
        <w:t xml:space="preserve">GOMECC2 </w:t>
      </w:r>
      <w:r w:rsidRPr="00B54FB7">
        <w:rPr>
          <w:rFonts w:ascii="Times New Roman" w:hAnsi="Times New Roman" w:cs="Times New Roman"/>
          <w:sz w:val="22"/>
          <w:szCs w:val="22"/>
        </w:rPr>
        <w:t>EFL transect and observe</w:t>
      </w:r>
      <w:r>
        <w:rPr>
          <w:rFonts w:ascii="Times New Roman" w:hAnsi="Times New Roman" w:cs="Times New Roman"/>
          <w:sz w:val="22"/>
          <w:szCs w:val="22"/>
        </w:rPr>
        <w:t>d chlorophyll concentration (</w:t>
      </w:r>
      <w:r w:rsidRPr="00B54FB7">
        <w:rPr>
          <w:rFonts w:ascii="Times New Roman" w:hAnsi="Times New Roman" w:cs="Times New Roman"/>
          <w:sz w:val="22"/>
          <w:szCs w:val="22"/>
        </w:rPr>
        <w:t>dots). Right pane: point-to-point correlation (red dots) and the linear regression (blue line) by excluding the 6 data points where modeled chl</w:t>
      </w:r>
      <w:r>
        <w:rPr>
          <w:rFonts w:ascii="Times New Roman" w:hAnsi="Times New Roman" w:cs="Times New Roman"/>
          <w:sz w:val="22"/>
          <w:szCs w:val="22"/>
        </w:rPr>
        <w:t>orophyll concentration</w:t>
      </w:r>
      <w:r w:rsidRPr="00B54FB7">
        <w:rPr>
          <w:rFonts w:ascii="Times New Roman" w:hAnsi="Times New Roman" w:cs="Times New Roman"/>
          <w:sz w:val="22"/>
          <w:szCs w:val="22"/>
        </w:rPr>
        <w:t xml:space="preserve"> is greater than 0.5 ug/l</w:t>
      </w:r>
      <w:r>
        <w:rPr>
          <w:rFonts w:ascii="Times New Roman" w:hAnsi="Times New Roman" w:cs="Times New Roman"/>
          <w:sz w:val="22"/>
          <w:szCs w:val="22"/>
        </w:rPr>
        <w:t xml:space="preserve"> (upper left corner)</w:t>
      </w:r>
      <w:r w:rsidRPr="00B54FB7">
        <w:rPr>
          <w:rFonts w:ascii="Times New Roman" w:hAnsi="Times New Roman" w:cs="Times New Roman"/>
          <w:sz w:val="22"/>
          <w:szCs w:val="22"/>
        </w:rPr>
        <w:t xml:space="preserve">. </w:t>
      </w:r>
    </w:p>
    <w:p w14:paraId="5332700D" w14:textId="77777777" w:rsidR="00925CF3" w:rsidRDefault="00925CF3" w:rsidP="00925CF3">
      <w:pPr>
        <w:spacing w:line="480" w:lineRule="auto"/>
        <w:rPr>
          <w:rFonts w:ascii="Times New Roman" w:hAnsi="Times New Roman" w:cs="Times New Roman"/>
          <w:sz w:val="22"/>
          <w:szCs w:val="22"/>
        </w:rPr>
      </w:pPr>
    </w:p>
    <w:p w14:paraId="6CEF2CD2" w14:textId="77777777" w:rsidR="00925CF3" w:rsidRDefault="00925CF3" w:rsidP="00925CF3">
      <w:pPr>
        <w:spacing w:line="480" w:lineRule="auto"/>
        <w:rPr>
          <w:rFonts w:ascii="Times New Roman" w:hAnsi="Times New Roman" w:cs="Times New Roman"/>
          <w:sz w:val="22"/>
          <w:szCs w:val="22"/>
        </w:rPr>
      </w:pPr>
      <w:r>
        <w:rPr>
          <w:rFonts w:ascii="Times New Roman" w:hAnsi="Times New Roman" w:cs="Times New Roman"/>
          <w:sz w:val="22"/>
          <w:szCs w:val="22"/>
        </w:rPr>
        <w:t>Figure S3</w:t>
      </w:r>
      <w:r w:rsidRPr="007C547C">
        <w:rPr>
          <w:rFonts w:ascii="Times New Roman" w:hAnsi="Times New Roman" w:cs="Times New Roman"/>
          <w:sz w:val="22"/>
          <w:szCs w:val="22"/>
        </w:rPr>
        <w:t xml:space="preserve">. </w:t>
      </w:r>
      <w:r>
        <w:rPr>
          <w:rFonts w:ascii="Times New Roman" w:hAnsi="Times New Roman" w:cs="Times New Roman"/>
          <w:sz w:val="22"/>
          <w:szCs w:val="22"/>
        </w:rPr>
        <w:t xml:space="preserve">Boundary (a) chlorophyll, (b) NO3, (c) POC, (d) DOC, (e) DIC and (f) TA on the </w:t>
      </w:r>
      <w:r w:rsidRPr="007C547C">
        <w:rPr>
          <w:rFonts w:ascii="Times New Roman" w:hAnsi="Times New Roman" w:cs="Times New Roman"/>
          <w:sz w:val="22"/>
          <w:szCs w:val="22"/>
        </w:rPr>
        <w:t xml:space="preserve">on the west Florida Slope </w:t>
      </w:r>
      <w:r w:rsidRPr="003C0102">
        <w:rPr>
          <w:rFonts w:ascii="Times New Roman" w:hAnsi="Times New Roman" w:cs="Times New Roman"/>
          <w:sz w:val="22"/>
          <w:szCs w:val="22"/>
        </w:rPr>
        <w:t>(26.8</w:t>
      </w:r>
      <w:r w:rsidRPr="003C0102">
        <w:rPr>
          <w:rFonts w:ascii="Times New Roman" w:hAnsi="Times New Roman" w:cs="Times New Roman"/>
          <w:sz w:val="22"/>
          <w:szCs w:val="22"/>
          <w:vertAlign w:val="superscript"/>
        </w:rPr>
        <w:t>o</w:t>
      </w:r>
      <w:r w:rsidRPr="003C0102">
        <w:rPr>
          <w:rFonts w:ascii="Times New Roman" w:hAnsi="Times New Roman" w:cs="Times New Roman"/>
          <w:sz w:val="22"/>
          <w:szCs w:val="22"/>
        </w:rPr>
        <w:t>N, 84.9</w:t>
      </w:r>
      <w:r w:rsidRPr="003C0102">
        <w:rPr>
          <w:rFonts w:ascii="Times New Roman" w:hAnsi="Times New Roman" w:cs="Times New Roman"/>
          <w:sz w:val="22"/>
          <w:szCs w:val="22"/>
          <w:vertAlign w:val="superscript"/>
        </w:rPr>
        <w:t>o</w:t>
      </w:r>
      <w:r w:rsidRPr="003C0102">
        <w:rPr>
          <w:rFonts w:ascii="Times New Roman" w:hAnsi="Times New Roman" w:cs="Times New Roman"/>
          <w:sz w:val="22"/>
          <w:szCs w:val="22"/>
        </w:rPr>
        <w:t>W)</w:t>
      </w:r>
      <w:r>
        <w:rPr>
          <w:rFonts w:ascii="Times New Roman" w:hAnsi="Times New Roman" w:cs="Times New Roman"/>
          <w:sz w:val="22"/>
          <w:szCs w:val="22"/>
        </w:rPr>
        <w:t xml:space="preserve"> </w:t>
      </w:r>
      <w:r w:rsidRPr="007C547C">
        <w:rPr>
          <w:rFonts w:ascii="Times New Roman" w:hAnsi="Times New Roman" w:cs="Times New Roman"/>
          <w:sz w:val="22"/>
          <w:szCs w:val="22"/>
        </w:rPr>
        <w:t xml:space="preserve">in 2011-2012. </w:t>
      </w:r>
    </w:p>
    <w:p w14:paraId="483D77B0" w14:textId="77777777" w:rsidR="00925CF3" w:rsidRDefault="00925CF3" w:rsidP="00925CF3">
      <w:pPr>
        <w:spacing w:line="480" w:lineRule="auto"/>
        <w:rPr>
          <w:rFonts w:ascii="Times New Roman" w:hAnsi="Times New Roman" w:cs="Times New Roman"/>
          <w:sz w:val="22"/>
          <w:szCs w:val="22"/>
        </w:rPr>
      </w:pPr>
    </w:p>
    <w:p w14:paraId="25A50482" w14:textId="77777777" w:rsidR="00925CF3" w:rsidRDefault="00925CF3" w:rsidP="00925CF3">
      <w:pPr>
        <w:spacing w:line="480" w:lineRule="auto"/>
        <w:rPr>
          <w:rFonts w:ascii="Times New Roman" w:hAnsi="Times New Roman" w:cs="Times New Roman"/>
          <w:sz w:val="22"/>
          <w:szCs w:val="22"/>
        </w:rPr>
      </w:pPr>
      <w:r>
        <w:rPr>
          <w:rFonts w:ascii="Times New Roman" w:hAnsi="Times New Roman" w:cs="Times New Roman"/>
          <w:sz w:val="22"/>
          <w:szCs w:val="22"/>
        </w:rPr>
        <w:t>Figure S4</w:t>
      </w:r>
      <w:r w:rsidRPr="00B54FB7">
        <w:rPr>
          <w:rFonts w:ascii="Times New Roman" w:hAnsi="Times New Roman" w:cs="Times New Roman"/>
          <w:sz w:val="22"/>
          <w:szCs w:val="22"/>
        </w:rPr>
        <w:t>. Modeled time-series of relative vorticity (</w:t>
      </w:r>
      <m:oMath>
        <m:r>
          <w:rPr>
            <w:rFonts w:ascii="Cambria Math" w:hAnsi="Cambria Math" w:cs="Times New Roman"/>
            <w:sz w:val="22"/>
            <w:szCs w:val="22"/>
          </w:rPr>
          <m:t>ς</m:t>
        </m:r>
      </m:oMath>
      <w:r w:rsidRPr="00B54FB7">
        <w:rPr>
          <w:rFonts w:ascii="Times New Roman" w:hAnsi="Times New Roman" w:cs="Times New Roman"/>
          <w:sz w:val="22"/>
          <w:szCs w:val="22"/>
        </w:rPr>
        <w:t xml:space="preserve">) and near bottom temperature in 2012 for two sites on Pourtalès Terrace (296 m) and Miami Terrace (417 m): (a) </w:t>
      </w:r>
      <m:oMath>
        <m:r>
          <w:rPr>
            <w:rFonts w:ascii="Cambria Math" w:hAnsi="Cambria Math" w:cs="Times New Roman"/>
            <w:sz w:val="22"/>
            <w:szCs w:val="22"/>
          </w:rPr>
          <m:t>ς</m:t>
        </m:r>
      </m:oMath>
      <w:r w:rsidRPr="00B54FB7">
        <w:rPr>
          <w:rFonts w:ascii="Times New Roman" w:hAnsi="Times New Roman" w:cs="Times New Roman"/>
          <w:sz w:val="22"/>
          <w:szCs w:val="22"/>
        </w:rPr>
        <w:t xml:space="preserve"> at 150m and (c) bottom temperature on Pourtalès Terrace, (e) </w:t>
      </w:r>
      <m:oMath>
        <m:r>
          <w:rPr>
            <w:rFonts w:ascii="Cambria Math" w:hAnsi="Cambria Math" w:cs="Times New Roman"/>
            <w:sz w:val="22"/>
            <w:szCs w:val="22"/>
          </w:rPr>
          <m:t>ς</m:t>
        </m:r>
      </m:oMath>
      <w:r w:rsidRPr="00B54FB7">
        <w:rPr>
          <w:rFonts w:ascii="Times New Roman" w:hAnsi="Times New Roman" w:cs="Times New Roman"/>
          <w:sz w:val="22"/>
          <w:szCs w:val="22"/>
        </w:rPr>
        <w:t xml:space="preserve"> at 350 m and (g) bottom temperature on Miami Terrace. Their respective </w:t>
      </w:r>
      <m:oMath>
        <m:r>
          <w:rPr>
            <w:rFonts w:ascii="Cambria Math" w:hAnsi="Cambria Math" w:cs="Times New Roman"/>
            <w:sz w:val="22"/>
            <w:szCs w:val="22"/>
          </w:rPr>
          <m:t>ς</m:t>
        </m:r>
      </m:oMath>
      <w:r w:rsidRPr="00B54FB7">
        <w:rPr>
          <w:rFonts w:ascii="Times New Roman" w:hAnsi="Times New Roman" w:cs="Times New Roman"/>
          <w:sz w:val="22"/>
          <w:szCs w:val="22"/>
        </w:rPr>
        <w:t xml:space="preserve"> -T correlations for low-passed time-series (b and f) and anomalies (d, h) are shown on the right panels. Red lines on the right panels are the linear best fits for each pair. This is same as Figure 15 except that here the cut-off period for the Lanczos filter is 15 day. </w:t>
      </w:r>
    </w:p>
    <w:p w14:paraId="4AF7F2E7" w14:textId="77777777" w:rsidR="00925CF3" w:rsidRDefault="00925CF3" w:rsidP="00925CF3">
      <w:pPr>
        <w:spacing w:line="480" w:lineRule="auto"/>
        <w:rPr>
          <w:rFonts w:ascii="Times New Roman" w:hAnsi="Times New Roman" w:cs="Times New Roman"/>
          <w:sz w:val="22"/>
          <w:szCs w:val="22"/>
        </w:rPr>
      </w:pPr>
    </w:p>
    <w:p w14:paraId="720E72F6" w14:textId="77777777" w:rsidR="00925CF3" w:rsidRDefault="00925CF3" w:rsidP="00925CF3">
      <w:pPr>
        <w:spacing w:line="480" w:lineRule="auto"/>
        <w:rPr>
          <w:rFonts w:ascii="Times New Roman" w:hAnsi="Times New Roman" w:cs="Times New Roman"/>
          <w:sz w:val="22"/>
          <w:szCs w:val="22"/>
        </w:rPr>
      </w:pPr>
      <w:r>
        <w:rPr>
          <w:rFonts w:ascii="Times New Roman" w:hAnsi="Times New Roman" w:cs="Times New Roman"/>
          <w:sz w:val="22"/>
          <w:szCs w:val="22"/>
        </w:rPr>
        <w:t>Figure S5</w:t>
      </w:r>
      <w:r w:rsidRPr="00B54FB7">
        <w:rPr>
          <w:rFonts w:ascii="Times New Roman" w:hAnsi="Times New Roman" w:cs="Times New Roman"/>
          <w:sz w:val="22"/>
          <w:szCs w:val="22"/>
        </w:rPr>
        <w:t>. (a) Tempera</w:t>
      </w:r>
      <w:r>
        <w:rPr>
          <w:rFonts w:ascii="Times New Roman" w:hAnsi="Times New Roman" w:cs="Times New Roman"/>
          <w:sz w:val="22"/>
          <w:szCs w:val="22"/>
        </w:rPr>
        <w:t>ture, (b) DIC, and (c) TA on the upper slope</w:t>
      </w:r>
      <w:r w:rsidRPr="00B54FB7">
        <w:rPr>
          <w:rFonts w:ascii="Times New Roman" w:hAnsi="Times New Roman" w:cs="Times New Roman"/>
          <w:sz w:val="22"/>
          <w:szCs w:val="22"/>
        </w:rPr>
        <w:t xml:space="preserve"> of </w:t>
      </w:r>
      <w:r>
        <w:rPr>
          <w:rFonts w:ascii="Times New Roman" w:hAnsi="Times New Roman" w:cs="Times New Roman"/>
          <w:sz w:val="22"/>
          <w:szCs w:val="22"/>
        </w:rPr>
        <w:t xml:space="preserve">the </w:t>
      </w:r>
      <w:r w:rsidRPr="00B54FB7">
        <w:rPr>
          <w:rFonts w:ascii="Times New Roman" w:hAnsi="Times New Roman" w:cs="Times New Roman"/>
          <w:sz w:val="22"/>
          <w:szCs w:val="22"/>
        </w:rPr>
        <w:t>Pourtales</w:t>
      </w:r>
      <w:r>
        <w:rPr>
          <w:rFonts w:ascii="Times New Roman" w:hAnsi="Times New Roman" w:cs="Times New Roman"/>
          <w:sz w:val="22"/>
          <w:szCs w:val="22"/>
        </w:rPr>
        <w:t xml:space="preserve"> Terrace under Control (blue), Low M</w:t>
      </w:r>
      <w:r w:rsidRPr="00B54FB7">
        <w:rPr>
          <w:rFonts w:ascii="Times New Roman" w:hAnsi="Times New Roman" w:cs="Times New Roman"/>
          <w:sz w:val="22"/>
          <w:szCs w:val="22"/>
        </w:rPr>
        <w:t>ixing (green),</w:t>
      </w:r>
      <w:r>
        <w:rPr>
          <w:rFonts w:ascii="Times New Roman" w:hAnsi="Times New Roman" w:cs="Times New Roman"/>
          <w:sz w:val="22"/>
          <w:szCs w:val="22"/>
        </w:rPr>
        <w:t xml:space="preserve"> and Obc (magenta</w:t>
      </w:r>
      <w:r w:rsidRPr="00B54FB7">
        <w:rPr>
          <w:rFonts w:ascii="Times New Roman" w:hAnsi="Times New Roman" w:cs="Times New Roman"/>
          <w:sz w:val="22"/>
          <w:szCs w:val="22"/>
        </w:rPr>
        <w:t xml:space="preserve">) scenarios. </w:t>
      </w:r>
    </w:p>
    <w:p w14:paraId="6624C735" w14:textId="77777777" w:rsidR="00925CF3" w:rsidRDefault="00925CF3" w:rsidP="00925CF3">
      <w:pPr>
        <w:spacing w:line="480" w:lineRule="auto"/>
        <w:rPr>
          <w:rFonts w:ascii="Times New Roman" w:hAnsi="Times New Roman" w:cs="Times New Roman"/>
          <w:sz w:val="22"/>
          <w:szCs w:val="22"/>
        </w:rPr>
      </w:pPr>
    </w:p>
    <w:p w14:paraId="5B4EA452" w14:textId="1EB58DC4" w:rsidR="0003787A" w:rsidRPr="00925CF3" w:rsidRDefault="00925CF3" w:rsidP="00011C26">
      <w:pPr>
        <w:spacing w:line="480" w:lineRule="auto"/>
        <w:rPr>
          <w:rFonts w:ascii="Times New Roman" w:hAnsi="Times New Roman" w:cs="Times New Roman"/>
          <w:sz w:val="22"/>
          <w:szCs w:val="22"/>
        </w:rPr>
      </w:pPr>
      <w:r>
        <w:rPr>
          <w:rFonts w:ascii="Times New Roman" w:hAnsi="Times New Roman" w:cs="Times New Roman"/>
          <w:sz w:val="22"/>
          <w:szCs w:val="22"/>
        </w:rPr>
        <w:t>Figure S6</w:t>
      </w:r>
      <w:r w:rsidRPr="00B54FB7">
        <w:rPr>
          <w:rFonts w:ascii="Times New Roman" w:hAnsi="Times New Roman" w:cs="Times New Roman"/>
          <w:sz w:val="22"/>
          <w:szCs w:val="22"/>
        </w:rPr>
        <w:t xml:space="preserve">. (a) Temperature, (b) DIC, and (c) TA on </w:t>
      </w:r>
      <w:r>
        <w:rPr>
          <w:rFonts w:ascii="Times New Roman" w:hAnsi="Times New Roman" w:cs="Times New Roman"/>
          <w:sz w:val="22"/>
          <w:szCs w:val="22"/>
        </w:rPr>
        <w:t>the slope of Miami Terrace under Control (blue), Low M</w:t>
      </w:r>
      <w:r w:rsidRPr="00B54FB7">
        <w:rPr>
          <w:rFonts w:ascii="Times New Roman" w:hAnsi="Times New Roman" w:cs="Times New Roman"/>
          <w:sz w:val="22"/>
          <w:szCs w:val="22"/>
        </w:rPr>
        <w:t>ixing (green),</w:t>
      </w:r>
      <w:r>
        <w:rPr>
          <w:rFonts w:ascii="Times New Roman" w:hAnsi="Times New Roman" w:cs="Times New Roman"/>
          <w:sz w:val="22"/>
          <w:szCs w:val="22"/>
        </w:rPr>
        <w:t xml:space="preserve"> and Obc (magenta</w:t>
      </w:r>
      <w:r w:rsidRPr="00B54FB7">
        <w:rPr>
          <w:rFonts w:ascii="Times New Roman" w:hAnsi="Times New Roman" w:cs="Times New Roman"/>
          <w:sz w:val="22"/>
          <w:szCs w:val="22"/>
        </w:rPr>
        <w:t xml:space="preserve">) scenarios. </w:t>
      </w:r>
      <w:bookmarkStart w:id="0" w:name="_GoBack"/>
      <w:bookmarkEnd w:id="0"/>
      <w:r w:rsidR="0003787A">
        <w:rPr>
          <w:rFonts w:ascii="Times New Roman" w:hAnsi="Times New Roman" w:cs="Times New Roman"/>
        </w:rPr>
        <w:br w:type="page"/>
      </w:r>
    </w:p>
    <w:p w14:paraId="0D2FB94A" w14:textId="77777777" w:rsidR="004C7872" w:rsidRDefault="004C7872" w:rsidP="0039723B">
      <w:pPr>
        <w:spacing w:line="480" w:lineRule="auto"/>
        <w:rPr>
          <w:rFonts w:ascii="Times New Roman" w:hAnsi="Times New Roman" w:cs="Times New Roman"/>
        </w:rPr>
      </w:pPr>
    </w:p>
    <w:p w14:paraId="76F0FE06" w14:textId="77777777" w:rsidR="00D25E14" w:rsidRDefault="00D25E14" w:rsidP="0039723B">
      <w:pPr>
        <w:spacing w:line="480" w:lineRule="auto"/>
        <w:rPr>
          <w:rFonts w:ascii="Times New Roman" w:hAnsi="Times New Roman" w:cs="Times New Roman"/>
        </w:rPr>
      </w:pPr>
    </w:p>
    <w:p w14:paraId="1C1AFA77" w14:textId="278FA883" w:rsidR="00D955C8" w:rsidRDefault="00D25E14" w:rsidP="004C7872">
      <w:pPr>
        <w:jc w:val="center"/>
        <w:rPr>
          <w:rFonts w:ascii="Times New Roman" w:hAnsi="Times New Roman" w:cs="Times New Roman"/>
        </w:rPr>
      </w:pPr>
      <w:r>
        <w:rPr>
          <w:noProof/>
          <w:sz w:val="18"/>
          <w:szCs w:val="18"/>
          <w:lang w:eastAsia="en-US"/>
        </w:rPr>
        <w:drawing>
          <wp:inline distT="0" distB="0" distL="0" distR="0" wp14:anchorId="4D40617C" wp14:editId="595D9A30">
            <wp:extent cx="4938052"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ecc2_WFL_ts_wNO3.jpg"/>
                    <pic:cNvPicPr/>
                  </pic:nvPicPr>
                  <pic:blipFill>
                    <a:blip r:embed="rId8">
                      <a:extLst>
                        <a:ext uri="{28A0092B-C50C-407E-A947-70E740481C1C}">
                          <a14:useLocalDpi xmlns:a14="http://schemas.microsoft.com/office/drawing/2010/main" val="0"/>
                        </a:ext>
                      </a:extLst>
                    </a:blip>
                    <a:stretch>
                      <a:fillRect/>
                    </a:stretch>
                  </pic:blipFill>
                  <pic:spPr>
                    <a:xfrm>
                      <a:off x="0" y="0"/>
                      <a:ext cx="4938052" cy="5943600"/>
                    </a:xfrm>
                    <a:prstGeom prst="rect">
                      <a:avLst/>
                    </a:prstGeom>
                  </pic:spPr>
                </pic:pic>
              </a:graphicData>
            </a:graphic>
          </wp:inline>
        </w:drawing>
      </w:r>
    </w:p>
    <w:p w14:paraId="04068BB1" w14:textId="77777777" w:rsidR="00D955C8" w:rsidRDefault="00D955C8" w:rsidP="004C7872">
      <w:pPr>
        <w:jc w:val="center"/>
        <w:rPr>
          <w:rFonts w:ascii="Times New Roman" w:hAnsi="Times New Roman" w:cs="Times New Roman"/>
        </w:rPr>
      </w:pPr>
    </w:p>
    <w:p w14:paraId="0A29ACDE" w14:textId="0FD7F5BA" w:rsidR="00D955C8" w:rsidRPr="00B54FB7" w:rsidRDefault="00D955C8" w:rsidP="00D955C8">
      <w:pPr>
        <w:spacing w:line="480" w:lineRule="auto"/>
        <w:rPr>
          <w:rFonts w:ascii="Times New Roman" w:hAnsi="Times New Roman" w:cs="Times New Roman"/>
          <w:sz w:val="22"/>
          <w:szCs w:val="22"/>
        </w:rPr>
      </w:pPr>
      <w:r w:rsidRPr="00B54FB7">
        <w:rPr>
          <w:rFonts w:ascii="Times New Roman" w:hAnsi="Times New Roman" w:cs="Times New Roman"/>
          <w:sz w:val="22"/>
          <w:szCs w:val="22"/>
        </w:rPr>
        <w:t>Figure S1. Observed relationships of NO</w:t>
      </w:r>
      <w:r w:rsidRPr="00B54FB7">
        <w:rPr>
          <w:rFonts w:ascii="Times New Roman" w:hAnsi="Times New Roman" w:cs="Times New Roman"/>
          <w:sz w:val="22"/>
          <w:szCs w:val="22"/>
          <w:vertAlign w:val="subscript"/>
        </w:rPr>
        <w:t>3</w:t>
      </w:r>
      <w:r w:rsidRPr="00B54FB7">
        <w:rPr>
          <w:rFonts w:ascii="Times New Roman" w:hAnsi="Times New Roman" w:cs="Times New Roman"/>
          <w:sz w:val="22"/>
          <w:szCs w:val="22"/>
        </w:rPr>
        <w:t xml:space="preserve">, DIC and TA with temperature and salinity along the WFL transect during GOMECC2. The correlation coefficient of best polynomial fit for each pair is shown in </w:t>
      </w:r>
      <w:r w:rsidR="004167A2">
        <w:rPr>
          <w:rFonts w:ascii="Times New Roman" w:hAnsi="Times New Roman" w:cs="Times New Roman"/>
          <w:sz w:val="22"/>
          <w:szCs w:val="22"/>
        </w:rPr>
        <w:t xml:space="preserve">the respective </w:t>
      </w:r>
      <w:r w:rsidRPr="00B54FB7">
        <w:rPr>
          <w:rFonts w:ascii="Times New Roman" w:hAnsi="Times New Roman" w:cs="Times New Roman"/>
          <w:sz w:val="22"/>
          <w:szCs w:val="22"/>
        </w:rPr>
        <w:t xml:space="preserve">panel. </w:t>
      </w:r>
    </w:p>
    <w:p w14:paraId="0DF2C07F" w14:textId="52077B00" w:rsidR="004C7872" w:rsidRDefault="004C7872" w:rsidP="004C7872">
      <w:pPr>
        <w:jc w:val="center"/>
        <w:rPr>
          <w:rFonts w:ascii="Times New Roman" w:hAnsi="Times New Roman" w:cs="Times New Roman"/>
        </w:rPr>
      </w:pPr>
      <w:r>
        <w:rPr>
          <w:rFonts w:ascii="Times New Roman" w:hAnsi="Times New Roman" w:cs="Times New Roman"/>
        </w:rPr>
        <w:br w:type="page"/>
      </w:r>
    </w:p>
    <w:p w14:paraId="4CB06FCB" w14:textId="77777777" w:rsidR="00E203C8" w:rsidRDefault="00E203C8" w:rsidP="00E203C8">
      <w:pPr>
        <w:rPr>
          <w:rFonts w:ascii="Times New Roman" w:hAnsi="Times New Roman" w:cs="Times New Roman"/>
        </w:rPr>
      </w:pPr>
    </w:p>
    <w:p w14:paraId="0B7469BD" w14:textId="77777777" w:rsidR="00040559" w:rsidRDefault="00040559" w:rsidP="00E203C8">
      <w:pPr>
        <w:rPr>
          <w:rFonts w:ascii="Times New Roman" w:hAnsi="Times New Roman" w:cs="Times New Roman"/>
        </w:rPr>
      </w:pPr>
    </w:p>
    <w:p w14:paraId="6243A6AA" w14:textId="77777777" w:rsidR="007218D5" w:rsidRDefault="007218D5" w:rsidP="00E203C8">
      <w:pPr>
        <w:rPr>
          <w:rFonts w:ascii="Times New Roman" w:hAnsi="Times New Roman" w:cs="Times New Roman"/>
        </w:rPr>
      </w:pPr>
    </w:p>
    <w:p w14:paraId="585DB48D" w14:textId="77777777" w:rsidR="007218D5" w:rsidRDefault="007218D5" w:rsidP="00E203C8">
      <w:pPr>
        <w:rPr>
          <w:rFonts w:ascii="Times New Roman" w:hAnsi="Times New Roman" w:cs="Times New Roman"/>
        </w:rPr>
      </w:pPr>
    </w:p>
    <w:p w14:paraId="1DE47B89" w14:textId="77777777" w:rsidR="007218D5" w:rsidRDefault="007218D5" w:rsidP="00E203C8">
      <w:pPr>
        <w:rPr>
          <w:rFonts w:ascii="Times New Roman" w:hAnsi="Times New Roman" w:cs="Times New Roman"/>
        </w:rPr>
      </w:pPr>
    </w:p>
    <w:p w14:paraId="61640957" w14:textId="77777777" w:rsidR="007218D5" w:rsidRDefault="007218D5" w:rsidP="00E203C8">
      <w:pPr>
        <w:rPr>
          <w:rFonts w:ascii="Times New Roman" w:hAnsi="Times New Roman" w:cs="Times New Roman"/>
        </w:rPr>
      </w:pPr>
    </w:p>
    <w:p w14:paraId="55C72EE3" w14:textId="77777777" w:rsidR="007218D5" w:rsidRDefault="007218D5" w:rsidP="00E203C8">
      <w:pPr>
        <w:rPr>
          <w:rFonts w:ascii="Times New Roman" w:hAnsi="Times New Roman" w:cs="Times New Roman"/>
        </w:rPr>
      </w:pPr>
    </w:p>
    <w:p w14:paraId="555EA3F7" w14:textId="77777777" w:rsidR="007218D5" w:rsidRDefault="007218D5" w:rsidP="00E203C8"/>
    <w:p w14:paraId="312BB1CD" w14:textId="77777777" w:rsidR="00E203C8" w:rsidRDefault="00E203C8" w:rsidP="00E203C8"/>
    <w:p w14:paraId="7450D51E" w14:textId="3F1B692F" w:rsidR="00E203C8" w:rsidRDefault="0046419F" w:rsidP="008F192D">
      <w:pPr>
        <w:jc w:val="center"/>
      </w:pPr>
      <w:r w:rsidRPr="0046419F">
        <w:rPr>
          <w:noProof/>
          <w:lang w:eastAsia="en-US"/>
        </w:rPr>
        <mc:AlternateContent>
          <mc:Choice Requires="wps">
            <w:drawing>
              <wp:anchor distT="0" distB="0" distL="114300" distR="114300" simplePos="0" relativeHeight="251659264" behindDoc="0" locked="0" layoutInCell="1" allowOverlap="1" wp14:anchorId="199EF922" wp14:editId="67A8D22F">
                <wp:simplePos x="0" y="0"/>
                <wp:positionH relativeFrom="column">
                  <wp:posOffset>2464230</wp:posOffset>
                </wp:positionH>
                <wp:positionV relativeFrom="paragraph">
                  <wp:posOffset>522185</wp:posOffset>
                </wp:positionV>
                <wp:extent cx="1220168" cy="877691"/>
                <wp:effectExtent l="50800" t="50800" r="50165" b="113030"/>
                <wp:wrapNone/>
                <wp:docPr id="2" name="Connector 2"/>
                <wp:cNvGraphicFramePr/>
                <a:graphic xmlns:a="http://schemas.openxmlformats.org/drawingml/2006/main">
                  <a:graphicData uri="http://schemas.microsoft.com/office/word/2010/wordprocessingShape">
                    <wps:wsp>
                      <wps:cNvSpPr/>
                      <wps:spPr>
                        <a:xfrm rot="981425">
                          <a:off x="0" y="0"/>
                          <a:ext cx="1220168" cy="877691"/>
                        </a:xfrm>
                        <a:prstGeom prst="flowChartConnector">
                          <a:avLst/>
                        </a:prstGeom>
                        <a:noFill/>
                        <a:ln w="12700" cmpd="sng">
                          <a:solidFill>
                            <a:srgbClr val="000000"/>
                          </a:solidFill>
                          <a:prstDash val="soli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Connector 2" o:spid="_x0000_s1026" type="#_x0000_t120" style="position:absolute;margin-left:194.05pt;margin-top:41.1pt;width:96.1pt;height:69.1pt;rotation:107197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" filled="f" strokeweight="1pt">
                <v:shadow on="t" opacity="22937f" mv:blur="40000f" origin=",.5" offset="0,23000emu"/>
              </v:shape>
            </w:pict>
          </mc:Fallback>
        </mc:AlternateContent>
      </w:r>
      <w:r w:rsidR="00541460">
        <w:rPr>
          <w:noProof/>
          <w:lang w:eastAsia="en-US"/>
        </w:rPr>
        <w:drawing>
          <wp:inline distT="0" distB="0" distL="0" distR="0" wp14:anchorId="5030E3F0" wp14:editId="40CB60D5">
            <wp:extent cx="5439576"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_efl_p2p_2000m2_d576.jpg"/>
                    <pic:cNvPicPr/>
                  </pic:nvPicPr>
                  <pic:blipFill>
                    <a:blip r:embed="rId9">
                      <a:extLst>
                        <a:ext uri="{28A0092B-C50C-407E-A947-70E740481C1C}">
                          <a14:useLocalDpi xmlns:a14="http://schemas.microsoft.com/office/drawing/2010/main" val="0"/>
                        </a:ext>
                      </a:extLst>
                    </a:blip>
                    <a:stretch>
                      <a:fillRect/>
                    </a:stretch>
                  </pic:blipFill>
                  <pic:spPr>
                    <a:xfrm>
                      <a:off x="0" y="0"/>
                      <a:ext cx="5439576" cy="3200400"/>
                    </a:xfrm>
                    <a:prstGeom prst="rect">
                      <a:avLst/>
                    </a:prstGeom>
                  </pic:spPr>
                </pic:pic>
              </a:graphicData>
            </a:graphic>
          </wp:inline>
        </w:drawing>
      </w:r>
    </w:p>
    <w:p w14:paraId="58A33C54" w14:textId="676E05C6" w:rsidR="00E203C8" w:rsidRDefault="00E203C8" w:rsidP="008F192D"/>
    <w:p w14:paraId="6D1A02AE" w14:textId="53B670B0" w:rsidR="00D955C8" w:rsidRPr="00B54FB7" w:rsidRDefault="00D955C8" w:rsidP="00D955C8">
      <w:pPr>
        <w:spacing w:line="480" w:lineRule="auto"/>
        <w:rPr>
          <w:rFonts w:ascii="Times New Roman" w:hAnsi="Times New Roman" w:cs="Times New Roman"/>
          <w:sz w:val="22"/>
          <w:szCs w:val="22"/>
        </w:rPr>
      </w:pPr>
      <w:r w:rsidRPr="00B54FB7">
        <w:rPr>
          <w:rFonts w:ascii="Times New Roman" w:hAnsi="Times New Roman" w:cs="Times New Roman"/>
          <w:sz w:val="22"/>
          <w:szCs w:val="22"/>
        </w:rPr>
        <w:t xml:space="preserve">Figure S2. </w:t>
      </w:r>
      <w:r w:rsidR="0058435A" w:rsidRPr="00B54FB7">
        <w:rPr>
          <w:rFonts w:ascii="Times New Roman" w:hAnsi="Times New Roman" w:cs="Times New Roman"/>
          <w:sz w:val="22"/>
          <w:szCs w:val="22"/>
        </w:rPr>
        <w:t xml:space="preserve">Left panel: modeled mean and standard deviation of chlorophyll concentration (blue line) along the </w:t>
      </w:r>
      <w:r w:rsidR="00541460">
        <w:rPr>
          <w:rFonts w:ascii="Times New Roman" w:hAnsi="Times New Roman" w:cs="Times New Roman"/>
          <w:sz w:val="22"/>
          <w:szCs w:val="22"/>
        </w:rPr>
        <w:t xml:space="preserve">GOMECC2 </w:t>
      </w:r>
      <w:r w:rsidR="0058435A" w:rsidRPr="00B54FB7">
        <w:rPr>
          <w:rFonts w:ascii="Times New Roman" w:hAnsi="Times New Roman" w:cs="Times New Roman"/>
          <w:sz w:val="22"/>
          <w:szCs w:val="22"/>
        </w:rPr>
        <w:t>EFL transect and observe</w:t>
      </w:r>
      <w:r w:rsidR="00541460">
        <w:rPr>
          <w:rFonts w:ascii="Times New Roman" w:hAnsi="Times New Roman" w:cs="Times New Roman"/>
          <w:sz w:val="22"/>
          <w:szCs w:val="22"/>
        </w:rPr>
        <w:t>d chlorophyll concentration (</w:t>
      </w:r>
      <w:r w:rsidR="0058435A" w:rsidRPr="00B54FB7">
        <w:rPr>
          <w:rFonts w:ascii="Times New Roman" w:hAnsi="Times New Roman" w:cs="Times New Roman"/>
          <w:sz w:val="22"/>
          <w:szCs w:val="22"/>
        </w:rPr>
        <w:t xml:space="preserve">dots). Right pane: point-to-point correlation </w:t>
      </w:r>
      <w:r w:rsidR="00F76433" w:rsidRPr="00B54FB7">
        <w:rPr>
          <w:rFonts w:ascii="Times New Roman" w:hAnsi="Times New Roman" w:cs="Times New Roman"/>
          <w:sz w:val="22"/>
          <w:szCs w:val="22"/>
        </w:rPr>
        <w:t>(red dots) and the linear r</w:t>
      </w:r>
      <w:r w:rsidRPr="00B54FB7">
        <w:rPr>
          <w:rFonts w:ascii="Times New Roman" w:hAnsi="Times New Roman" w:cs="Times New Roman"/>
          <w:sz w:val="22"/>
          <w:szCs w:val="22"/>
        </w:rPr>
        <w:t>egression</w:t>
      </w:r>
      <w:r w:rsidR="00F76433" w:rsidRPr="00B54FB7">
        <w:rPr>
          <w:rFonts w:ascii="Times New Roman" w:hAnsi="Times New Roman" w:cs="Times New Roman"/>
          <w:sz w:val="22"/>
          <w:szCs w:val="22"/>
        </w:rPr>
        <w:t xml:space="preserve"> (blue line)</w:t>
      </w:r>
      <w:r w:rsidRPr="00B54FB7">
        <w:rPr>
          <w:rFonts w:ascii="Times New Roman" w:hAnsi="Times New Roman" w:cs="Times New Roman"/>
          <w:sz w:val="22"/>
          <w:szCs w:val="22"/>
        </w:rPr>
        <w:t xml:space="preserve"> by </w:t>
      </w:r>
      <w:r w:rsidR="00F76433" w:rsidRPr="00B54FB7">
        <w:rPr>
          <w:rFonts w:ascii="Times New Roman" w:hAnsi="Times New Roman" w:cs="Times New Roman"/>
          <w:sz w:val="22"/>
          <w:szCs w:val="22"/>
        </w:rPr>
        <w:t xml:space="preserve">excluding the </w:t>
      </w:r>
      <w:r w:rsidRPr="00B54FB7">
        <w:rPr>
          <w:rFonts w:ascii="Times New Roman" w:hAnsi="Times New Roman" w:cs="Times New Roman"/>
          <w:sz w:val="22"/>
          <w:szCs w:val="22"/>
        </w:rPr>
        <w:t>6 data points where modeled chl</w:t>
      </w:r>
      <w:r w:rsidR="00541460">
        <w:rPr>
          <w:rFonts w:ascii="Times New Roman" w:hAnsi="Times New Roman" w:cs="Times New Roman"/>
          <w:sz w:val="22"/>
          <w:szCs w:val="22"/>
        </w:rPr>
        <w:t>orophyll concentration</w:t>
      </w:r>
      <w:r w:rsidRPr="00B54FB7">
        <w:rPr>
          <w:rFonts w:ascii="Times New Roman" w:hAnsi="Times New Roman" w:cs="Times New Roman"/>
          <w:sz w:val="22"/>
          <w:szCs w:val="22"/>
        </w:rPr>
        <w:t xml:space="preserve"> is greater than 0.5 ug/l</w:t>
      </w:r>
      <w:r w:rsidR="002D7D15">
        <w:rPr>
          <w:rFonts w:ascii="Times New Roman" w:hAnsi="Times New Roman" w:cs="Times New Roman"/>
          <w:sz w:val="22"/>
          <w:szCs w:val="22"/>
        </w:rPr>
        <w:t xml:space="preserve"> (upper left corner)</w:t>
      </w:r>
      <w:r w:rsidRPr="00B54FB7">
        <w:rPr>
          <w:rFonts w:ascii="Times New Roman" w:hAnsi="Times New Roman" w:cs="Times New Roman"/>
          <w:sz w:val="22"/>
          <w:szCs w:val="22"/>
        </w:rPr>
        <w:t xml:space="preserve">. </w:t>
      </w:r>
    </w:p>
    <w:p w14:paraId="08824493" w14:textId="77777777" w:rsidR="00E203C8" w:rsidRDefault="00E203C8" w:rsidP="00E203C8">
      <w:pPr>
        <w:jc w:val="center"/>
      </w:pPr>
    </w:p>
    <w:p w14:paraId="01C263F5" w14:textId="412B9D99" w:rsidR="00893D54" w:rsidRDefault="00893D54" w:rsidP="00E203C8">
      <w:pPr>
        <w:jc w:val="center"/>
      </w:pPr>
    </w:p>
    <w:p w14:paraId="767B95B1" w14:textId="77777777" w:rsidR="007C547C" w:rsidRDefault="007C547C">
      <w:r>
        <w:br w:type="page"/>
      </w:r>
    </w:p>
    <w:p w14:paraId="1FD61EE5" w14:textId="77777777" w:rsidR="00787894" w:rsidRDefault="00787894" w:rsidP="00893D54"/>
    <w:p w14:paraId="746C0C3B" w14:textId="77777777" w:rsidR="00787894" w:rsidRDefault="00787894" w:rsidP="00893D54"/>
    <w:p w14:paraId="701E39DA" w14:textId="77777777" w:rsidR="00787894" w:rsidRDefault="00787894" w:rsidP="00893D54"/>
    <w:p w14:paraId="529E5B4D" w14:textId="77777777" w:rsidR="00787894" w:rsidRDefault="00787894" w:rsidP="00893D54"/>
    <w:p w14:paraId="7E2AA58D" w14:textId="39357FCF" w:rsidR="007C547C" w:rsidRDefault="006410F2" w:rsidP="00893D54">
      <w:r>
        <w:rPr>
          <w:noProof/>
          <w:lang w:eastAsia="en-US"/>
        </w:rPr>
        <w:drawing>
          <wp:inline distT="0" distB="0" distL="0" distR="0" wp14:anchorId="54750170" wp14:editId="4D773999">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c_bio_6pa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51E14F9" w14:textId="77777777" w:rsidR="007C547C" w:rsidRDefault="007C547C" w:rsidP="00893D54"/>
    <w:p w14:paraId="64F4451F" w14:textId="5536D138" w:rsidR="00893D54" w:rsidRPr="007C547C" w:rsidRDefault="00A65CBC" w:rsidP="007C547C">
      <w:pPr>
        <w:spacing w:line="480" w:lineRule="auto"/>
        <w:rPr>
          <w:rFonts w:ascii="Times New Roman" w:hAnsi="Times New Roman" w:cs="Times New Roman"/>
          <w:noProof/>
          <w:sz w:val="22"/>
          <w:szCs w:val="22"/>
          <w:lang w:eastAsia="en-US"/>
        </w:rPr>
      </w:pPr>
      <w:r>
        <w:rPr>
          <w:rFonts w:ascii="Times New Roman" w:hAnsi="Times New Roman" w:cs="Times New Roman"/>
          <w:sz w:val="22"/>
          <w:szCs w:val="22"/>
        </w:rPr>
        <w:t>Figure S3</w:t>
      </w:r>
      <w:r w:rsidR="007C547C" w:rsidRPr="007C547C">
        <w:rPr>
          <w:rFonts w:ascii="Times New Roman" w:hAnsi="Times New Roman" w:cs="Times New Roman"/>
          <w:sz w:val="22"/>
          <w:szCs w:val="22"/>
        </w:rPr>
        <w:t xml:space="preserve">. </w:t>
      </w:r>
      <w:r w:rsidR="006410F2">
        <w:rPr>
          <w:rFonts w:ascii="Times New Roman" w:hAnsi="Times New Roman" w:cs="Times New Roman"/>
          <w:sz w:val="22"/>
          <w:szCs w:val="22"/>
        </w:rPr>
        <w:t xml:space="preserve">Boundary (a) chlorophyll, (b) NO3, (c) POC, (d) DOC, (e) DIC and (f) TA on the </w:t>
      </w:r>
      <w:r w:rsidR="006410F2" w:rsidRPr="007C547C">
        <w:rPr>
          <w:rFonts w:ascii="Times New Roman" w:hAnsi="Times New Roman" w:cs="Times New Roman"/>
          <w:sz w:val="22"/>
          <w:szCs w:val="22"/>
        </w:rPr>
        <w:t>on the west Florida Slope</w:t>
      </w:r>
      <w:r w:rsidR="007C547C" w:rsidRPr="007C547C">
        <w:rPr>
          <w:rFonts w:ascii="Times New Roman" w:hAnsi="Times New Roman" w:cs="Times New Roman"/>
          <w:sz w:val="22"/>
          <w:szCs w:val="22"/>
        </w:rPr>
        <w:t xml:space="preserve"> </w:t>
      </w:r>
      <w:r w:rsidR="003C0102" w:rsidRPr="003C0102">
        <w:rPr>
          <w:rFonts w:ascii="Times New Roman" w:hAnsi="Times New Roman" w:cs="Times New Roman"/>
          <w:sz w:val="22"/>
          <w:szCs w:val="22"/>
        </w:rPr>
        <w:t>(26.8</w:t>
      </w:r>
      <w:r w:rsidR="003C0102" w:rsidRPr="003C0102">
        <w:rPr>
          <w:rFonts w:ascii="Times New Roman" w:hAnsi="Times New Roman" w:cs="Times New Roman"/>
          <w:sz w:val="22"/>
          <w:szCs w:val="22"/>
          <w:vertAlign w:val="superscript"/>
        </w:rPr>
        <w:t>o</w:t>
      </w:r>
      <w:r w:rsidR="003C0102" w:rsidRPr="003C0102">
        <w:rPr>
          <w:rFonts w:ascii="Times New Roman" w:hAnsi="Times New Roman" w:cs="Times New Roman"/>
          <w:sz w:val="22"/>
          <w:szCs w:val="22"/>
        </w:rPr>
        <w:t>N, 84.9</w:t>
      </w:r>
      <w:r w:rsidR="003C0102" w:rsidRPr="003C0102">
        <w:rPr>
          <w:rFonts w:ascii="Times New Roman" w:hAnsi="Times New Roman" w:cs="Times New Roman"/>
          <w:sz w:val="22"/>
          <w:szCs w:val="22"/>
          <w:vertAlign w:val="superscript"/>
        </w:rPr>
        <w:t>o</w:t>
      </w:r>
      <w:r w:rsidR="003C0102" w:rsidRPr="003C0102">
        <w:rPr>
          <w:rFonts w:ascii="Times New Roman" w:hAnsi="Times New Roman" w:cs="Times New Roman"/>
          <w:sz w:val="22"/>
          <w:szCs w:val="22"/>
        </w:rPr>
        <w:t>W</w:t>
      </w:r>
      <w:r w:rsidR="006D1A93" w:rsidRPr="003C0102">
        <w:rPr>
          <w:rFonts w:ascii="Times New Roman" w:hAnsi="Times New Roman" w:cs="Times New Roman"/>
          <w:sz w:val="22"/>
          <w:szCs w:val="22"/>
        </w:rPr>
        <w:t>)</w:t>
      </w:r>
      <w:r w:rsidR="00925CF3">
        <w:rPr>
          <w:rFonts w:ascii="Times New Roman" w:hAnsi="Times New Roman" w:cs="Times New Roman"/>
          <w:sz w:val="22"/>
          <w:szCs w:val="22"/>
        </w:rPr>
        <w:t xml:space="preserve"> </w:t>
      </w:r>
      <w:r w:rsidR="007C547C" w:rsidRPr="007C547C">
        <w:rPr>
          <w:rFonts w:ascii="Times New Roman" w:hAnsi="Times New Roman" w:cs="Times New Roman"/>
          <w:sz w:val="22"/>
          <w:szCs w:val="22"/>
        </w:rPr>
        <w:t xml:space="preserve">in 2011-2012. </w:t>
      </w:r>
      <w:r w:rsidR="00893D54" w:rsidRPr="007C547C">
        <w:rPr>
          <w:rFonts w:ascii="Times New Roman" w:hAnsi="Times New Roman" w:cs="Times New Roman"/>
          <w:noProof/>
          <w:sz w:val="22"/>
          <w:szCs w:val="22"/>
          <w:lang w:eastAsia="en-US"/>
        </w:rPr>
        <w:br w:type="page"/>
      </w:r>
    </w:p>
    <w:p w14:paraId="788AC91F" w14:textId="3DDACCA3" w:rsidR="00893D54" w:rsidRDefault="000D664E" w:rsidP="00D62D84">
      <w:pPr>
        <w:spacing w:line="480" w:lineRule="auto"/>
        <w:jc w:val="center"/>
        <w:rPr>
          <w:rFonts w:ascii="Times New Roman" w:hAnsi="Times New Roman" w:cs="Times New Roman"/>
        </w:rPr>
      </w:pPr>
      <w:r>
        <w:rPr>
          <w:rFonts w:ascii="Times New Roman" w:hAnsi="Times New Roman" w:cs="Times New Roman"/>
          <w:noProof/>
          <w:lang w:eastAsia="en-US"/>
        </w:rPr>
        <w:drawing>
          <wp:inline distT="0" distB="0" distL="0" distR="0" wp14:anchorId="0DE95917" wp14:editId="42DDA9F6">
            <wp:extent cx="4052746" cy="5943600"/>
            <wp:effectExtent l="0" t="0" r="1143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jpg"/>
                    <pic:cNvPicPr/>
                  </pic:nvPicPr>
                  <pic:blipFill>
                    <a:blip r:embed="rId11">
                      <a:extLst>
                        <a:ext uri="{28A0092B-C50C-407E-A947-70E740481C1C}">
                          <a14:useLocalDpi xmlns:a14="http://schemas.microsoft.com/office/drawing/2010/main" val="0"/>
                        </a:ext>
                      </a:extLst>
                    </a:blip>
                    <a:stretch>
                      <a:fillRect/>
                    </a:stretch>
                  </pic:blipFill>
                  <pic:spPr>
                    <a:xfrm>
                      <a:off x="0" y="0"/>
                      <a:ext cx="4052746" cy="5943600"/>
                    </a:xfrm>
                    <a:prstGeom prst="rect">
                      <a:avLst/>
                    </a:prstGeom>
                  </pic:spPr>
                </pic:pic>
              </a:graphicData>
            </a:graphic>
          </wp:inline>
        </w:drawing>
      </w:r>
    </w:p>
    <w:p w14:paraId="44DF783D" w14:textId="299BEDB2" w:rsidR="00593B5C" w:rsidRPr="00B54FB7" w:rsidRDefault="007C547C" w:rsidP="00593B5C">
      <w:pPr>
        <w:spacing w:line="480" w:lineRule="auto"/>
        <w:rPr>
          <w:rFonts w:ascii="Times New Roman" w:hAnsi="Times New Roman" w:cs="Times New Roman"/>
          <w:sz w:val="22"/>
          <w:szCs w:val="22"/>
        </w:rPr>
      </w:pPr>
      <w:r>
        <w:rPr>
          <w:rFonts w:ascii="Times New Roman" w:hAnsi="Times New Roman" w:cs="Times New Roman"/>
          <w:sz w:val="22"/>
          <w:szCs w:val="22"/>
        </w:rPr>
        <w:t>Figure S4</w:t>
      </w:r>
      <w:r w:rsidR="00593B5C" w:rsidRPr="00B54FB7">
        <w:rPr>
          <w:rFonts w:ascii="Times New Roman" w:hAnsi="Times New Roman" w:cs="Times New Roman"/>
          <w:sz w:val="22"/>
          <w:szCs w:val="22"/>
        </w:rPr>
        <w:t>. Modeled time-series of relative vorticity (</w:t>
      </w:r>
      <m:oMath>
        <m:r>
          <w:rPr>
            <w:rFonts w:ascii="Cambria Math" w:hAnsi="Cambria Math" w:cs="Times New Roman"/>
            <w:sz w:val="22"/>
            <w:szCs w:val="22"/>
          </w:rPr>
          <m:t>ς</m:t>
        </m:r>
      </m:oMath>
      <w:r w:rsidR="00593B5C" w:rsidRPr="00B54FB7">
        <w:rPr>
          <w:rFonts w:ascii="Times New Roman" w:hAnsi="Times New Roman" w:cs="Times New Roman"/>
          <w:sz w:val="22"/>
          <w:szCs w:val="22"/>
        </w:rPr>
        <w:t xml:space="preserve">) and near bottom temperature in 2012 for two sites on Pourtalès Terrace (296 m) and Miami Terrace (417 m): (a) </w:t>
      </w:r>
      <m:oMath>
        <m:r>
          <w:rPr>
            <w:rFonts w:ascii="Cambria Math" w:hAnsi="Cambria Math" w:cs="Times New Roman"/>
            <w:sz w:val="22"/>
            <w:szCs w:val="22"/>
          </w:rPr>
          <m:t>ς</m:t>
        </m:r>
      </m:oMath>
      <w:r w:rsidR="00593B5C" w:rsidRPr="00B54FB7">
        <w:rPr>
          <w:rFonts w:ascii="Times New Roman" w:hAnsi="Times New Roman" w:cs="Times New Roman"/>
          <w:sz w:val="22"/>
          <w:szCs w:val="22"/>
        </w:rPr>
        <w:t xml:space="preserve"> at 150m and (c) bottom temperature on Pourtalès Terrace, (e) </w:t>
      </w:r>
      <m:oMath>
        <m:r>
          <w:rPr>
            <w:rFonts w:ascii="Cambria Math" w:hAnsi="Cambria Math" w:cs="Times New Roman"/>
            <w:sz w:val="22"/>
            <w:szCs w:val="22"/>
          </w:rPr>
          <m:t>ς</m:t>
        </m:r>
      </m:oMath>
      <w:r w:rsidR="00593B5C" w:rsidRPr="00B54FB7">
        <w:rPr>
          <w:rFonts w:ascii="Times New Roman" w:hAnsi="Times New Roman" w:cs="Times New Roman"/>
          <w:sz w:val="22"/>
          <w:szCs w:val="22"/>
        </w:rPr>
        <w:t xml:space="preserve"> at 350 m and (g) bottom temperature on Miami Terrace. Their respective </w:t>
      </w:r>
      <m:oMath>
        <m:r>
          <w:rPr>
            <w:rFonts w:ascii="Cambria Math" w:hAnsi="Cambria Math" w:cs="Times New Roman"/>
            <w:sz w:val="22"/>
            <w:szCs w:val="22"/>
          </w:rPr>
          <m:t>ς</m:t>
        </m:r>
      </m:oMath>
      <w:r w:rsidR="00593B5C" w:rsidRPr="00B54FB7">
        <w:rPr>
          <w:rFonts w:ascii="Times New Roman" w:hAnsi="Times New Roman" w:cs="Times New Roman"/>
          <w:sz w:val="22"/>
          <w:szCs w:val="22"/>
        </w:rPr>
        <w:t xml:space="preserve"> -T correlations for low-passed time-series (b and f) and anomalies (d, h) are shown on the right panels. Red lines on the right panels are the linear best fits for each pair. This is same as Figure 15 except that here the cut-off period for the Lanczos filter is 15 day. </w:t>
      </w:r>
    </w:p>
    <w:p w14:paraId="16616A2E" w14:textId="77777777" w:rsidR="00B54FB7" w:rsidRDefault="00B54FB7" w:rsidP="00B54FB7">
      <w:pPr>
        <w:spacing w:line="480" w:lineRule="auto"/>
        <w:jc w:val="center"/>
        <w:rPr>
          <w:rFonts w:ascii="Times New Roman" w:hAnsi="Times New Roman" w:cs="Times New Roman"/>
        </w:rPr>
      </w:pPr>
    </w:p>
    <w:p w14:paraId="32331D7C" w14:textId="77777777" w:rsidR="00B54FB7" w:rsidRDefault="00B54FB7" w:rsidP="00B54FB7">
      <w:pPr>
        <w:spacing w:line="480" w:lineRule="auto"/>
        <w:jc w:val="center"/>
        <w:rPr>
          <w:rFonts w:ascii="Times New Roman" w:hAnsi="Times New Roman" w:cs="Times New Roman"/>
        </w:rPr>
      </w:pPr>
    </w:p>
    <w:p w14:paraId="6DFEEF6B" w14:textId="77777777" w:rsidR="00B54FB7" w:rsidRDefault="00B54FB7" w:rsidP="00B54FB7">
      <w:pPr>
        <w:spacing w:line="480" w:lineRule="auto"/>
        <w:jc w:val="center"/>
        <w:rPr>
          <w:rFonts w:ascii="Times New Roman" w:hAnsi="Times New Roman" w:cs="Times New Roman"/>
        </w:rPr>
      </w:pPr>
    </w:p>
    <w:p w14:paraId="641E5B38" w14:textId="72B392E8" w:rsidR="00B54FB7" w:rsidRDefault="004E75FA" w:rsidP="00B54FB7">
      <w:pPr>
        <w:spacing w:line="480" w:lineRule="auto"/>
        <w:jc w:val="center"/>
        <w:rPr>
          <w:rFonts w:ascii="Times New Roman" w:hAnsi="Times New Roman" w:cs="Times New Roman"/>
        </w:rPr>
      </w:pPr>
      <w:r>
        <w:rPr>
          <w:rFonts w:ascii="Times New Roman" w:hAnsi="Times New Roman" w:cs="Times New Roman"/>
          <w:noProof/>
          <w:lang w:eastAsia="en-US"/>
        </w:rPr>
        <w:drawing>
          <wp:inline distT="0" distB="0" distL="0" distR="0" wp14:anchorId="6E17D1B4" wp14:editId="1E40A1A5">
            <wp:extent cx="4925446" cy="5486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bot_sens_PT296m.jpg"/>
                    <pic:cNvPicPr/>
                  </pic:nvPicPr>
                  <pic:blipFill>
                    <a:blip r:embed="rId12">
                      <a:extLst>
                        <a:ext uri="{28A0092B-C50C-407E-A947-70E740481C1C}">
                          <a14:useLocalDpi xmlns:a14="http://schemas.microsoft.com/office/drawing/2010/main" val="0"/>
                        </a:ext>
                      </a:extLst>
                    </a:blip>
                    <a:stretch>
                      <a:fillRect/>
                    </a:stretch>
                  </pic:blipFill>
                  <pic:spPr>
                    <a:xfrm>
                      <a:off x="0" y="0"/>
                      <a:ext cx="4925446" cy="5486400"/>
                    </a:xfrm>
                    <a:prstGeom prst="rect">
                      <a:avLst/>
                    </a:prstGeom>
                  </pic:spPr>
                </pic:pic>
              </a:graphicData>
            </a:graphic>
          </wp:inline>
        </w:drawing>
      </w:r>
    </w:p>
    <w:p w14:paraId="4A63E337" w14:textId="0BB9FE2A" w:rsidR="00B54FB7" w:rsidRDefault="007C547C" w:rsidP="00593B5C">
      <w:pPr>
        <w:spacing w:line="480" w:lineRule="auto"/>
        <w:rPr>
          <w:rFonts w:ascii="Times New Roman" w:hAnsi="Times New Roman" w:cs="Times New Roman"/>
          <w:sz w:val="22"/>
          <w:szCs w:val="22"/>
        </w:rPr>
      </w:pPr>
      <w:r>
        <w:rPr>
          <w:rFonts w:ascii="Times New Roman" w:hAnsi="Times New Roman" w:cs="Times New Roman"/>
          <w:sz w:val="22"/>
          <w:szCs w:val="22"/>
        </w:rPr>
        <w:t>Figure S5</w:t>
      </w:r>
      <w:r w:rsidR="00B54FB7" w:rsidRPr="00B54FB7">
        <w:rPr>
          <w:rFonts w:ascii="Times New Roman" w:hAnsi="Times New Roman" w:cs="Times New Roman"/>
          <w:sz w:val="22"/>
          <w:szCs w:val="22"/>
        </w:rPr>
        <w:t>. (a) Tempera</w:t>
      </w:r>
      <w:r w:rsidR="00D6586B">
        <w:rPr>
          <w:rFonts w:ascii="Times New Roman" w:hAnsi="Times New Roman" w:cs="Times New Roman"/>
          <w:sz w:val="22"/>
          <w:szCs w:val="22"/>
        </w:rPr>
        <w:t>ture, (b) DIC, and (c) TA on the upper slope</w:t>
      </w:r>
      <w:r w:rsidR="00B54FB7" w:rsidRPr="00B54FB7">
        <w:rPr>
          <w:rFonts w:ascii="Times New Roman" w:hAnsi="Times New Roman" w:cs="Times New Roman"/>
          <w:sz w:val="22"/>
          <w:szCs w:val="22"/>
        </w:rPr>
        <w:t xml:space="preserve"> of </w:t>
      </w:r>
      <w:r w:rsidR="00D6586B">
        <w:rPr>
          <w:rFonts w:ascii="Times New Roman" w:hAnsi="Times New Roman" w:cs="Times New Roman"/>
          <w:sz w:val="22"/>
          <w:szCs w:val="22"/>
        </w:rPr>
        <w:t xml:space="preserve">the </w:t>
      </w:r>
      <w:r w:rsidR="00B54FB7" w:rsidRPr="00B54FB7">
        <w:rPr>
          <w:rFonts w:ascii="Times New Roman" w:hAnsi="Times New Roman" w:cs="Times New Roman"/>
          <w:sz w:val="22"/>
          <w:szCs w:val="22"/>
        </w:rPr>
        <w:t>Pourtales</w:t>
      </w:r>
      <w:r w:rsidR="00851F3B">
        <w:rPr>
          <w:rFonts w:ascii="Times New Roman" w:hAnsi="Times New Roman" w:cs="Times New Roman"/>
          <w:sz w:val="22"/>
          <w:szCs w:val="22"/>
        </w:rPr>
        <w:t xml:space="preserve"> Terrace under Control (blue), Low M</w:t>
      </w:r>
      <w:r w:rsidR="00B54FB7" w:rsidRPr="00B54FB7">
        <w:rPr>
          <w:rFonts w:ascii="Times New Roman" w:hAnsi="Times New Roman" w:cs="Times New Roman"/>
          <w:sz w:val="22"/>
          <w:szCs w:val="22"/>
        </w:rPr>
        <w:t>ixing (green),</w:t>
      </w:r>
      <w:r w:rsidR="00D6586B">
        <w:rPr>
          <w:rFonts w:ascii="Times New Roman" w:hAnsi="Times New Roman" w:cs="Times New Roman"/>
          <w:sz w:val="22"/>
          <w:szCs w:val="22"/>
        </w:rPr>
        <w:t xml:space="preserve"> and </w:t>
      </w:r>
      <w:r w:rsidR="00851F3B">
        <w:rPr>
          <w:rFonts w:ascii="Times New Roman" w:hAnsi="Times New Roman" w:cs="Times New Roman"/>
          <w:sz w:val="22"/>
          <w:szCs w:val="22"/>
        </w:rPr>
        <w:t xml:space="preserve">Obc </w:t>
      </w:r>
      <w:r w:rsidR="00D6586B">
        <w:rPr>
          <w:rFonts w:ascii="Times New Roman" w:hAnsi="Times New Roman" w:cs="Times New Roman"/>
          <w:sz w:val="22"/>
          <w:szCs w:val="22"/>
        </w:rPr>
        <w:t>(magenta</w:t>
      </w:r>
      <w:r w:rsidR="00B54FB7" w:rsidRPr="00B54FB7">
        <w:rPr>
          <w:rFonts w:ascii="Times New Roman" w:hAnsi="Times New Roman" w:cs="Times New Roman"/>
          <w:sz w:val="22"/>
          <w:szCs w:val="22"/>
        </w:rPr>
        <w:t xml:space="preserve">) scenarios. </w:t>
      </w:r>
    </w:p>
    <w:p w14:paraId="35A65A09" w14:textId="77777777" w:rsidR="00B54FB7" w:rsidRDefault="00B54FB7" w:rsidP="00593B5C">
      <w:pPr>
        <w:spacing w:line="480" w:lineRule="auto"/>
        <w:rPr>
          <w:rFonts w:ascii="Times New Roman" w:hAnsi="Times New Roman" w:cs="Times New Roman"/>
          <w:sz w:val="22"/>
          <w:szCs w:val="22"/>
        </w:rPr>
      </w:pPr>
    </w:p>
    <w:p w14:paraId="49D8DFB7" w14:textId="200B3E28" w:rsidR="00B54FB7" w:rsidRDefault="00B54FB7">
      <w:pPr>
        <w:rPr>
          <w:rFonts w:ascii="Times New Roman" w:hAnsi="Times New Roman" w:cs="Times New Roman"/>
          <w:sz w:val="22"/>
          <w:szCs w:val="22"/>
        </w:rPr>
      </w:pPr>
      <w:r>
        <w:rPr>
          <w:rFonts w:ascii="Times New Roman" w:hAnsi="Times New Roman" w:cs="Times New Roman"/>
          <w:sz w:val="22"/>
          <w:szCs w:val="22"/>
        </w:rPr>
        <w:br w:type="page"/>
      </w:r>
    </w:p>
    <w:p w14:paraId="6833BFC0" w14:textId="77777777" w:rsidR="00B54FB7" w:rsidRDefault="00B54FB7" w:rsidP="00B54FB7">
      <w:pPr>
        <w:spacing w:line="480" w:lineRule="auto"/>
        <w:jc w:val="center"/>
        <w:rPr>
          <w:rFonts w:ascii="Times New Roman" w:hAnsi="Times New Roman" w:cs="Times New Roman"/>
        </w:rPr>
      </w:pPr>
    </w:p>
    <w:p w14:paraId="24500789" w14:textId="77777777" w:rsidR="00B54FB7" w:rsidRDefault="00B54FB7" w:rsidP="00B54FB7">
      <w:pPr>
        <w:spacing w:line="480" w:lineRule="auto"/>
        <w:jc w:val="center"/>
        <w:rPr>
          <w:rFonts w:ascii="Times New Roman" w:hAnsi="Times New Roman" w:cs="Times New Roman"/>
        </w:rPr>
      </w:pPr>
    </w:p>
    <w:p w14:paraId="2D3DE3FE" w14:textId="77777777" w:rsidR="00B54FB7" w:rsidRDefault="00B54FB7" w:rsidP="00B54FB7">
      <w:pPr>
        <w:spacing w:line="480" w:lineRule="auto"/>
        <w:jc w:val="center"/>
        <w:rPr>
          <w:rFonts w:ascii="Times New Roman" w:hAnsi="Times New Roman" w:cs="Times New Roman"/>
        </w:rPr>
      </w:pPr>
    </w:p>
    <w:p w14:paraId="7305068C" w14:textId="38A2C72C" w:rsidR="00B54FB7" w:rsidRDefault="00541460" w:rsidP="00B54FB7">
      <w:pPr>
        <w:spacing w:line="480" w:lineRule="auto"/>
        <w:jc w:val="center"/>
        <w:rPr>
          <w:rFonts w:ascii="Times New Roman" w:hAnsi="Times New Roman" w:cs="Times New Roman"/>
        </w:rPr>
      </w:pPr>
      <w:r>
        <w:rPr>
          <w:rFonts w:ascii="Times New Roman" w:hAnsi="Times New Roman" w:cs="Times New Roman"/>
          <w:noProof/>
          <w:lang w:eastAsia="en-US"/>
        </w:rPr>
        <w:drawing>
          <wp:inline distT="0" distB="0" distL="0" distR="0" wp14:anchorId="57BFBB53" wp14:editId="2A4435F7">
            <wp:extent cx="4924502" cy="5486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bot_sens_MT417m.jpg"/>
                    <pic:cNvPicPr/>
                  </pic:nvPicPr>
                  <pic:blipFill>
                    <a:blip r:embed="rId13">
                      <a:extLst>
                        <a:ext uri="{28A0092B-C50C-407E-A947-70E740481C1C}">
                          <a14:useLocalDpi xmlns:a14="http://schemas.microsoft.com/office/drawing/2010/main" val="0"/>
                        </a:ext>
                      </a:extLst>
                    </a:blip>
                    <a:stretch>
                      <a:fillRect/>
                    </a:stretch>
                  </pic:blipFill>
                  <pic:spPr>
                    <a:xfrm>
                      <a:off x="0" y="0"/>
                      <a:ext cx="4924502" cy="5486400"/>
                    </a:xfrm>
                    <a:prstGeom prst="rect">
                      <a:avLst/>
                    </a:prstGeom>
                  </pic:spPr>
                </pic:pic>
              </a:graphicData>
            </a:graphic>
          </wp:inline>
        </w:drawing>
      </w:r>
    </w:p>
    <w:p w14:paraId="22D90BFE" w14:textId="3CA53D85" w:rsidR="00B54FB7" w:rsidRPr="00B54FB7" w:rsidRDefault="007C547C" w:rsidP="00B54FB7">
      <w:pPr>
        <w:spacing w:line="480" w:lineRule="auto"/>
        <w:rPr>
          <w:rFonts w:ascii="Times New Roman" w:hAnsi="Times New Roman" w:cs="Times New Roman"/>
          <w:sz w:val="22"/>
          <w:szCs w:val="22"/>
        </w:rPr>
      </w:pPr>
      <w:r>
        <w:rPr>
          <w:rFonts w:ascii="Times New Roman" w:hAnsi="Times New Roman" w:cs="Times New Roman"/>
          <w:sz w:val="22"/>
          <w:szCs w:val="22"/>
        </w:rPr>
        <w:t>Figure S6</w:t>
      </w:r>
      <w:r w:rsidR="00B54FB7" w:rsidRPr="00B54FB7">
        <w:rPr>
          <w:rFonts w:ascii="Times New Roman" w:hAnsi="Times New Roman" w:cs="Times New Roman"/>
          <w:sz w:val="22"/>
          <w:szCs w:val="22"/>
        </w:rPr>
        <w:t xml:space="preserve">. (a) Temperature, (b) DIC, and (c) TA on </w:t>
      </w:r>
      <w:r w:rsidR="00B54FB7">
        <w:rPr>
          <w:rFonts w:ascii="Times New Roman" w:hAnsi="Times New Roman" w:cs="Times New Roman"/>
          <w:sz w:val="22"/>
          <w:szCs w:val="22"/>
        </w:rPr>
        <w:t xml:space="preserve">the slope of Miami </w:t>
      </w:r>
      <w:r w:rsidR="00851F3B">
        <w:rPr>
          <w:rFonts w:ascii="Times New Roman" w:hAnsi="Times New Roman" w:cs="Times New Roman"/>
          <w:sz w:val="22"/>
          <w:szCs w:val="22"/>
        </w:rPr>
        <w:t>Terrace under Control (blue), Low M</w:t>
      </w:r>
      <w:r w:rsidR="00B54FB7" w:rsidRPr="00B54FB7">
        <w:rPr>
          <w:rFonts w:ascii="Times New Roman" w:hAnsi="Times New Roman" w:cs="Times New Roman"/>
          <w:sz w:val="22"/>
          <w:szCs w:val="22"/>
        </w:rPr>
        <w:t>ixing (green),</w:t>
      </w:r>
      <w:r w:rsidR="00D6586B">
        <w:rPr>
          <w:rFonts w:ascii="Times New Roman" w:hAnsi="Times New Roman" w:cs="Times New Roman"/>
          <w:sz w:val="22"/>
          <w:szCs w:val="22"/>
        </w:rPr>
        <w:t xml:space="preserve"> and </w:t>
      </w:r>
      <w:r w:rsidR="00851F3B">
        <w:rPr>
          <w:rFonts w:ascii="Times New Roman" w:hAnsi="Times New Roman" w:cs="Times New Roman"/>
          <w:sz w:val="22"/>
          <w:szCs w:val="22"/>
        </w:rPr>
        <w:t xml:space="preserve">Obc </w:t>
      </w:r>
      <w:r w:rsidR="00D6586B">
        <w:rPr>
          <w:rFonts w:ascii="Times New Roman" w:hAnsi="Times New Roman" w:cs="Times New Roman"/>
          <w:sz w:val="22"/>
          <w:szCs w:val="22"/>
        </w:rPr>
        <w:t>(magenta</w:t>
      </w:r>
      <w:r w:rsidR="00B54FB7" w:rsidRPr="00B54FB7">
        <w:rPr>
          <w:rFonts w:ascii="Times New Roman" w:hAnsi="Times New Roman" w:cs="Times New Roman"/>
          <w:sz w:val="22"/>
          <w:szCs w:val="22"/>
        </w:rPr>
        <w:t xml:space="preserve">) scenarios. </w:t>
      </w:r>
    </w:p>
    <w:p w14:paraId="6A5C53BA" w14:textId="77777777" w:rsidR="00B54FB7" w:rsidRPr="00B54FB7" w:rsidRDefault="00B54FB7" w:rsidP="00593B5C">
      <w:pPr>
        <w:spacing w:line="480" w:lineRule="auto"/>
        <w:rPr>
          <w:rFonts w:ascii="Times New Roman" w:hAnsi="Times New Roman" w:cs="Times New Roman"/>
          <w:sz w:val="22"/>
          <w:szCs w:val="22"/>
        </w:rPr>
      </w:pPr>
    </w:p>
    <w:sectPr w:rsidR="00B54FB7" w:rsidRPr="00B54FB7" w:rsidSect="005543A6">
      <w:footerReference w:type="even" r:id="rId14"/>
      <w:footerReference w:type="default" r:id="rId15"/>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B165A" w14:textId="77777777" w:rsidR="00011C26" w:rsidRDefault="00011C26" w:rsidP="00D62D84">
      <w:r>
        <w:separator/>
      </w:r>
    </w:p>
  </w:endnote>
  <w:endnote w:type="continuationSeparator" w:id="0">
    <w:p w14:paraId="3ECA51FB" w14:textId="77777777" w:rsidR="00011C26" w:rsidRDefault="00011C26" w:rsidP="00D6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36B74" w14:textId="77777777" w:rsidR="00011C26" w:rsidRDefault="00011C26" w:rsidP="00E77E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583C6F" w14:textId="77777777" w:rsidR="00011C26" w:rsidRDefault="00011C26" w:rsidP="00D62D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03ED" w14:textId="77777777" w:rsidR="00011C26" w:rsidRDefault="00011C26" w:rsidP="00E77E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5CF3">
      <w:rPr>
        <w:rStyle w:val="PageNumber"/>
        <w:noProof/>
      </w:rPr>
      <w:t>1</w:t>
    </w:r>
    <w:r>
      <w:rPr>
        <w:rStyle w:val="PageNumber"/>
      </w:rPr>
      <w:fldChar w:fldCharType="end"/>
    </w:r>
  </w:p>
  <w:p w14:paraId="34220A5B" w14:textId="77777777" w:rsidR="00011C26" w:rsidRDefault="00011C26" w:rsidP="00D62D8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1B0BB" w14:textId="77777777" w:rsidR="00011C26" w:rsidRDefault="00011C26" w:rsidP="00D62D84">
      <w:r>
        <w:separator/>
      </w:r>
    </w:p>
  </w:footnote>
  <w:footnote w:type="continuationSeparator" w:id="0">
    <w:p w14:paraId="59218AB9" w14:textId="77777777" w:rsidR="00011C26" w:rsidRDefault="00011C26" w:rsidP="00D62D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C38"/>
    <w:rsid w:val="000107EF"/>
    <w:rsid w:val="00011C26"/>
    <w:rsid w:val="0003787A"/>
    <w:rsid w:val="00040559"/>
    <w:rsid w:val="0006524C"/>
    <w:rsid w:val="000702CE"/>
    <w:rsid w:val="000B3358"/>
    <w:rsid w:val="000D664E"/>
    <w:rsid w:val="00114AD6"/>
    <w:rsid w:val="002635A9"/>
    <w:rsid w:val="002803A9"/>
    <w:rsid w:val="00292310"/>
    <w:rsid w:val="0029511A"/>
    <w:rsid w:val="002A39A4"/>
    <w:rsid w:val="002D7D15"/>
    <w:rsid w:val="003020EB"/>
    <w:rsid w:val="00320A1A"/>
    <w:rsid w:val="0039723B"/>
    <w:rsid w:val="003C0102"/>
    <w:rsid w:val="003E7E7C"/>
    <w:rsid w:val="004167A2"/>
    <w:rsid w:val="0045660A"/>
    <w:rsid w:val="0046419F"/>
    <w:rsid w:val="00464B6E"/>
    <w:rsid w:val="00470F7E"/>
    <w:rsid w:val="00471C38"/>
    <w:rsid w:val="004C7872"/>
    <w:rsid w:val="004D13BB"/>
    <w:rsid w:val="004E75FA"/>
    <w:rsid w:val="0052238B"/>
    <w:rsid w:val="00533075"/>
    <w:rsid w:val="00541460"/>
    <w:rsid w:val="0054218A"/>
    <w:rsid w:val="00543890"/>
    <w:rsid w:val="005543A6"/>
    <w:rsid w:val="005667C9"/>
    <w:rsid w:val="0058435A"/>
    <w:rsid w:val="00593B5C"/>
    <w:rsid w:val="005E578C"/>
    <w:rsid w:val="0063136E"/>
    <w:rsid w:val="006410F2"/>
    <w:rsid w:val="00641C63"/>
    <w:rsid w:val="006A105F"/>
    <w:rsid w:val="006D1A93"/>
    <w:rsid w:val="00703274"/>
    <w:rsid w:val="007218D5"/>
    <w:rsid w:val="00727328"/>
    <w:rsid w:val="00787894"/>
    <w:rsid w:val="007C547C"/>
    <w:rsid w:val="00807606"/>
    <w:rsid w:val="008105EC"/>
    <w:rsid w:val="00833FD0"/>
    <w:rsid w:val="00851F3B"/>
    <w:rsid w:val="00893D54"/>
    <w:rsid w:val="008C2F67"/>
    <w:rsid w:val="008F192D"/>
    <w:rsid w:val="00925CF3"/>
    <w:rsid w:val="009B6EE9"/>
    <w:rsid w:val="009F541E"/>
    <w:rsid w:val="00A054F8"/>
    <w:rsid w:val="00A505FF"/>
    <w:rsid w:val="00A50CBF"/>
    <w:rsid w:val="00A65CBC"/>
    <w:rsid w:val="00B54FB7"/>
    <w:rsid w:val="00C03B69"/>
    <w:rsid w:val="00C3734F"/>
    <w:rsid w:val="00C52F72"/>
    <w:rsid w:val="00C872F8"/>
    <w:rsid w:val="00CB2252"/>
    <w:rsid w:val="00D25E14"/>
    <w:rsid w:val="00D62D84"/>
    <w:rsid w:val="00D63DFD"/>
    <w:rsid w:val="00D6586B"/>
    <w:rsid w:val="00D955C8"/>
    <w:rsid w:val="00D96907"/>
    <w:rsid w:val="00D96F7C"/>
    <w:rsid w:val="00DC538E"/>
    <w:rsid w:val="00DE7ABF"/>
    <w:rsid w:val="00E203C8"/>
    <w:rsid w:val="00E77E78"/>
    <w:rsid w:val="00EB1FC6"/>
    <w:rsid w:val="00F03923"/>
    <w:rsid w:val="00F15F80"/>
    <w:rsid w:val="00F76433"/>
    <w:rsid w:val="00FE21C9"/>
    <w:rsid w:val="00FF1D5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66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3C8"/>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03C8"/>
    <w:rPr>
      <w:rFonts w:ascii="Lucida Grande" w:hAnsi="Lucida Grande" w:cs="Lucida Grande"/>
      <w:sz w:val="18"/>
      <w:szCs w:val="18"/>
      <w:lang w:eastAsia="ja-JP"/>
    </w:rPr>
  </w:style>
  <w:style w:type="paragraph" w:styleId="Footer">
    <w:name w:val="footer"/>
    <w:basedOn w:val="Normal"/>
    <w:link w:val="FooterChar"/>
    <w:uiPriority w:val="99"/>
    <w:unhideWhenUsed/>
    <w:rsid w:val="00D62D84"/>
    <w:pPr>
      <w:tabs>
        <w:tab w:val="center" w:pos="4320"/>
        <w:tab w:val="right" w:pos="8640"/>
      </w:tabs>
    </w:pPr>
  </w:style>
  <w:style w:type="character" w:customStyle="1" w:styleId="FooterChar">
    <w:name w:val="Footer Char"/>
    <w:basedOn w:val="DefaultParagraphFont"/>
    <w:link w:val="Footer"/>
    <w:uiPriority w:val="99"/>
    <w:rsid w:val="00D62D84"/>
    <w:rPr>
      <w:lang w:eastAsia="ja-JP"/>
    </w:rPr>
  </w:style>
  <w:style w:type="character" w:styleId="PageNumber">
    <w:name w:val="page number"/>
    <w:basedOn w:val="DefaultParagraphFont"/>
    <w:uiPriority w:val="99"/>
    <w:semiHidden/>
    <w:unhideWhenUsed/>
    <w:rsid w:val="00D62D84"/>
  </w:style>
  <w:style w:type="character" w:styleId="Hyperlink">
    <w:name w:val="Hyperlink"/>
    <w:basedOn w:val="DefaultParagraphFont"/>
    <w:unhideWhenUsed/>
    <w:rsid w:val="00E77E78"/>
    <w:rPr>
      <w:color w:val="0000FF" w:themeColor="hyperlink"/>
      <w:u w:val="single"/>
    </w:rPr>
  </w:style>
  <w:style w:type="character" w:styleId="CommentReference">
    <w:name w:val="annotation reference"/>
    <w:basedOn w:val="DefaultParagraphFont"/>
    <w:uiPriority w:val="99"/>
    <w:semiHidden/>
    <w:unhideWhenUsed/>
    <w:rsid w:val="00464B6E"/>
    <w:rPr>
      <w:sz w:val="18"/>
      <w:szCs w:val="18"/>
    </w:rPr>
  </w:style>
  <w:style w:type="paragraph" w:styleId="CommentText">
    <w:name w:val="annotation text"/>
    <w:basedOn w:val="Normal"/>
    <w:link w:val="CommentTextChar"/>
    <w:uiPriority w:val="99"/>
    <w:semiHidden/>
    <w:unhideWhenUsed/>
    <w:rsid w:val="00464B6E"/>
  </w:style>
  <w:style w:type="character" w:customStyle="1" w:styleId="CommentTextChar">
    <w:name w:val="Comment Text Char"/>
    <w:basedOn w:val="DefaultParagraphFont"/>
    <w:link w:val="CommentText"/>
    <w:uiPriority w:val="99"/>
    <w:semiHidden/>
    <w:rsid w:val="00464B6E"/>
    <w:rPr>
      <w:lang w:eastAsia="ja-JP"/>
    </w:rPr>
  </w:style>
  <w:style w:type="paragraph" w:styleId="CommentSubject">
    <w:name w:val="annotation subject"/>
    <w:basedOn w:val="CommentText"/>
    <w:next w:val="CommentText"/>
    <w:link w:val="CommentSubjectChar"/>
    <w:uiPriority w:val="99"/>
    <w:semiHidden/>
    <w:unhideWhenUsed/>
    <w:rsid w:val="00464B6E"/>
    <w:rPr>
      <w:b/>
      <w:bCs/>
      <w:sz w:val="20"/>
      <w:szCs w:val="20"/>
    </w:rPr>
  </w:style>
  <w:style w:type="character" w:customStyle="1" w:styleId="CommentSubjectChar">
    <w:name w:val="Comment Subject Char"/>
    <w:basedOn w:val="CommentTextChar"/>
    <w:link w:val="CommentSubject"/>
    <w:uiPriority w:val="99"/>
    <w:semiHidden/>
    <w:rsid w:val="00464B6E"/>
    <w:rPr>
      <w:b/>
      <w:bCs/>
      <w:sz w:val="20"/>
      <w:szCs w:val="20"/>
      <w:lang w:eastAsia="ja-JP"/>
    </w:rPr>
  </w:style>
  <w:style w:type="table" w:styleId="TableGrid">
    <w:name w:val="Table Grid"/>
    <w:basedOn w:val="TableNormal"/>
    <w:uiPriority w:val="59"/>
    <w:rsid w:val="0001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543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3C8"/>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03C8"/>
    <w:rPr>
      <w:rFonts w:ascii="Lucida Grande" w:hAnsi="Lucida Grande" w:cs="Lucida Grande"/>
      <w:sz w:val="18"/>
      <w:szCs w:val="18"/>
      <w:lang w:eastAsia="ja-JP"/>
    </w:rPr>
  </w:style>
  <w:style w:type="paragraph" w:styleId="Footer">
    <w:name w:val="footer"/>
    <w:basedOn w:val="Normal"/>
    <w:link w:val="FooterChar"/>
    <w:uiPriority w:val="99"/>
    <w:unhideWhenUsed/>
    <w:rsid w:val="00D62D84"/>
    <w:pPr>
      <w:tabs>
        <w:tab w:val="center" w:pos="4320"/>
        <w:tab w:val="right" w:pos="8640"/>
      </w:tabs>
    </w:pPr>
  </w:style>
  <w:style w:type="character" w:customStyle="1" w:styleId="FooterChar">
    <w:name w:val="Footer Char"/>
    <w:basedOn w:val="DefaultParagraphFont"/>
    <w:link w:val="Footer"/>
    <w:uiPriority w:val="99"/>
    <w:rsid w:val="00D62D84"/>
    <w:rPr>
      <w:lang w:eastAsia="ja-JP"/>
    </w:rPr>
  </w:style>
  <w:style w:type="character" w:styleId="PageNumber">
    <w:name w:val="page number"/>
    <w:basedOn w:val="DefaultParagraphFont"/>
    <w:uiPriority w:val="99"/>
    <w:semiHidden/>
    <w:unhideWhenUsed/>
    <w:rsid w:val="00D62D84"/>
  </w:style>
  <w:style w:type="character" w:styleId="Hyperlink">
    <w:name w:val="Hyperlink"/>
    <w:basedOn w:val="DefaultParagraphFont"/>
    <w:unhideWhenUsed/>
    <w:rsid w:val="00E77E78"/>
    <w:rPr>
      <w:color w:val="0000FF" w:themeColor="hyperlink"/>
      <w:u w:val="single"/>
    </w:rPr>
  </w:style>
  <w:style w:type="character" w:styleId="CommentReference">
    <w:name w:val="annotation reference"/>
    <w:basedOn w:val="DefaultParagraphFont"/>
    <w:uiPriority w:val="99"/>
    <w:semiHidden/>
    <w:unhideWhenUsed/>
    <w:rsid w:val="00464B6E"/>
    <w:rPr>
      <w:sz w:val="18"/>
      <w:szCs w:val="18"/>
    </w:rPr>
  </w:style>
  <w:style w:type="paragraph" w:styleId="CommentText">
    <w:name w:val="annotation text"/>
    <w:basedOn w:val="Normal"/>
    <w:link w:val="CommentTextChar"/>
    <w:uiPriority w:val="99"/>
    <w:semiHidden/>
    <w:unhideWhenUsed/>
    <w:rsid w:val="00464B6E"/>
  </w:style>
  <w:style w:type="character" w:customStyle="1" w:styleId="CommentTextChar">
    <w:name w:val="Comment Text Char"/>
    <w:basedOn w:val="DefaultParagraphFont"/>
    <w:link w:val="CommentText"/>
    <w:uiPriority w:val="99"/>
    <w:semiHidden/>
    <w:rsid w:val="00464B6E"/>
    <w:rPr>
      <w:lang w:eastAsia="ja-JP"/>
    </w:rPr>
  </w:style>
  <w:style w:type="paragraph" w:styleId="CommentSubject">
    <w:name w:val="annotation subject"/>
    <w:basedOn w:val="CommentText"/>
    <w:next w:val="CommentText"/>
    <w:link w:val="CommentSubjectChar"/>
    <w:uiPriority w:val="99"/>
    <w:semiHidden/>
    <w:unhideWhenUsed/>
    <w:rsid w:val="00464B6E"/>
    <w:rPr>
      <w:b/>
      <w:bCs/>
      <w:sz w:val="20"/>
      <w:szCs w:val="20"/>
    </w:rPr>
  </w:style>
  <w:style w:type="character" w:customStyle="1" w:styleId="CommentSubjectChar">
    <w:name w:val="Comment Subject Char"/>
    <w:basedOn w:val="CommentTextChar"/>
    <w:link w:val="CommentSubject"/>
    <w:uiPriority w:val="99"/>
    <w:semiHidden/>
    <w:rsid w:val="00464B6E"/>
    <w:rPr>
      <w:b/>
      <w:bCs/>
      <w:sz w:val="20"/>
      <w:szCs w:val="20"/>
      <w:lang w:eastAsia="ja-JP"/>
    </w:rPr>
  </w:style>
  <w:style w:type="table" w:styleId="TableGrid">
    <w:name w:val="Table Grid"/>
    <w:basedOn w:val="TableNormal"/>
    <w:uiPriority w:val="59"/>
    <w:rsid w:val="00011C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54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nodc.noaa.gov/oads/data/0157080.xml"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1264</Words>
  <Characters>7205</Characters>
  <Application>Microsoft Macintosh Word</Application>
  <DocSecurity>0</DocSecurity>
  <Lines>60</Lines>
  <Paragraphs>16</Paragraphs>
  <ScaleCrop>false</ScaleCrop>
  <Company>UMass Boston</Company>
  <LinksUpToDate>false</LinksUpToDate>
  <CharactersWithSpaces>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Mingshun Jiang</dc:creator>
  <cp:keywords/>
  <dc:description/>
  <cp:lastModifiedBy>Mingshun Jiang</cp:lastModifiedBy>
  <cp:revision>3</cp:revision>
  <cp:lastPrinted>2019-10-22T15:38:00Z</cp:lastPrinted>
  <dcterms:created xsi:type="dcterms:W3CDTF">2020-01-07T19:35:00Z</dcterms:created>
  <dcterms:modified xsi:type="dcterms:W3CDTF">2020-01-07T19:38:00Z</dcterms:modified>
</cp:coreProperties>
</file>