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1285" w14:textId="77777777" w:rsidR="0064011A" w:rsidRDefault="0064011A" w:rsidP="0064011A">
      <w:pPr>
        <w:pStyle w:val="Heading1"/>
      </w:pPr>
      <w:r>
        <w:t>Appendix A: Supplementary Figures</w:t>
      </w:r>
    </w:p>
    <w:p w14:paraId="00983D68" w14:textId="77777777" w:rsidR="0064011A" w:rsidRDefault="0064011A" w:rsidP="0064011A">
      <w:pPr>
        <w:rPr>
          <w:rFonts w:ascii="Times New Roman" w:hAnsi="Times New Roman" w:cs="Times New Roman"/>
        </w:rPr>
      </w:pPr>
      <w:r>
        <w:rPr>
          <w:rFonts w:ascii="Times New Roman" w:hAnsi="Times New Roman" w:cs="Times New Roman"/>
          <w:noProof/>
        </w:rPr>
        <w:drawing>
          <wp:inline distT="0" distB="0" distL="0" distR="0" wp14:anchorId="729E0425" wp14:editId="3311F60E">
            <wp:extent cx="5943600" cy="3657600"/>
            <wp:effectExtent l="0" t="0" r="0" b="0"/>
            <wp:docPr id="1397213742" name="Picture 7"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13742" name="Picture 7" descr="A graph of a graph of a graph&#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6B785E06" w14:textId="77777777" w:rsidR="0064011A" w:rsidRDefault="0064011A" w:rsidP="0064011A">
      <w:pPr>
        <w:spacing w:line="480" w:lineRule="auto"/>
        <w:rPr>
          <w:rFonts w:ascii="Times New Roman" w:eastAsiaTheme="minorEastAsia" w:hAnsi="Times New Roman" w:cs="Times New Roman"/>
        </w:rPr>
      </w:pPr>
      <w:r>
        <w:rPr>
          <w:rFonts w:ascii="Times New Roman" w:hAnsi="Times New Roman" w:cs="Times New Roman"/>
        </w:rPr>
        <w:t xml:space="preserve">Figure A1. Retrospective patterns from 3-year “peels” of spawning stock biomass (SSB) for sablefish across model variants. Corresponding Mohn’s </w:t>
      </w:r>
      <m:oMath>
        <m:r>
          <w:rPr>
            <w:rFonts w:ascii="Cambria Math" w:hAnsi="Cambria Math" w:cs="Times New Roman"/>
          </w:rPr>
          <m:t>ρ</m:t>
        </m:r>
      </m:oMath>
      <w:r>
        <w:rPr>
          <w:rFonts w:ascii="Times New Roman" w:eastAsiaTheme="minorEastAsia" w:hAnsi="Times New Roman" w:cs="Times New Roman"/>
        </w:rPr>
        <w:t xml:space="preserve"> values from retrospective analysis are shown in each panel. Different colors represent estimates for individual “peels” and the estimates from the terminal year assessment (2021) are displayed in green. </w:t>
      </w:r>
    </w:p>
    <w:p w14:paraId="03BC0292" w14:textId="77777777" w:rsidR="0064011A" w:rsidRPr="00385891" w:rsidRDefault="0064011A" w:rsidP="0064011A"/>
    <w:p w14:paraId="5EBB59C1" w14:textId="77777777" w:rsidR="0064011A" w:rsidRPr="00FC0AF1" w:rsidRDefault="0064011A" w:rsidP="0064011A">
      <w:r>
        <w:rPr>
          <w:noProof/>
        </w:rPr>
        <w:lastRenderedPageBreak/>
        <w:drawing>
          <wp:inline distT="0" distB="0" distL="0" distR="0" wp14:anchorId="53193F3E" wp14:editId="0A9C044B">
            <wp:extent cx="5943600" cy="3657600"/>
            <wp:effectExtent l="0" t="0" r="0" b="0"/>
            <wp:docPr id="1344424261" name="Picture 1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4261" name="Picture 11" descr="A graph of a graph of a graph&#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546F1C3A" w14:textId="77777777" w:rsidR="0064011A" w:rsidRDefault="0064011A" w:rsidP="0064011A">
      <w:pPr>
        <w:spacing w:line="480" w:lineRule="auto"/>
        <w:rPr>
          <w:rFonts w:ascii="Times New Roman" w:eastAsiaTheme="minorEastAsia" w:hAnsi="Times New Roman" w:cs="Times New Roman"/>
        </w:rPr>
      </w:pPr>
      <w:r>
        <w:rPr>
          <w:rFonts w:ascii="Times New Roman" w:hAnsi="Times New Roman" w:cs="Times New Roman"/>
        </w:rPr>
        <w:t xml:space="preserve">Figure A2. Retrospective patterns from 3-year “peels” of </w:t>
      </w:r>
      <w:proofErr w:type="gramStart"/>
      <w:r>
        <w:rPr>
          <w:rFonts w:ascii="Times New Roman" w:hAnsi="Times New Roman" w:cs="Times New Roman"/>
        </w:rPr>
        <w:t>fully-selected</w:t>
      </w:r>
      <w:proofErr w:type="gramEnd"/>
      <w:r>
        <w:rPr>
          <w:rFonts w:ascii="Times New Roman" w:hAnsi="Times New Roman" w:cs="Times New Roman"/>
        </w:rPr>
        <w:t xml:space="preserve"> fishing mortality rates for sablefish across model variants. Corresponding Mohn’s </w:t>
      </w:r>
      <m:oMath>
        <m:r>
          <w:rPr>
            <w:rFonts w:ascii="Cambria Math" w:hAnsi="Cambria Math" w:cs="Times New Roman"/>
          </w:rPr>
          <m:t>ρ</m:t>
        </m:r>
      </m:oMath>
      <w:r>
        <w:rPr>
          <w:rFonts w:ascii="Times New Roman" w:eastAsiaTheme="minorEastAsia" w:hAnsi="Times New Roman" w:cs="Times New Roman"/>
        </w:rPr>
        <w:t xml:space="preserve"> values from retrospective analysis are shown in each panel. Different colors represent estimates for individual “peels” and the estimates from the terminal year assessment (2021) are displayed in green. </w:t>
      </w:r>
    </w:p>
    <w:p w14:paraId="459AB21D" w14:textId="77777777" w:rsidR="0064011A" w:rsidRDefault="0064011A" w:rsidP="0064011A">
      <w:pPr>
        <w:spacing w:line="480" w:lineRule="auto"/>
        <w:rPr>
          <w:rFonts w:ascii="Times New Roman" w:eastAsiaTheme="minorEastAsia" w:hAnsi="Times New Roman" w:cs="Times New Roman"/>
        </w:rPr>
      </w:pPr>
    </w:p>
    <w:p w14:paraId="5AAFE298" w14:textId="77777777" w:rsidR="0064011A" w:rsidRDefault="0064011A" w:rsidP="0064011A">
      <w:pPr>
        <w:spacing w:line="480" w:lineRule="auto"/>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1E5D71C3" wp14:editId="01E20861">
            <wp:extent cx="5943600" cy="4572000"/>
            <wp:effectExtent l="0" t="0" r="0" b="0"/>
            <wp:docPr id="1471937563" name="Picture 1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37563" name="Picture 12" descr="A graph of different colored lin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2894B5D1" w14:textId="77777777" w:rsidR="0064011A" w:rsidRDefault="0064011A" w:rsidP="0064011A">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Figure A3. Likelihood profiles for the NMFS longline survey catchability. Catchability values were profiled across values of 0 – 3 in increments of 0.1. Negative log-likelihood (nLL) values for a given data type were scaled by their minimum value to ensure nLL values minimized at 0. Model variants are displayed in different colors, solid lines represent the likelihood profile, and dashed lines represent the maximum likelihood estimate of survey catchability for a given model. </w:t>
      </w:r>
    </w:p>
    <w:p w14:paraId="6C0FC92C" w14:textId="77777777" w:rsidR="0064011A" w:rsidRDefault="0064011A" w:rsidP="0064011A">
      <w:pPr>
        <w:spacing w:line="480" w:lineRule="auto"/>
        <w:rPr>
          <w:rFonts w:ascii="Times New Roman" w:eastAsiaTheme="minorEastAsia" w:hAnsi="Times New Roman" w:cs="Times New Roman"/>
        </w:rPr>
      </w:pPr>
    </w:p>
    <w:p w14:paraId="34A58A4E" w14:textId="77777777" w:rsidR="0064011A" w:rsidRDefault="0064011A" w:rsidP="0064011A">
      <w:pPr>
        <w:spacing w:line="480" w:lineRule="auto"/>
        <w:rPr>
          <w:rFonts w:ascii="Times New Roman" w:eastAsiaTheme="minorEastAsia" w:hAnsi="Times New Roman" w:cs="Times New Roman"/>
        </w:rPr>
      </w:pPr>
    </w:p>
    <w:p w14:paraId="4DB7ACC6" w14:textId="77777777" w:rsidR="0064011A" w:rsidRDefault="0064011A" w:rsidP="0064011A">
      <w:pPr>
        <w:spacing w:line="480" w:lineRule="auto"/>
        <w:rPr>
          <w:rFonts w:ascii="Times New Roman" w:eastAsiaTheme="minorEastAsia" w:hAnsi="Times New Roman" w:cs="Times New Roman"/>
        </w:rPr>
      </w:pPr>
    </w:p>
    <w:p w14:paraId="1A6C0AFD" w14:textId="77777777" w:rsidR="0064011A" w:rsidRDefault="0064011A" w:rsidP="0064011A">
      <w:pPr>
        <w:spacing w:line="480" w:lineRule="auto"/>
        <w:rPr>
          <w:rFonts w:ascii="Times New Roman" w:eastAsiaTheme="minorEastAsia" w:hAnsi="Times New Roman" w:cs="Times New Roman"/>
        </w:rPr>
      </w:pPr>
    </w:p>
    <w:p w14:paraId="3DEE4455" w14:textId="77777777" w:rsidR="0064011A" w:rsidRDefault="0064011A" w:rsidP="0064011A">
      <w:pPr>
        <w:spacing w:line="480" w:lineRule="auto"/>
        <w:rPr>
          <w:rFonts w:ascii="Times New Roman" w:eastAsiaTheme="minorEastAsia" w:hAnsi="Times New Roman" w:cs="Times New Roman"/>
        </w:rPr>
      </w:pPr>
    </w:p>
    <w:p w14:paraId="78C04219" w14:textId="77777777" w:rsidR="0064011A" w:rsidRDefault="0064011A" w:rsidP="0064011A">
      <w:pPr>
        <w:spacing w:line="480" w:lineRule="auto"/>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5768301A" wp14:editId="530A3E7F">
            <wp:extent cx="5943600" cy="4572000"/>
            <wp:effectExtent l="0" t="0" r="0" b="0"/>
            <wp:docPr id="623870948" name="Picture 13"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0948" name="Picture 13" descr="A graph of different types of line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02B4B564" w14:textId="77777777" w:rsidR="0064011A" w:rsidRPr="00460A66" w:rsidRDefault="0064011A" w:rsidP="0064011A">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Figure A4. Likelihood profiles for the mean recruitment. Recruitment values were profiled across values of 1.5 – 4 in increments of 0.1. Negative log-likelihood (nLL) values for a given data type were scaled by their minimum value to ensure nLL values minimized at 0. Model variants are displayed in different colors, solid lines represent the likelihood profile, and dashed lines represent the maximum likelihood estimate of mean recruitment for a given model. </w:t>
      </w:r>
    </w:p>
    <w:p w14:paraId="699F7DFD" w14:textId="77777777" w:rsidR="0064011A" w:rsidRPr="00460A66" w:rsidRDefault="0064011A" w:rsidP="0064011A">
      <w:pPr>
        <w:spacing w:line="480" w:lineRule="auto"/>
        <w:rPr>
          <w:rFonts w:ascii="Times New Roman" w:eastAsiaTheme="minorEastAsia" w:hAnsi="Times New Roman" w:cs="Times New Roman"/>
        </w:rPr>
      </w:pPr>
    </w:p>
    <w:p w14:paraId="26B149C0" w14:textId="77777777" w:rsidR="0064011A" w:rsidRDefault="0064011A" w:rsidP="0064011A">
      <w:pPr>
        <w:jc w:val="center"/>
      </w:pPr>
      <w:r>
        <w:rPr>
          <w:noProof/>
        </w:rPr>
        <w:lastRenderedPageBreak/>
        <w:drawing>
          <wp:inline distT="0" distB="0" distL="0" distR="0" wp14:anchorId="4B0C71F1" wp14:editId="17D25909">
            <wp:extent cx="3495822" cy="5942530"/>
            <wp:effectExtent l="0" t="0" r="0" b="1270"/>
            <wp:docPr id="1618913872"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3872" name="Picture 14"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2320" cy="5987574"/>
                    </a:xfrm>
                    <a:prstGeom prst="rect">
                      <a:avLst/>
                    </a:prstGeom>
                  </pic:spPr>
                </pic:pic>
              </a:graphicData>
            </a:graphic>
          </wp:inline>
        </w:drawing>
      </w:r>
    </w:p>
    <w:p w14:paraId="7A67185F" w14:textId="77777777" w:rsidR="0064011A" w:rsidRPr="0071004E" w:rsidRDefault="0064011A" w:rsidP="0064011A">
      <w:pPr>
        <w:spacing w:line="480" w:lineRule="auto"/>
        <w:rPr>
          <w:rFonts w:ascii="Times New Roman" w:hAnsi="Times New Roman" w:cs="Times New Roman"/>
        </w:rPr>
      </w:pPr>
      <w:r w:rsidRPr="00DF2D02">
        <w:rPr>
          <w:rFonts w:ascii="Times New Roman" w:hAnsi="Times New Roman" w:cs="Times New Roman"/>
        </w:rPr>
        <w:t xml:space="preserve">Figure </w:t>
      </w:r>
      <w:r>
        <w:rPr>
          <w:rFonts w:ascii="Times New Roman" w:hAnsi="Times New Roman" w:cs="Times New Roman"/>
        </w:rPr>
        <w:t>A5.</w:t>
      </w:r>
      <w:r w:rsidRPr="00DF2D02">
        <w:rPr>
          <w:rFonts w:ascii="Times New Roman" w:hAnsi="Times New Roman" w:cs="Times New Roman"/>
        </w:rPr>
        <w:t xml:space="preserve"> One-step ahead residuals across hook-and-line</w:t>
      </w:r>
      <w:r>
        <w:rPr>
          <w:rFonts w:ascii="Times New Roman" w:hAnsi="Times New Roman" w:cs="Times New Roman"/>
        </w:rPr>
        <w:t xml:space="preserve"> (HAL)</w:t>
      </w:r>
      <w:r w:rsidRPr="00DF2D02">
        <w:rPr>
          <w:rFonts w:ascii="Times New Roman" w:hAnsi="Times New Roman" w:cs="Times New Roman"/>
        </w:rPr>
        <w:t xml:space="preserve"> and pot age</w:t>
      </w:r>
      <w:r>
        <w:rPr>
          <w:rFonts w:ascii="Times New Roman" w:hAnsi="Times New Roman" w:cs="Times New Roman"/>
        </w:rPr>
        <w:t>-</w:t>
      </w:r>
      <w:r w:rsidRPr="00DF2D02">
        <w:rPr>
          <w:rFonts w:ascii="Times New Roman" w:hAnsi="Times New Roman" w:cs="Times New Roman"/>
        </w:rPr>
        <w:t xml:space="preserve">composition data (columns) across time (x-axis) and ages (y-axis) for all models evaluated in the study. Red colors are positive residuals and blue colors denote negative residuals. </w:t>
      </w:r>
      <w:r>
        <w:rPr>
          <w:rFonts w:ascii="Times New Roman" w:hAnsi="Times New Roman" w:cs="Times New Roman"/>
        </w:rPr>
        <w:t>Mean absolute residuals (MAR) presented in the upper left corner of each panel represent the average absolute residuals for a given composition type and assessment model. Larger MAR values are indicative of a worse fit for a given assessment model to a composition type on average.</w:t>
      </w:r>
    </w:p>
    <w:p w14:paraId="601EFB9B" w14:textId="77777777" w:rsidR="0064011A" w:rsidRDefault="0064011A" w:rsidP="0064011A">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B70C59F" wp14:editId="649A8AF9">
            <wp:extent cx="5064369" cy="6330461"/>
            <wp:effectExtent l="0" t="0" r="3175" b="0"/>
            <wp:docPr id="1651228359"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28359" name="Picture 15"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4267" cy="6342834"/>
                    </a:xfrm>
                    <a:prstGeom prst="rect">
                      <a:avLst/>
                    </a:prstGeom>
                  </pic:spPr>
                </pic:pic>
              </a:graphicData>
            </a:graphic>
          </wp:inline>
        </w:drawing>
      </w:r>
    </w:p>
    <w:p w14:paraId="1FA75655" w14:textId="77777777" w:rsidR="0064011A" w:rsidRDefault="0064011A" w:rsidP="0064011A">
      <w:pPr>
        <w:spacing w:line="480" w:lineRule="auto"/>
        <w:rPr>
          <w:rFonts w:ascii="Times New Roman" w:hAnsi="Times New Roman" w:cs="Times New Roman"/>
        </w:rPr>
      </w:pPr>
      <w:r w:rsidRPr="00DF2D02">
        <w:rPr>
          <w:rFonts w:ascii="Times New Roman" w:hAnsi="Times New Roman" w:cs="Times New Roman"/>
        </w:rPr>
        <w:t xml:space="preserve">Figure </w:t>
      </w:r>
      <w:r>
        <w:rPr>
          <w:rFonts w:ascii="Times New Roman" w:hAnsi="Times New Roman" w:cs="Times New Roman"/>
        </w:rPr>
        <w:t>A6</w:t>
      </w:r>
      <w:r w:rsidRPr="00DF2D02">
        <w:rPr>
          <w:rFonts w:ascii="Times New Roman" w:hAnsi="Times New Roman" w:cs="Times New Roman"/>
        </w:rPr>
        <w:t xml:space="preserve">. One-step ahead residuals across hook-and-line </w:t>
      </w:r>
      <w:r>
        <w:rPr>
          <w:rFonts w:ascii="Times New Roman" w:hAnsi="Times New Roman" w:cs="Times New Roman"/>
        </w:rPr>
        <w:t>(HAL)</w:t>
      </w:r>
      <w:r w:rsidRPr="00DF2D02">
        <w:rPr>
          <w:rFonts w:ascii="Times New Roman" w:hAnsi="Times New Roman" w:cs="Times New Roman"/>
        </w:rPr>
        <w:t xml:space="preserve"> and pot length</w:t>
      </w:r>
      <w:r>
        <w:rPr>
          <w:rFonts w:ascii="Times New Roman" w:hAnsi="Times New Roman" w:cs="Times New Roman"/>
        </w:rPr>
        <w:t>-</w:t>
      </w:r>
      <w:r w:rsidRPr="00DF2D02">
        <w:rPr>
          <w:rFonts w:ascii="Times New Roman" w:hAnsi="Times New Roman" w:cs="Times New Roman"/>
        </w:rPr>
        <w:t xml:space="preserve">composition data (columns) across time (x-axis) and lengths (y-axis) for all models evaluated in the study. Red colors are positive residuals and blue colors denote negative residuals. </w:t>
      </w:r>
      <w:r>
        <w:rPr>
          <w:rFonts w:ascii="Times New Roman" w:hAnsi="Times New Roman" w:cs="Times New Roman"/>
        </w:rPr>
        <w:t>Mean absolute residual (MAR) values presented in the upper left corner of each panel. Larger MAR values are indicative of a worse fit for a given assessment model to a composition type on average.</w:t>
      </w:r>
    </w:p>
    <w:p w14:paraId="71A7B95E" w14:textId="77777777" w:rsidR="0064011A" w:rsidRDefault="0064011A" w:rsidP="0064011A">
      <w:pPr>
        <w:rPr>
          <w:rFonts w:ascii="Times New Roman" w:hAnsi="Times New Roman" w:cs="Times New Roman"/>
        </w:rPr>
      </w:pPr>
    </w:p>
    <w:p w14:paraId="4A7F37B8" w14:textId="77777777" w:rsidR="0064011A" w:rsidRDefault="0064011A" w:rsidP="0064011A">
      <w:r>
        <w:rPr>
          <w:noProof/>
        </w:rPr>
        <w:drawing>
          <wp:inline distT="0" distB="0" distL="0" distR="0" wp14:anchorId="411AABE0" wp14:editId="37409202">
            <wp:extent cx="5943600" cy="3200400"/>
            <wp:effectExtent l="0" t="0" r="0" b="0"/>
            <wp:docPr id="13151385" name="Picture 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385" name="Picture 17" descr="A graph of different colored li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0D896F54" w14:textId="77777777" w:rsidR="0064011A" w:rsidRDefault="0064011A" w:rsidP="0064011A"/>
    <w:p w14:paraId="6C80A90D" w14:textId="77777777" w:rsidR="0064011A" w:rsidRDefault="0064011A" w:rsidP="0064011A">
      <w:pPr>
        <w:spacing w:line="480" w:lineRule="auto"/>
        <w:rPr>
          <w:rFonts w:ascii="Times New Roman" w:hAnsi="Times New Roman" w:cs="Times New Roman"/>
        </w:rPr>
      </w:pPr>
      <w:r w:rsidRPr="00DF2D02">
        <w:rPr>
          <w:rFonts w:ascii="Times New Roman" w:hAnsi="Times New Roman" w:cs="Times New Roman"/>
        </w:rPr>
        <w:t xml:space="preserve">Figure </w:t>
      </w:r>
      <w:r>
        <w:rPr>
          <w:rFonts w:ascii="Times New Roman" w:hAnsi="Times New Roman" w:cs="Times New Roman"/>
        </w:rPr>
        <w:t>A7</w:t>
      </w:r>
      <w:r w:rsidRPr="00DF2D02">
        <w:rPr>
          <w:rFonts w:ascii="Times New Roman" w:hAnsi="Times New Roman" w:cs="Times New Roman"/>
        </w:rPr>
        <w:t xml:space="preserve">. </w:t>
      </w:r>
      <w:r>
        <w:rPr>
          <w:rFonts w:ascii="Times New Roman" w:hAnsi="Times New Roman" w:cs="Times New Roman"/>
        </w:rPr>
        <w:t>Time-series of fishing mortality rates from 1960-2021 across model variants. The panel denoted as “</w:t>
      </w:r>
      <w:proofErr w:type="gramStart"/>
      <w:r>
        <w:rPr>
          <w:rFonts w:ascii="Times New Roman" w:hAnsi="Times New Roman" w:cs="Times New Roman"/>
        </w:rPr>
        <w:t>Fully-selected</w:t>
      </w:r>
      <w:proofErr w:type="gramEnd"/>
      <w:r>
        <w:rPr>
          <w:rFonts w:ascii="Times New Roman" w:hAnsi="Times New Roman" w:cs="Times New Roman"/>
        </w:rPr>
        <w:t xml:space="preserve"> F” represents the sum of the fishing mortality rates across all fleets. Panels denoted by “Hook-and-line F”, “Pot F”, and “Trawl F” represent estimated fishing mortality rates for the hook-and-line (or fixed-gear fleet for model</w:t>
      </w:r>
      <w:r>
        <w:rPr>
          <w:rFonts w:ascii="Times New Roman" w:hAnsi="Times New Roman" w:cs="Times New Roman"/>
          <w:i/>
          <w:iCs/>
        </w:rPr>
        <w:t xml:space="preserve"> </w:t>
      </w:r>
      <w:r w:rsidRPr="00AB5BCB">
        <w:rPr>
          <w:rFonts w:ascii="Times New Roman" w:hAnsi="Times New Roman" w:cs="Times New Roman"/>
          <w:i/>
          <w:iCs/>
        </w:rPr>
        <w:t>Combined-Logistic</w:t>
      </w:r>
      <w:r w:rsidRPr="00E33346">
        <w:rPr>
          <w:rFonts w:ascii="Times New Roman" w:hAnsi="Times New Roman" w:cs="Times New Roman"/>
        </w:rPr>
        <w:t>)</w:t>
      </w:r>
      <w:r w:rsidRPr="00794320">
        <w:rPr>
          <w:rFonts w:ascii="Times New Roman" w:hAnsi="Times New Roman" w:cs="Times New Roman"/>
          <w:i/>
          <w:iCs/>
        </w:rPr>
        <w:t>,</w:t>
      </w:r>
      <w:r>
        <w:rPr>
          <w:rFonts w:ascii="Times New Roman" w:hAnsi="Times New Roman" w:cs="Times New Roman"/>
        </w:rPr>
        <w:t xml:space="preserve"> pot, and trawl fishery, respectively. Note that the scale of the y-axis differs across panels. </w:t>
      </w:r>
    </w:p>
    <w:p w14:paraId="1EE25920" w14:textId="77777777" w:rsidR="0064011A" w:rsidRDefault="0064011A" w:rsidP="0064011A">
      <w:pPr>
        <w:spacing w:line="480" w:lineRule="auto"/>
        <w:rPr>
          <w:rFonts w:ascii="Times New Roman" w:hAnsi="Times New Roman" w:cs="Times New Roman"/>
        </w:rPr>
      </w:pPr>
    </w:p>
    <w:p w14:paraId="6C81EEC6" w14:textId="77777777" w:rsidR="0064011A" w:rsidRDefault="0064011A" w:rsidP="0064011A">
      <w:pPr>
        <w:spacing w:line="480" w:lineRule="auto"/>
        <w:rPr>
          <w:rFonts w:ascii="Times New Roman" w:hAnsi="Times New Roman" w:cs="Times New Roman"/>
        </w:rPr>
      </w:pPr>
    </w:p>
    <w:p w14:paraId="4FB20D14" w14:textId="77777777" w:rsidR="0064011A" w:rsidRDefault="0064011A" w:rsidP="0064011A">
      <w:pPr>
        <w:spacing w:line="480" w:lineRule="auto"/>
        <w:rPr>
          <w:rFonts w:ascii="Times New Roman" w:hAnsi="Times New Roman" w:cs="Times New Roman"/>
        </w:rPr>
      </w:pPr>
    </w:p>
    <w:p w14:paraId="7CAC885C" w14:textId="77777777" w:rsidR="0064011A" w:rsidRDefault="0064011A" w:rsidP="0064011A">
      <w:pPr>
        <w:spacing w:line="480" w:lineRule="auto"/>
        <w:rPr>
          <w:rFonts w:ascii="Times New Roman" w:hAnsi="Times New Roman" w:cs="Times New Roman"/>
        </w:rPr>
      </w:pPr>
    </w:p>
    <w:p w14:paraId="01F8384C" w14:textId="77777777" w:rsidR="0064011A" w:rsidRDefault="0064011A" w:rsidP="0064011A">
      <w:pPr>
        <w:spacing w:line="480" w:lineRule="auto"/>
        <w:rPr>
          <w:rFonts w:ascii="Times New Roman" w:hAnsi="Times New Roman" w:cs="Times New Roman"/>
        </w:rPr>
      </w:pPr>
    </w:p>
    <w:p w14:paraId="2A946D4A" w14:textId="77777777" w:rsidR="0064011A" w:rsidRPr="00D75DCC" w:rsidRDefault="0064011A" w:rsidP="0064011A">
      <w:pPr>
        <w:spacing w:line="480" w:lineRule="auto"/>
      </w:pPr>
    </w:p>
    <w:p w14:paraId="1B3173C6" w14:textId="77777777" w:rsidR="0064011A" w:rsidRDefault="0064011A" w:rsidP="0064011A">
      <w:r>
        <w:br/>
      </w:r>
    </w:p>
    <w:p w14:paraId="53332CC6" w14:textId="77777777" w:rsidR="0064011A" w:rsidRDefault="0064011A" w:rsidP="0064011A"/>
    <w:p w14:paraId="6D498A75" w14:textId="77777777" w:rsidR="0064011A" w:rsidRDefault="0064011A" w:rsidP="0064011A"/>
    <w:p w14:paraId="3951A53D" w14:textId="77777777" w:rsidR="0064011A" w:rsidRDefault="0064011A" w:rsidP="0064011A">
      <w:pPr>
        <w:jc w:val="center"/>
      </w:pPr>
      <w:r>
        <w:br w:type="page"/>
      </w:r>
      <w:r>
        <w:rPr>
          <w:noProof/>
        </w:rPr>
        <w:lastRenderedPageBreak/>
        <w:drawing>
          <wp:inline distT="0" distB="0" distL="0" distR="0" wp14:anchorId="432E2434" wp14:editId="5C2FB1AF">
            <wp:extent cx="4649821" cy="6199761"/>
            <wp:effectExtent l="0" t="0" r="0" b="0"/>
            <wp:docPr id="778699889"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9889" name="Picture 24" descr="A graph of different colored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51047" cy="6201396"/>
                    </a:xfrm>
                    <a:prstGeom prst="rect">
                      <a:avLst/>
                    </a:prstGeom>
                  </pic:spPr>
                </pic:pic>
              </a:graphicData>
            </a:graphic>
          </wp:inline>
        </w:drawing>
      </w:r>
    </w:p>
    <w:p w14:paraId="0C3CDCDF" w14:textId="77777777" w:rsidR="0064011A" w:rsidRPr="00794320" w:rsidRDefault="0064011A" w:rsidP="0064011A">
      <w:pPr>
        <w:spacing w:line="480" w:lineRule="auto"/>
        <w:rPr>
          <w:rFonts w:ascii="Times New Roman" w:hAnsi="Times New Roman" w:cs="Times New Roman"/>
        </w:rPr>
      </w:pPr>
      <w:r w:rsidRPr="00794320">
        <w:rPr>
          <w:rFonts w:ascii="Times New Roman" w:hAnsi="Times New Roman" w:cs="Times New Roman"/>
        </w:rPr>
        <w:t>Figure A8. Distribution of ages sampled by hook-and-line gear and pot</w:t>
      </w:r>
      <w:r>
        <w:rPr>
          <w:rFonts w:ascii="Times New Roman" w:hAnsi="Times New Roman" w:cs="Times New Roman"/>
        </w:rPr>
        <w:t>-</w:t>
      </w:r>
      <w:r w:rsidRPr="00794320">
        <w:rPr>
          <w:rFonts w:ascii="Times New Roman" w:hAnsi="Times New Roman" w:cs="Times New Roman"/>
        </w:rPr>
        <w:t>gear. Colored labels denote the number of individuals aged for a given gear type.</w:t>
      </w:r>
      <w:r>
        <w:rPr>
          <w:rFonts w:ascii="Times New Roman" w:hAnsi="Times New Roman" w:cs="Times New Roman"/>
        </w:rPr>
        <w:t xml:space="preserve"> </w:t>
      </w:r>
    </w:p>
    <w:p w14:paraId="15F203F9" w14:textId="77777777" w:rsidR="0064011A" w:rsidRDefault="0064011A" w:rsidP="0064011A"/>
    <w:p w14:paraId="008F1A56" w14:textId="77777777" w:rsidR="0064011A" w:rsidRDefault="0064011A" w:rsidP="0064011A">
      <w:r>
        <w:br w:type="page"/>
      </w:r>
    </w:p>
    <w:p w14:paraId="0CF21589" w14:textId="77777777" w:rsidR="0064011A" w:rsidRDefault="0064011A" w:rsidP="0064011A">
      <w:pPr>
        <w:jc w:val="center"/>
      </w:pPr>
      <w:r>
        <w:rPr>
          <w:noProof/>
        </w:rPr>
        <w:lastRenderedPageBreak/>
        <w:drawing>
          <wp:inline distT="0" distB="0" distL="0" distR="0" wp14:anchorId="2CC07BC3" wp14:editId="6F58C4F9">
            <wp:extent cx="5201866" cy="6935821"/>
            <wp:effectExtent l="0" t="0" r="5715" b="0"/>
            <wp:docPr id="952204005" name="Picture 2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04005" name="Picture 25" descr="A graph of different colored lin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205010" cy="6940013"/>
                    </a:xfrm>
                    <a:prstGeom prst="rect">
                      <a:avLst/>
                    </a:prstGeom>
                  </pic:spPr>
                </pic:pic>
              </a:graphicData>
            </a:graphic>
          </wp:inline>
        </w:drawing>
      </w:r>
    </w:p>
    <w:p w14:paraId="3E30D667" w14:textId="77777777" w:rsidR="0064011A" w:rsidRPr="00F8129D" w:rsidRDefault="0064011A" w:rsidP="0064011A">
      <w:pPr>
        <w:spacing w:line="480" w:lineRule="auto"/>
        <w:rPr>
          <w:rFonts w:ascii="Times New Roman" w:hAnsi="Times New Roman" w:cs="Times New Roman"/>
        </w:rPr>
      </w:pPr>
      <w:r w:rsidRPr="00F8129D">
        <w:rPr>
          <w:rFonts w:ascii="Times New Roman" w:hAnsi="Times New Roman" w:cs="Times New Roman"/>
        </w:rPr>
        <w:t>Figure A</w:t>
      </w:r>
      <w:r>
        <w:rPr>
          <w:rFonts w:ascii="Times New Roman" w:hAnsi="Times New Roman" w:cs="Times New Roman"/>
        </w:rPr>
        <w:t>9</w:t>
      </w:r>
      <w:r w:rsidRPr="00F8129D">
        <w:rPr>
          <w:rFonts w:ascii="Times New Roman" w:hAnsi="Times New Roman" w:cs="Times New Roman"/>
        </w:rPr>
        <w:t xml:space="preserve">. Distribution of </w:t>
      </w:r>
      <w:r>
        <w:rPr>
          <w:rFonts w:ascii="Times New Roman" w:hAnsi="Times New Roman" w:cs="Times New Roman"/>
        </w:rPr>
        <w:t>lengths</w:t>
      </w:r>
      <w:r w:rsidRPr="00F8129D">
        <w:rPr>
          <w:rFonts w:ascii="Times New Roman" w:hAnsi="Times New Roman" w:cs="Times New Roman"/>
        </w:rPr>
        <w:t xml:space="preserve"> sampled by hook-and-line gear and pot</w:t>
      </w:r>
      <w:r>
        <w:rPr>
          <w:rFonts w:ascii="Times New Roman" w:hAnsi="Times New Roman" w:cs="Times New Roman"/>
        </w:rPr>
        <w:t>-</w:t>
      </w:r>
      <w:r w:rsidRPr="00F8129D">
        <w:rPr>
          <w:rFonts w:ascii="Times New Roman" w:hAnsi="Times New Roman" w:cs="Times New Roman"/>
        </w:rPr>
        <w:t>gear</w:t>
      </w:r>
      <w:r>
        <w:rPr>
          <w:rFonts w:ascii="Times New Roman" w:hAnsi="Times New Roman" w:cs="Times New Roman"/>
        </w:rPr>
        <w:t xml:space="preserve"> across sexes</w:t>
      </w:r>
      <w:r w:rsidRPr="00F8129D">
        <w:rPr>
          <w:rFonts w:ascii="Times New Roman" w:hAnsi="Times New Roman" w:cs="Times New Roman"/>
        </w:rPr>
        <w:t>. Colored labels denote the number of individuals aged for a given gear type.</w:t>
      </w:r>
      <w:r>
        <w:rPr>
          <w:rFonts w:ascii="Times New Roman" w:hAnsi="Times New Roman" w:cs="Times New Roman"/>
        </w:rPr>
        <w:t xml:space="preserve"> </w:t>
      </w:r>
    </w:p>
    <w:p w14:paraId="36CFC81B" w14:textId="77777777" w:rsidR="00221D83" w:rsidRDefault="00221D83"/>
    <w:sectPr w:rsidR="00221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11A"/>
    <w:rsid w:val="00221D83"/>
    <w:rsid w:val="00411258"/>
    <w:rsid w:val="004F3644"/>
    <w:rsid w:val="005A16AD"/>
    <w:rsid w:val="0064011A"/>
    <w:rsid w:val="006515FB"/>
    <w:rsid w:val="006B34E5"/>
    <w:rsid w:val="00EA4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56549C"/>
  <w15:chartTrackingRefBased/>
  <w15:docId w15:val="{313C0460-01E1-5C44-9C21-0BE2F7D6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11A"/>
  </w:style>
  <w:style w:type="paragraph" w:styleId="Heading1">
    <w:name w:val="heading 1"/>
    <w:basedOn w:val="Normal"/>
    <w:next w:val="Normal"/>
    <w:link w:val="Heading1Char"/>
    <w:uiPriority w:val="9"/>
    <w:qFormat/>
    <w:rsid w:val="0064011A"/>
    <w:pPr>
      <w:keepNext/>
      <w:keepLines/>
      <w:spacing w:before="240" w:after="240" w:line="48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4F3644"/>
    <w:pPr>
      <w:ind w:left="720" w:hanging="720"/>
    </w:pPr>
    <w:rPr>
      <w:rFonts w:ascii="Times New Roman" w:hAnsi="Times New Roman"/>
      <w:szCs w:val="22"/>
    </w:rPr>
  </w:style>
  <w:style w:type="character" w:customStyle="1" w:styleId="Heading1Char">
    <w:name w:val="Heading 1 Char"/>
    <w:basedOn w:val="DefaultParagraphFont"/>
    <w:link w:val="Heading1"/>
    <w:uiPriority w:val="9"/>
    <w:rsid w:val="006401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526</Words>
  <Characters>2999</Characters>
  <Application>Microsoft Office Word</Application>
  <DocSecurity>0</DocSecurity>
  <Lines>24</Lines>
  <Paragraphs>7</Paragraphs>
  <ScaleCrop>false</ScaleCrop>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Cheng</dc:creator>
  <cp:keywords/>
  <dc:description/>
  <cp:lastModifiedBy>Matt Cheng</cp:lastModifiedBy>
  <cp:revision>1</cp:revision>
  <dcterms:created xsi:type="dcterms:W3CDTF">2023-11-27T19:28:00Z</dcterms:created>
  <dcterms:modified xsi:type="dcterms:W3CDTF">2023-11-27T19:29:00Z</dcterms:modified>
</cp:coreProperties>
</file>