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78E" w:rsidRDefault="002969B5">
      <w:pPr>
        <w:jc w:val="center"/>
        <w:rPr>
          <w:sz w:val="20"/>
          <w:szCs w:val="20"/>
        </w:rPr>
      </w:pPr>
      <w:r>
        <w:rPr>
          <w:noProof/>
          <w:sz w:val="20"/>
          <w:szCs w:val="20"/>
          <w:lang w:val="en-US"/>
        </w:rPr>
        <w:drawing>
          <wp:inline distT="114300" distB="114300" distL="114300" distR="114300">
            <wp:extent cx="5543550" cy="6936545"/>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543550" cy="6936545"/>
                    </a:xfrm>
                    <a:prstGeom prst="rect">
                      <a:avLst/>
                    </a:prstGeom>
                    <a:ln/>
                  </pic:spPr>
                </pic:pic>
              </a:graphicData>
            </a:graphic>
          </wp:inline>
        </w:drawing>
      </w:r>
    </w:p>
    <w:p w:rsidR="008A278E" w:rsidRDefault="002969B5">
      <w:pPr>
        <w:rPr>
          <w:sz w:val="20"/>
          <w:szCs w:val="20"/>
        </w:rPr>
      </w:pPr>
      <w:r>
        <w:rPr>
          <w:b/>
          <w:sz w:val="20"/>
          <w:szCs w:val="20"/>
        </w:rPr>
        <w:t>Figure A1.</w:t>
      </w:r>
      <w:r>
        <w:rPr>
          <w:sz w:val="20"/>
          <w:szCs w:val="20"/>
        </w:rPr>
        <w:t xml:space="preserve"> Distributions of earnings for entrants and non-entrants for fisheries defined on species group, gear, and area. Only fisheries with at least three participants in each group and participants or earnings of at least 1% of the total for each group </w:t>
      </w:r>
      <w:proofErr w:type="gramStart"/>
      <w:r>
        <w:rPr>
          <w:sz w:val="20"/>
          <w:szCs w:val="20"/>
        </w:rPr>
        <w:t>are shown</w:t>
      </w:r>
      <w:proofErr w:type="gramEnd"/>
      <w:r>
        <w:rPr>
          <w:sz w:val="20"/>
          <w:szCs w:val="20"/>
        </w:rPr>
        <w:t>. Distributions feature the median in a horizontal bar, the interquartile range in a box, and extreme observations in whiskers. Earnings appear without the top decile to feature the distribution of earners around the median. With the top decile, outliers i</w:t>
      </w:r>
      <w:r>
        <w:rPr>
          <w:sz w:val="20"/>
          <w:szCs w:val="20"/>
        </w:rPr>
        <w:t xml:space="preserve">nclude participants earning one to three million US$2019. Fisheries </w:t>
      </w:r>
      <w:proofErr w:type="gramStart"/>
      <w:r>
        <w:rPr>
          <w:sz w:val="20"/>
          <w:szCs w:val="20"/>
        </w:rPr>
        <w:t>are ordered</w:t>
      </w:r>
      <w:proofErr w:type="gramEnd"/>
      <w:r>
        <w:rPr>
          <w:sz w:val="20"/>
          <w:szCs w:val="20"/>
        </w:rPr>
        <w:t xml:space="preserve"> by decreasing total earnings across participants of both groups. This visualization extends Panel B of Figure 2. </w:t>
      </w:r>
      <w:r>
        <w:br w:type="page"/>
      </w:r>
    </w:p>
    <w:p w:rsidR="008A278E" w:rsidRDefault="002969B5">
      <w:pPr>
        <w:rPr>
          <w:sz w:val="20"/>
          <w:szCs w:val="20"/>
        </w:rPr>
      </w:pPr>
      <w:r>
        <w:rPr>
          <w:noProof/>
          <w:sz w:val="20"/>
          <w:szCs w:val="20"/>
          <w:lang w:val="en-US"/>
        </w:rPr>
        <w:lastRenderedPageBreak/>
        <w:drawing>
          <wp:inline distT="114300" distB="114300" distL="114300" distR="114300">
            <wp:extent cx="5943600" cy="4457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rsidR="008A278E" w:rsidRDefault="002969B5">
      <w:pPr>
        <w:rPr>
          <w:sz w:val="20"/>
          <w:szCs w:val="20"/>
        </w:rPr>
      </w:pPr>
      <w:r>
        <w:rPr>
          <w:b/>
          <w:sz w:val="20"/>
          <w:szCs w:val="20"/>
        </w:rPr>
        <w:t>Figure A2</w:t>
      </w:r>
      <w:r>
        <w:rPr>
          <w:sz w:val="20"/>
          <w:szCs w:val="20"/>
        </w:rPr>
        <w:t xml:space="preserve">. Dissimilarities of entrants and non-entrants in </w:t>
      </w:r>
      <w:r>
        <w:rPr>
          <w:sz w:val="20"/>
          <w:szCs w:val="20"/>
        </w:rPr>
        <w:t xml:space="preserve">each year calculated from each group’s earnings and count of participants by fishery defined on species group, gear, and area. This visualization extends Panel </w:t>
      </w:r>
      <w:proofErr w:type="gramStart"/>
      <w:r>
        <w:rPr>
          <w:sz w:val="20"/>
          <w:szCs w:val="20"/>
        </w:rPr>
        <w:t>A</w:t>
      </w:r>
      <w:proofErr w:type="gramEnd"/>
      <w:r>
        <w:rPr>
          <w:sz w:val="20"/>
          <w:szCs w:val="20"/>
        </w:rPr>
        <w:t xml:space="preserve"> of Figure 3.</w:t>
      </w:r>
    </w:p>
    <w:p w:rsidR="008A278E" w:rsidRDefault="002969B5">
      <w:pPr>
        <w:rPr>
          <w:sz w:val="20"/>
          <w:szCs w:val="20"/>
        </w:rPr>
      </w:pPr>
      <w:r>
        <w:rPr>
          <w:noProof/>
          <w:sz w:val="20"/>
          <w:szCs w:val="20"/>
          <w:lang w:val="en-US"/>
        </w:rPr>
        <w:lastRenderedPageBreak/>
        <w:drawing>
          <wp:inline distT="114300" distB="114300" distL="114300" distR="114300">
            <wp:extent cx="5943600" cy="7124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7124700"/>
                    </a:xfrm>
                    <a:prstGeom prst="rect">
                      <a:avLst/>
                    </a:prstGeom>
                    <a:ln/>
                  </pic:spPr>
                </pic:pic>
              </a:graphicData>
            </a:graphic>
          </wp:inline>
        </w:drawing>
      </w:r>
    </w:p>
    <w:p w:rsidR="008A278E" w:rsidRDefault="002969B5">
      <w:pPr>
        <w:rPr>
          <w:sz w:val="20"/>
          <w:szCs w:val="20"/>
        </w:rPr>
      </w:pPr>
      <w:r>
        <w:rPr>
          <w:b/>
          <w:sz w:val="20"/>
          <w:szCs w:val="20"/>
        </w:rPr>
        <w:t>Figure A3</w:t>
      </w:r>
      <w:r>
        <w:rPr>
          <w:sz w:val="20"/>
          <w:szCs w:val="20"/>
        </w:rPr>
        <w:t>. Dissimilarities of entrants and non-entrants calculated from each gr</w:t>
      </w:r>
      <w:r>
        <w:rPr>
          <w:sz w:val="20"/>
          <w:szCs w:val="20"/>
        </w:rPr>
        <w:t xml:space="preserve">oup’s earnings and counts of participants by fishery. Percentages of counts of participants sum to more than one due to cross-participation; percentages of earnings sum to one. Only fisheries with at least three participants in each group and participants </w:t>
      </w:r>
      <w:r>
        <w:rPr>
          <w:sz w:val="20"/>
          <w:szCs w:val="20"/>
        </w:rPr>
        <w:t xml:space="preserve">or earnings of at least 1% of the total for each group </w:t>
      </w:r>
      <w:proofErr w:type="gramStart"/>
      <w:r>
        <w:rPr>
          <w:sz w:val="20"/>
          <w:szCs w:val="20"/>
        </w:rPr>
        <w:t>are shown</w:t>
      </w:r>
      <w:proofErr w:type="gramEnd"/>
      <w:r>
        <w:rPr>
          <w:sz w:val="20"/>
          <w:szCs w:val="20"/>
        </w:rPr>
        <w:t>. This visualization extends Panel B of Figure 3.</w:t>
      </w:r>
    </w:p>
    <w:p w:rsidR="008A278E" w:rsidRDefault="002969B5">
      <w:pPr>
        <w:jc w:val="center"/>
        <w:rPr>
          <w:sz w:val="20"/>
          <w:szCs w:val="20"/>
        </w:rPr>
      </w:pPr>
      <w:r>
        <w:rPr>
          <w:noProof/>
          <w:sz w:val="20"/>
          <w:szCs w:val="20"/>
          <w:lang w:val="en-US"/>
        </w:rPr>
        <w:lastRenderedPageBreak/>
        <w:drawing>
          <wp:inline distT="114300" distB="114300" distL="114300" distR="114300">
            <wp:extent cx="5854024" cy="7310438"/>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854024" cy="7310438"/>
                    </a:xfrm>
                    <a:prstGeom prst="rect">
                      <a:avLst/>
                    </a:prstGeom>
                    <a:ln/>
                  </pic:spPr>
                </pic:pic>
              </a:graphicData>
            </a:graphic>
          </wp:inline>
        </w:drawing>
      </w:r>
    </w:p>
    <w:p w:rsidR="008A278E" w:rsidRDefault="002969B5">
      <w:pPr>
        <w:rPr>
          <w:sz w:val="20"/>
          <w:szCs w:val="20"/>
        </w:rPr>
      </w:pPr>
      <w:r>
        <w:rPr>
          <w:b/>
          <w:sz w:val="20"/>
          <w:szCs w:val="20"/>
        </w:rPr>
        <w:t>Figure A4.</w:t>
      </w:r>
      <w:r>
        <w:rPr>
          <w:sz w:val="20"/>
          <w:szCs w:val="20"/>
        </w:rPr>
        <w:t xml:space="preserve"> A network graph of entrants’ fisheries participation prior to quota share acquisition. Each node counts cumulative participants o</w:t>
      </w:r>
      <w:r>
        <w:rPr>
          <w:sz w:val="20"/>
          <w:szCs w:val="20"/>
        </w:rPr>
        <w:t>ver the time series, with each node’s size and color illustrating the percentage of all participants appearing in that node’s fishery in at least one year. Each edge counts individuals who participated in both groups of fisheries corresponding to that edge</w:t>
      </w:r>
      <w:r>
        <w:rPr>
          <w:sz w:val="20"/>
          <w:szCs w:val="20"/>
        </w:rPr>
        <w:t xml:space="preserve">, with </w:t>
      </w:r>
      <w:proofErr w:type="spellStart"/>
      <w:r>
        <w:rPr>
          <w:sz w:val="20"/>
          <w:szCs w:val="20"/>
        </w:rPr>
        <w:t>symbology</w:t>
      </w:r>
      <w:proofErr w:type="spellEnd"/>
      <w:r>
        <w:rPr>
          <w:sz w:val="20"/>
          <w:szCs w:val="20"/>
        </w:rPr>
        <w:t xml:space="preserve"> matching nodes. This visualization extends Panel </w:t>
      </w:r>
      <w:proofErr w:type="gramStart"/>
      <w:r>
        <w:rPr>
          <w:sz w:val="20"/>
          <w:szCs w:val="20"/>
        </w:rPr>
        <w:t>A</w:t>
      </w:r>
      <w:proofErr w:type="gramEnd"/>
      <w:r>
        <w:rPr>
          <w:sz w:val="20"/>
          <w:szCs w:val="20"/>
        </w:rPr>
        <w:t xml:space="preserve"> of Figure 4.</w:t>
      </w:r>
    </w:p>
    <w:p w:rsidR="008A278E" w:rsidRDefault="002969B5">
      <w:pPr>
        <w:jc w:val="center"/>
        <w:rPr>
          <w:sz w:val="20"/>
          <w:szCs w:val="20"/>
        </w:rPr>
      </w:pPr>
      <w:r>
        <w:rPr>
          <w:noProof/>
          <w:sz w:val="20"/>
          <w:szCs w:val="20"/>
          <w:lang w:val="en-US"/>
        </w:rPr>
        <w:lastRenderedPageBreak/>
        <w:drawing>
          <wp:inline distT="114300" distB="114300" distL="114300" distR="114300">
            <wp:extent cx="5872163" cy="734020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872163" cy="7340203"/>
                    </a:xfrm>
                    <a:prstGeom prst="rect">
                      <a:avLst/>
                    </a:prstGeom>
                    <a:ln/>
                  </pic:spPr>
                </pic:pic>
              </a:graphicData>
            </a:graphic>
          </wp:inline>
        </w:drawing>
      </w:r>
    </w:p>
    <w:p w:rsidR="008A278E" w:rsidRDefault="002969B5" w:rsidP="001B6814">
      <w:pPr>
        <w:rPr>
          <w:sz w:val="20"/>
          <w:szCs w:val="20"/>
        </w:rPr>
      </w:pPr>
      <w:r>
        <w:rPr>
          <w:b/>
          <w:sz w:val="20"/>
          <w:szCs w:val="20"/>
        </w:rPr>
        <w:t>Figure A5.</w:t>
      </w:r>
      <w:r>
        <w:rPr>
          <w:sz w:val="20"/>
          <w:szCs w:val="20"/>
        </w:rPr>
        <w:t xml:space="preserve"> A network graph of non-entrant fisheries participation. Each node counts cumulative participants over the time series, with each node’s size and color illustratin</w:t>
      </w:r>
      <w:r>
        <w:rPr>
          <w:sz w:val="20"/>
          <w:szCs w:val="20"/>
        </w:rPr>
        <w:t xml:space="preserve">g the percentage of all participants appearing in that node’s fishery in at least one year. Each edge counts individuals who participated in both groups of fisheries corresponding to that edge, with </w:t>
      </w:r>
      <w:proofErr w:type="spellStart"/>
      <w:r>
        <w:rPr>
          <w:sz w:val="20"/>
          <w:szCs w:val="20"/>
        </w:rPr>
        <w:t>symbology</w:t>
      </w:r>
      <w:proofErr w:type="spellEnd"/>
      <w:r>
        <w:rPr>
          <w:sz w:val="20"/>
          <w:szCs w:val="20"/>
        </w:rPr>
        <w:t xml:space="preserve"> matching nodes. This visualization extends Pane</w:t>
      </w:r>
      <w:r>
        <w:rPr>
          <w:sz w:val="20"/>
          <w:szCs w:val="20"/>
        </w:rPr>
        <w:t>l B of Figure 4.</w:t>
      </w:r>
    </w:p>
    <w:p w:rsidR="008A278E" w:rsidRDefault="002969B5">
      <w:pPr>
        <w:rPr>
          <w:b/>
          <w:sz w:val="20"/>
          <w:szCs w:val="20"/>
        </w:rPr>
      </w:pPr>
      <w:r>
        <w:rPr>
          <w:b/>
          <w:noProof/>
          <w:sz w:val="20"/>
          <w:szCs w:val="20"/>
          <w:lang w:val="en-US"/>
        </w:rPr>
        <w:lastRenderedPageBreak/>
        <w:drawing>
          <wp:inline distT="114300" distB="114300" distL="114300" distR="114300">
            <wp:extent cx="5943600" cy="44577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rsidR="008A278E" w:rsidRDefault="002969B5">
      <w:pPr>
        <w:rPr>
          <w:sz w:val="20"/>
          <w:szCs w:val="20"/>
        </w:rPr>
      </w:pPr>
      <w:r>
        <w:rPr>
          <w:b/>
          <w:sz w:val="20"/>
          <w:szCs w:val="20"/>
        </w:rPr>
        <w:t>Figure A6.</w:t>
      </w:r>
      <w:r>
        <w:rPr>
          <w:sz w:val="20"/>
          <w:szCs w:val="20"/>
        </w:rPr>
        <w:t xml:space="preserve"> Time series of distributions of weighted degree centralities for nodes in networks of fisheries participation. Distributions feature medians in horizontal bars, interquartile ranges in boxes, and extreme observations in whisk</w:t>
      </w:r>
      <w:r>
        <w:rPr>
          <w:sz w:val="20"/>
          <w:szCs w:val="20"/>
        </w:rPr>
        <w:t xml:space="preserve">ers. Each observation represents a node and a fishery. Each observation’s y-axis coordinate indicates the node’s degree centrality with weights for counts of participants in each year. Nodes with weighted degree centralities greater than 10 </w:t>
      </w:r>
      <w:proofErr w:type="gramStart"/>
      <w:r>
        <w:rPr>
          <w:sz w:val="20"/>
          <w:szCs w:val="20"/>
        </w:rPr>
        <w:t>are omitted</w:t>
      </w:r>
      <w:proofErr w:type="gramEnd"/>
      <w:r>
        <w:rPr>
          <w:sz w:val="20"/>
          <w:szCs w:val="20"/>
        </w:rPr>
        <w:t xml:space="preserve"> to </w:t>
      </w:r>
      <w:r>
        <w:rPr>
          <w:sz w:val="20"/>
          <w:szCs w:val="20"/>
        </w:rPr>
        <w:t>highlight the outcome of visualizing at a lower-level fishery definition, which reveals trends in lower-participation fisheries. This visualization extends Figure 5.</w:t>
      </w:r>
    </w:p>
    <w:p w:rsidR="008A278E" w:rsidRDefault="008A278E">
      <w:pPr>
        <w:pStyle w:val="Heading1"/>
        <w:rPr>
          <w:sz w:val="20"/>
          <w:szCs w:val="20"/>
        </w:rPr>
      </w:pPr>
      <w:bookmarkStart w:id="0" w:name="_dxyvmi9rcvo1" w:colFirst="0" w:colLast="0"/>
      <w:bookmarkEnd w:id="0"/>
    </w:p>
    <w:p w:rsidR="008A278E" w:rsidRDefault="002969B5">
      <w:pPr>
        <w:rPr>
          <w:b/>
          <w:sz w:val="20"/>
          <w:szCs w:val="20"/>
        </w:rPr>
      </w:pPr>
      <w:r>
        <w:rPr>
          <w:noProof/>
          <w:sz w:val="20"/>
          <w:szCs w:val="20"/>
          <w:lang w:val="en-US"/>
        </w:rPr>
        <w:drawing>
          <wp:inline distT="114300" distB="114300" distL="114300" distR="114300">
            <wp:extent cx="5943600" cy="29718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2971800"/>
                    </a:xfrm>
                    <a:prstGeom prst="rect">
                      <a:avLst/>
                    </a:prstGeom>
                    <a:ln/>
                  </pic:spPr>
                </pic:pic>
              </a:graphicData>
            </a:graphic>
          </wp:inline>
        </w:drawing>
      </w:r>
    </w:p>
    <w:p w:rsidR="008A278E" w:rsidRDefault="002969B5">
      <w:pPr>
        <w:rPr>
          <w:sz w:val="20"/>
          <w:szCs w:val="20"/>
        </w:rPr>
      </w:pPr>
      <w:r>
        <w:rPr>
          <w:b/>
          <w:sz w:val="20"/>
          <w:szCs w:val="20"/>
        </w:rPr>
        <w:t>Figure A7.</w:t>
      </w:r>
      <w:r>
        <w:rPr>
          <w:sz w:val="20"/>
          <w:szCs w:val="20"/>
        </w:rPr>
        <w:t xml:space="preserve"> Distributions of normalized </w:t>
      </w:r>
      <w:proofErr w:type="spellStart"/>
      <w:r>
        <w:rPr>
          <w:sz w:val="20"/>
          <w:szCs w:val="20"/>
        </w:rPr>
        <w:t>Herfindahl</w:t>
      </w:r>
      <w:proofErr w:type="spellEnd"/>
      <w:r>
        <w:rPr>
          <w:sz w:val="20"/>
          <w:szCs w:val="20"/>
        </w:rPr>
        <w:t xml:space="preserve">-Hirschman Index (HHI) values for </w:t>
      </w:r>
      <w:proofErr w:type="gramStart"/>
      <w:r>
        <w:rPr>
          <w:sz w:val="20"/>
          <w:szCs w:val="20"/>
        </w:rPr>
        <w:t>indi</w:t>
      </w:r>
      <w:r>
        <w:rPr>
          <w:sz w:val="20"/>
          <w:szCs w:val="20"/>
        </w:rPr>
        <w:t>viduals  for</w:t>
      </w:r>
      <w:proofErr w:type="gramEnd"/>
      <w:r>
        <w:rPr>
          <w:sz w:val="20"/>
          <w:szCs w:val="20"/>
        </w:rPr>
        <w:t xml:space="preserve"> individuals for whom HHI &lt; 1 (A) and proportions of participants for whom HHI = 1 (B) over the time series, such that an individual’s earnings in a fishery are the sum of their earnings in that fishery in all years of their participation. Indi</w:t>
      </w:r>
      <w:r>
        <w:rPr>
          <w:sz w:val="20"/>
          <w:szCs w:val="20"/>
        </w:rPr>
        <w:t xml:space="preserve">viduals with higher HHI values participate in a less diverse earnings-weighted portfolio of fisheries; individuals for whom HHI = </w:t>
      </w:r>
      <w:proofErr w:type="gramStart"/>
      <w:r>
        <w:rPr>
          <w:sz w:val="20"/>
          <w:szCs w:val="20"/>
        </w:rPr>
        <w:t>1</w:t>
      </w:r>
      <w:proofErr w:type="gramEnd"/>
      <w:r>
        <w:rPr>
          <w:sz w:val="20"/>
          <w:szCs w:val="20"/>
        </w:rPr>
        <w:t xml:space="preserve"> participate in just one fishery. Here, fisheries </w:t>
      </w:r>
      <w:proofErr w:type="gramStart"/>
      <w:r>
        <w:rPr>
          <w:sz w:val="20"/>
          <w:szCs w:val="20"/>
        </w:rPr>
        <w:t>are defined</w:t>
      </w:r>
      <w:proofErr w:type="gramEnd"/>
      <w:r>
        <w:rPr>
          <w:sz w:val="20"/>
          <w:szCs w:val="20"/>
        </w:rPr>
        <w:t xml:space="preserve"> on lower-level aggregations of species group, gear, and area.</w:t>
      </w:r>
    </w:p>
    <w:p w:rsidR="008A278E" w:rsidRDefault="008A278E">
      <w:pPr>
        <w:pStyle w:val="Heading1"/>
        <w:rPr>
          <w:sz w:val="20"/>
          <w:szCs w:val="20"/>
        </w:rPr>
      </w:pPr>
      <w:bookmarkStart w:id="1" w:name="_t5m2qiggdxxs" w:colFirst="0" w:colLast="0"/>
      <w:bookmarkEnd w:id="1"/>
    </w:p>
    <w:p w:rsidR="008A278E" w:rsidRDefault="002969B5">
      <w:pPr>
        <w:rPr>
          <w:b/>
          <w:sz w:val="20"/>
          <w:szCs w:val="20"/>
        </w:rPr>
      </w:pPr>
      <w:r>
        <w:rPr>
          <w:b/>
          <w:noProof/>
          <w:sz w:val="20"/>
          <w:szCs w:val="20"/>
          <w:lang w:val="en-US"/>
        </w:rPr>
        <w:drawing>
          <wp:inline distT="114300" distB="114300" distL="114300" distR="114300">
            <wp:extent cx="5943600" cy="59436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p>
    <w:p w:rsidR="008A278E" w:rsidRDefault="002969B5">
      <w:pPr>
        <w:rPr>
          <w:sz w:val="20"/>
          <w:szCs w:val="20"/>
        </w:rPr>
      </w:pPr>
      <w:r>
        <w:rPr>
          <w:b/>
          <w:sz w:val="20"/>
          <w:szCs w:val="20"/>
        </w:rPr>
        <w:t>Figure A8.</w:t>
      </w:r>
      <w:r>
        <w:rPr>
          <w:sz w:val="20"/>
          <w:szCs w:val="20"/>
        </w:rPr>
        <w:t xml:space="preserve"> Annual distributions of normalized </w:t>
      </w:r>
      <w:proofErr w:type="spellStart"/>
      <w:r>
        <w:rPr>
          <w:sz w:val="20"/>
          <w:szCs w:val="20"/>
        </w:rPr>
        <w:t>Herfindahl</w:t>
      </w:r>
      <w:proofErr w:type="spellEnd"/>
      <w:r>
        <w:rPr>
          <w:sz w:val="20"/>
          <w:szCs w:val="20"/>
        </w:rPr>
        <w:t xml:space="preserve">-Hirschman Index (HHI) values for individuals for whom HHI &lt; 1 (A) and annual proportions of participants for whom HHI = </w:t>
      </w:r>
      <w:proofErr w:type="gramStart"/>
      <w:r>
        <w:rPr>
          <w:sz w:val="20"/>
          <w:szCs w:val="20"/>
        </w:rPr>
        <w:t>1</w:t>
      </w:r>
      <w:proofErr w:type="gramEnd"/>
      <w:r>
        <w:rPr>
          <w:sz w:val="20"/>
          <w:szCs w:val="20"/>
        </w:rPr>
        <w:t xml:space="preserve"> (B). Individuals with higher HHI values participate in a less diverse earni</w:t>
      </w:r>
      <w:r>
        <w:rPr>
          <w:sz w:val="20"/>
          <w:szCs w:val="20"/>
        </w:rPr>
        <w:t xml:space="preserve">ngs-weighted portfolio of fisheries; individuals for whom HHI = </w:t>
      </w:r>
      <w:proofErr w:type="gramStart"/>
      <w:r>
        <w:rPr>
          <w:sz w:val="20"/>
          <w:szCs w:val="20"/>
        </w:rPr>
        <w:t>1</w:t>
      </w:r>
      <w:proofErr w:type="gramEnd"/>
      <w:r>
        <w:rPr>
          <w:sz w:val="20"/>
          <w:szCs w:val="20"/>
        </w:rPr>
        <w:t xml:space="preserve"> participate in just one fishery. Here, fisheries </w:t>
      </w:r>
      <w:proofErr w:type="gramStart"/>
      <w:r>
        <w:rPr>
          <w:sz w:val="20"/>
          <w:szCs w:val="20"/>
        </w:rPr>
        <w:t>are defined</w:t>
      </w:r>
      <w:proofErr w:type="gramEnd"/>
      <w:r>
        <w:rPr>
          <w:sz w:val="20"/>
          <w:szCs w:val="20"/>
        </w:rPr>
        <w:t xml:space="preserve"> on lower-level aggregations of species group, gear, and area.</w:t>
      </w:r>
    </w:p>
    <w:p w:rsidR="001B6814" w:rsidRDefault="001B6814" w:rsidP="001B6814">
      <w:pPr>
        <w:rPr>
          <w:sz w:val="20"/>
          <w:szCs w:val="20"/>
        </w:rPr>
      </w:pPr>
      <w:r>
        <w:rPr>
          <w:sz w:val="20"/>
          <w:szCs w:val="20"/>
        </w:rPr>
        <w:br w:type="page"/>
      </w:r>
    </w:p>
    <w:p w:rsidR="001B6814" w:rsidRDefault="001B6814">
      <w:pPr>
        <w:rPr>
          <w:sz w:val="20"/>
          <w:szCs w:val="20"/>
        </w:rPr>
      </w:pPr>
    </w:p>
    <w:p w:rsidR="008A278E" w:rsidRDefault="00A72024" w:rsidP="006F71BF">
      <w:pPr>
        <w:spacing w:after="240"/>
        <w:rPr>
          <w:sz w:val="20"/>
          <w:szCs w:val="20"/>
        </w:rPr>
      </w:pPr>
      <w:r>
        <w:rPr>
          <w:b/>
          <w:sz w:val="20"/>
          <w:szCs w:val="20"/>
        </w:rPr>
        <w:t>Table</w:t>
      </w:r>
      <w:r w:rsidR="001B6814">
        <w:rPr>
          <w:b/>
          <w:sz w:val="20"/>
          <w:szCs w:val="20"/>
        </w:rPr>
        <w:t xml:space="preserve"> A</w:t>
      </w:r>
      <w:r>
        <w:rPr>
          <w:b/>
          <w:sz w:val="20"/>
          <w:szCs w:val="20"/>
        </w:rPr>
        <w:t>1</w:t>
      </w:r>
      <w:r w:rsidR="001B6814">
        <w:rPr>
          <w:b/>
          <w:sz w:val="20"/>
          <w:szCs w:val="20"/>
        </w:rPr>
        <w:t>.</w:t>
      </w:r>
      <w:r w:rsidR="001B6814">
        <w:rPr>
          <w:sz w:val="20"/>
          <w:szCs w:val="20"/>
        </w:rPr>
        <w:t xml:space="preserve"> </w:t>
      </w:r>
      <w:r w:rsidR="002969B5">
        <w:rPr>
          <w:sz w:val="20"/>
          <w:szCs w:val="20"/>
        </w:rPr>
        <w:t xml:space="preserve">Weights of nodes illustrated in Figure 4 of the manuscript. </w:t>
      </w:r>
      <w:r w:rsidR="001B6814">
        <w:rPr>
          <w:sz w:val="20"/>
          <w:szCs w:val="20"/>
        </w:rPr>
        <w:t xml:space="preserve"> </w:t>
      </w:r>
    </w:p>
    <w:tbl>
      <w:tblPr>
        <w:tblStyle w:val="PlainTable5"/>
        <w:tblW w:w="5000" w:type="pct"/>
        <w:tblLook w:val="04A0" w:firstRow="1" w:lastRow="0" w:firstColumn="1" w:lastColumn="0" w:noHBand="0" w:noVBand="1"/>
      </w:tblPr>
      <w:tblGrid>
        <w:gridCol w:w="1620"/>
        <w:gridCol w:w="2496"/>
        <w:gridCol w:w="2217"/>
        <w:gridCol w:w="3027"/>
      </w:tblGrid>
      <w:tr w:rsidR="006F71BF" w:rsidRPr="006F71BF" w:rsidTr="006F71BF">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Group</w:t>
            </w:r>
          </w:p>
        </w:tc>
        <w:tc>
          <w:tcPr>
            <w:tcW w:w="1437"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Fishery</w:t>
            </w:r>
          </w:p>
        </w:tc>
        <w:tc>
          <w:tcPr>
            <w:tcW w:w="1288"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Participants (Count)</w:t>
            </w:r>
          </w:p>
        </w:tc>
        <w:tc>
          <w:tcPr>
            <w:tcW w:w="1306"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Participants (Percentage of Group)</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Chinook</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10537</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55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Coho</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9493</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49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Halibut</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1972</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10</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Herring</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1634</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8</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Invertebrates</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2988</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Lingcod &amp; Rockfish</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2336</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12</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Other</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2301</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Pacific Cod</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2167</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Pink &amp; Chum</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13154</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Sablefish</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1017</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5</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Non-Entrant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Sockeye</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11857</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Chinook</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291</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Coho</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300</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Halibut</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126</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Herring</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45</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Invertebrates</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100</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Lingcod &amp; Rockfish</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164</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35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Other</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119</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25</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Pacific Cod</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122</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26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Pink &amp; Chum</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321</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68</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Sablefish</w:t>
            </w:r>
          </w:p>
        </w:tc>
        <w:tc>
          <w:tcPr>
            <w:tcW w:w="128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76</w:t>
            </w:r>
          </w:p>
        </w:tc>
        <w:tc>
          <w:tcPr>
            <w:tcW w:w="1306"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16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969" w:type="pct"/>
            <w:noWrap/>
            <w:hideMark/>
          </w:tcPr>
          <w:p w:rsidR="006F71BF" w:rsidRPr="006F71BF" w:rsidRDefault="006F71BF" w:rsidP="006F71BF">
            <w:pPr>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Entrant</w:t>
            </w:r>
          </w:p>
        </w:tc>
        <w:tc>
          <w:tcPr>
            <w:tcW w:w="1437"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Sockeye</w:t>
            </w:r>
          </w:p>
        </w:tc>
        <w:tc>
          <w:tcPr>
            <w:tcW w:w="128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304</w:t>
            </w:r>
          </w:p>
        </w:tc>
        <w:tc>
          <w:tcPr>
            <w:tcW w:w="1306"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US"/>
              </w:rPr>
            </w:pPr>
            <w:r w:rsidRPr="006F71BF">
              <w:rPr>
                <w:rFonts w:ascii="Calibri" w:eastAsia="Times New Roman" w:hAnsi="Calibri" w:cs="Calibri"/>
                <w:color w:val="000000"/>
                <w:sz w:val="20"/>
                <w:szCs w:val="20"/>
                <w:lang w:val="en-US"/>
              </w:rPr>
              <w:t>64</w:t>
            </w:r>
          </w:p>
        </w:tc>
      </w:tr>
    </w:tbl>
    <w:p w:rsidR="006F71BF" w:rsidRDefault="006F71BF">
      <w:pPr>
        <w:rPr>
          <w:sz w:val="20"/>
          <w:szCs w:val="20"/>
        </w:rPr>
      </w:pPr>
    </w:p>
    <w:p w:rsidR="006F71BF" w:rsidRDefault="006F71BF">
      <w:pPr>
        <w:rPr>
          <w:sz w:val="20"/>
          <w:szCs w:val="20"/>
        </w:rPr>
      </w:pPr>
      <w:r>
        <w:rPr>
          <w:sz w:val="20"/>
          <w:szCs w:val="20"/>
        </w:rPr>
        <w:br w:type="page"/>
      </w:r>
    </w:p>
    <w:p w:rsidR="006F71BF" w:rsidRDefault="006F71BF" w:rsidP="006F71BF">
      <w:pPr>
        <w:spacing w:after="240"/>
        <w:rPr>
          <w:sz w:val="20"/>
          <w:szCs w:val="20"/>
        </w:rPr>
      </w:pPr>
      <w:r>
        <w:rPr>
          <w:b/>
          <w:sz w:val="20"/>
          <w:szCs w:val="20"/>
        </w:rPr>
        <w:lastRenderedPageBreak/>
        <w:t>Table A</w:t>
      </w:r>
      <w:r>
        <w:rPr>
          <w:b/>
          <w:sz w:val="20"/>
          <w:szCs w:val="20"/>
        </w:rPr>
        <w:t>2</w:t>
      </w:r>
      <w:r>
        <w:rPr>
          <w:b/>
          <w:sz w:val="20"/>
          <w:szCs w:val="20"/>
        </w:rPr>
        <w:t>.</w:t>
      </w:r>
      <w:r>
        <w:rPr>
          <w:sz w:val="20"/>
          <w:szCs w:val="20"/>
        </w:rPr>
        <w:t xml:space="preserve"> </w:t>
      </w:r>
      <w:r w:rsidR="002969B5">
        <w:rPr>
          <w:sz w:val="20"/>
          <w:szCs w:val="20"/>
        </w:rPr>
        <w:t>Weights of edges illustrated in Figure 4 of the manuscript.</w:t>
      </w:r>
      <w:bookmarkStart w:id="2" w:name="_GoBack"/>
      <w:bookmarkEnd w:id="2"/>
    </w:p>
    <w:tbl>
      <w:tblPr>
        <w:tblStyle w:val="PlainTable5"/>
        <w:tblW w:w="5000" w:type="pct"/>
        <w:tblLook w:val="04A0" w:firstRow="1" w:lastRow="0" w:firstColumn="1" w:lastColumn="0" w:noHBand="0" w:noVBand="1"/>
      </w:tblPr>
      <w:tblGrid>
        <w:gridCol w:w="1202"/>
        <w:gridCol w:w="1709"/>
        <w:gridCol w:w="1709"/>
        <w:gridCol w:w="1793"/>
        <w:gridCol w:w="2947"/>
      </w:tblGrid>
      <w:tr w:rsidR="006F71BF" w:rsidRPr="006F71BF" w:rsidTr="006F71BF">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Group</w:t>
            </w:r>
          </w:p>
        </w:tc>
        <w:tc>
          <w:tcPr>
            <w:tcW w:w="913"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Fishery (From)</w:t>
            </w:r>
          </w:p>
        </w:tc>
        <w:tc>
          <w:tcPr>
            <w:tcW w:w="913"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Fishery (To)</w:t>
            </w:r>
          </w:p>
        </w:tc>
        <w:tc>
          <w:tcPr>
            <w:tcW w:w="958"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Participants (Count)</w:t>
            </w:r>
          </w:p>
        </w:tc>
        <w:tc>
          <w:tcPr>
            <w:tcW w:w="1574" w:type="pct"/>
            <w:noWrap/>
            <w:hideMark/>
          </w:tcPr>
          <w:p w:rsidR="006F71BF" w:rsidRPr="006F71BF" w:rsidRDefault="006F71BF" w:rsidP="006F71B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Participants (Percentage of Group)</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8009</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564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568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681</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1155</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1207</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697</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10145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308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9160</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48</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534</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507</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672</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1136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1167</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676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9220</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276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8146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155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338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738</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411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643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594</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495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546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186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102</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103</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630</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0</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605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536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513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605</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738</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231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683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1160</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1296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lastRenderedPageBreak/>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1183</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909</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1081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1260</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1301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584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1089</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753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734</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706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321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11512</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60</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Non-Entrant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283</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268</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56</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22</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45</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20</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279</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Chinook</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266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56</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20</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91</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61</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294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62</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37</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Coho</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275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58</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32</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82</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17</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62</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55</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Halibut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lastRenderedPageBreak/>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Herring</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41</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42</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19</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Invertebrates</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43</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74</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16</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92</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19</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101</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21</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70</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15</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Lingcod &amp; Rockfish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97</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20</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64</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93</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20</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36</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Other</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91</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19</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65</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14</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55</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12</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Pacific Cod</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64</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13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38</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r>
      <w:tr w:rsidR="006F71BF" w:rsidRPr="006F71BF" w:rsidTr="006F7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Pink &amp; Chum</w:t>
            </w:r>
          </w:p>
        </w:tc>
        <w:tc>
          <w:tcPr>
            <w:tcW w:w="913" w:type="pct"/>
            <w:noWrap/>
            <w:hideMark/>
          </w:tcPr>
          <w:p w:rsidR="006F71BF" w:rsidRPr="006F71BF" w:rsidRDefault="006F71BF" w:rsidP="006F71B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300</w:t>
            </w:r>
          </w:p>
        </w:tc>
        <w:tc>
          <w:tcPr>
            <w:tcW w:w="1574" w:type="pct"/>
            <w:noWrap/>
            <w:hideMark/>
          </w:tcPr>
          <w:p w:rsidR="006F71BF" w:rsidRPr="006F71BF" w:rsidRDefault="006F71BF" w:rsidP="006F71B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63</w:t>
            </w:r>
          </w:p>
        </w:tc>
      </w:tr>
      <w:tr w:rsidR="006F71BF" w:rsidRPr="006F71BF" w:rsidTr="006F71BF">
        <w:trPr>
          <w:trHeight w:val="288"/>
        </w:trPr>
        <w:tc>
          <w:tcPr>
            <w:cnfStyle w:val="001000000000" w:firstRow="0" w:lastRow="0" w:firstColumn="1" w:lastColumn="0" w:oddVBand="0" w:evenVBand="0" w:oddHBand="0" w:evenHBand="0" w:firstRowFirstColumn="0" w:firstRowLastColumn="0" w:lastRowFirstColumn="0" w:lastRowLastColumn="0"/>
            <w:tcW w:w="642" w:type="pct"/>
            <w:noWrap/>
            <w:hideMark/>
          </w:tcPr>
          <w:p w:rsidR="006F71BF" w:rsidRPr="006F71BF" w:rsidRDefault="006F71BF" w:rsidP="006F71BF">
            <w:pPr>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Entrant</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Sablefish</w:t>
            </w:r>
          </w:p>
        </w:tc>
        <w:tc>
          <w:tcPr>
            <w:tcW w:w="913" w:type="pct"/>
            <w:noWrap/>
            <w:hideMark/>
          </w:tcPr>
          <w:p w:rsidR="006F71BF" w:rsidRPr="006F71BF" w:rsidRDefault="006F71BF" w:rsidP="006F71B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Sockeye</w:t>
            </w:r>
          </w:p>
        </w:tc>
        <w:tc>
          <w:tcPr>
            <w:tcW w:w="958"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39</w:t>
            </w:r>
          </w:p>
        </w:tc>
        <w:tc>
          <w:tcPr>
            <w:tcW w:w="1574" w:type="pct"/>
            <w:noWrap/>
            <w:hideMark/>
          </w:tcPr>
          <w:p w:rsidR="006F71BF" w:rsidRPr="006F71BF" w:rsidRDefault="006F71BF" w:rsidP="006F71B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rPr>
            </w:pPr>
            <w:r w:rsidRPr="006F71BF">
              <w:rPr>
                <w:rFonts w:ascii="Calibri" w:eastAsia="Times New Roman" w:hAnsi="Calibri" w:cs="Calibri"/>
                <w:color w:val="000000"/>
                <w:sz w:val="18"/>
                <w:szCs w:val="18"/>
                <w:lang w:val="en-US"/>
              </w:rPr>
              <w:t>8</w:t>
            </w:r>
          </w:p>
        </w:tc>
      </w:tr>
    </w:tbl>
    <w:p w:rsidR="006F71BF" w:rsidRDefault="006F71BF">
      <w:pPr>
        <w:rPr>
          <w:sz w:val="20"/>
          <w:szCs w:val="20"/>
        </w:rPr>
      </w:pPr>
    </w:p>
    <w:sectPr w:rsidR="006F71B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78E"/>
    <w:rsid w:val="001B6814"/>
    <w:rsid w:val="002969B5"/>
    <w:rsid w:val="0066138E"/>
    <w:rsid w:val="006F71BF"/>
    <w:rsid w:val="00753E00"/>
    <w:rsid w:val="007664A4"/>
    <w:rsid w:val="008A278E"/>
    <w:rsid w:val="00A72024"/>
    <w:rsid w:val="00C91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F481E"/>
  <w15:docId w15:val="{8090385A-0169-47BC-93E5-7A822EC2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styleId="PlainTable5">
    <w:name w:val="Plain Table 5"/>
    <w:basedOn w:val="TableNormal"/>
    <w:uiPriority w:val="45"/>
    <w:rsid w:val="006F71B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7342">
      <w:bodyDiv w:val="1"/>
      <w:marLeft w:val="0"/>
      <w:marRight w:val="0"/>
      <w:marTop w:val="0"/>
      <w:marBottom w:val="0"/>
      <w:divBdr>
        <w:top w:val="none" w:sz="0" w:space="0" w:color="auto"/>
        <w:left w:val="none" w:sz="0" w:space="0" w:color="auto"/>
        <w:bottom w:val="none" w:sz="0" w:space="0" w:color="auto"/>
        <w:right w:val="none" w:sz="0" w:space="0" w:color="auto"/>
      </w:divBdr>
    </w:div>
    <w:div w:id="516193038">
      <w:bodyDiv w:val="1"/>
      <w:marLeft w:val="0"/>
      <w:marRight w:val="0"/>
      <w:marTop w:val="0"/>
      <w:marBottom w:val="0"/>
      <w:divBdr>
        <w:top w:val="none" w:sz="0" w:space="0" w:color="auto"/>
        <w:left w:val="none" w:sz="0" w:space="0" w:color="auto"/>
        <w:bottom w:val="none" w:sz="0" w:space="0" w:color="auto"/>
        <w:right w:val="none" w:sz="0" w:space="0" w:color="auto"/>
      </w:divBdr>
    </w:div>
    <w:div w:id="879052943">
      <w:bodyDiv w:val="1"/>
      <w:marLeft w:val="0"/>
      <w:marRight w:val="0"/>
      <w:marTop w:val="0"/>
      <w:marBottom w:val="0"/>
      <w:divBdr>
        <w:top w:val="none" w:sz="0" w:space="0" w:color="auto"/>
        <w:left w:val="none" w:sz="0" w:space="0" w:color="auto"/>
        <w:bottom w:val="none" w:sz="0" w:space="0" w:color="auto"/>
        <w:right w:val="none" w:sz="0" w:space="0" w:color="auto"/>
      </w:divBdr>
    </w:div>
    <w:div w:id="2048529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1350</Words>
  <Characters>7696</Characters>
  <Application>Microsoft Office Word</Application>
  <DocSecurity>0</DocSecurity>
  <Lines>64</Lines>
  <Paragraphs>18</Paragraphs>
  <ScaleCrop>false</ScaleCrop>
  <Company>NOAA AFSC</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Steinkruger</cp:lastModifiedBy>
  <cp:revision>9</cp:revision>
  <dcterms:created xsi:type="dcterms:W3CDTF">2023-05-01T19:15:00Z</dcterms:created>
  <dcterms:modified xsi:type="dcterms:W3CDTF">2023-05-01T22:08:00Z</dcterms:modified>
</cp:coreProperties>
</file>