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1FE9721E" w14:textId="77777777" w:rsidR="00460E35" w:rsidRDefault="00460E35"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Oceans</w:t>
      </w:r>
    </w:p>
    <w:p w14:paraId="2CB29489" w14:textId="2622CB99"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0A4E3C54" w14:textId="77777777" w:rsidR="00460E35" w:rsidRPr="00460E35" w:rsidRDefault="00460E35" w:rsidP="00460E35">
      <w:pPr>
        <w:spacing w:line="480" w:lineRule="auto"/>
        <w:jc w:val="both"/>
        <w:rPr>
          <w:b/>
          <w:szCs w:val="24"/>
        </w:rPr>
      </w:pPr>
      <w:r w:rsidRPr="00460E35">
        <w:rPr>
          <w:b/>
          <w:szCs w:val="24"/>
        </w:rPr>
        <w:t>Quantifying the effects of nutrient enrichment and freshwater mixing on coastal ocean acidification</w:t>
      </w:r>
    </w:p>
    <w:p w14:paraId="053579A1" w14:textId="77777777" w:rsidR="00460E35" w:rsidRPr="004F6767" w:rsidRDefault="00460E35" w:rsidP="00460E35">
      <w:pPr>
        <w:spacing w:line="480" w:lineRule="auto"/>
        <w:jc w:val="both"/>
        <w:rPr>
          <w:szCs w:val="24"/>
        </w:rPr>
      </w:pPr>
      <w:r w:rsidRPr="00BD24F9">
        <w:rPr>
          <w:szCs w:val="24"/>
        </w:rPr>
        <w:t>Jennie E. Rheuban</w:t>
      </w:r>
      <w:r w:rsidRPr="00BD24F9">
        <w:rPr>
          <w:szCs w:val="24"/>
          <w:vertAlign w:val="superscript"/>
        </w:rPr>
        <w:t>1</w:t>
      </w:r>
      <w:r w:rsidRPr="00BD24F9">
        <w:rPr>
          <w:szCs w:val="24"/>
        </w:rPr>
        <w:t>, Scott C. Doney</w:t>
      </w:r>
      <w:r w:rsidRPr="00BD24F9">
        <w:rPr>
          <w:szCs w:val="24"/>
          <w:vertAlign w:val="superscript"/>
        </w:rPr>
        <w:t>1,2</w:t>
      </w:r>
      <w:r w:rsidRPr="00BD24F9">
        <w:rPr>
          <w:szCs w:val="24"/>
        </w:rPr>
        <w:t>, Dan</w:t>
      </w:r>
      <w:r>
        <w:rPr>
          <w:szCs w:val="24"/>
        </w:rPr>
        <w:t>iel</w:t>
      </w:r>
      <w:r w:rsidRPr="00BD24F9">
        <w:rPr>
          <w:szCs w:val="24"/>
        </w:rPr>
        <w:t xml:space="preserve"> C. McCorkle</w:t>
      </w:r>
      <w:r w:rsidRPr="00BD24F9">
        <w:rPr>
          <w:szCs w:val="24"/>
          <w:vertAlign w:val="superscript"/>
        </w:rPr>
        <w:t>3</w:t>
      </w:r>
      <w:r>
        <w:rPr>
          <w:szCs w:val="24"/>
        </w:rPr>
        <w:t>, Rachel W. Jakuba</w:t>
      </w:r>
      <w:r>
        <w:rPr>
          <w:szCs w:val="24"/>
          <w:vertAlign w:val="superscript"/>
        </w:rPr>
        <w:t>4</w:t>
      </w:r>
    </w:p>
    <w:p w14:paraId="6F87B674" w14:textId="77777777" w:rsidR="00460E35" w:rsidRPr="00BD24F9" w:rsidRDefault="00460E35" w:rsidP="00460E35">
      <w:pPr>
        <w:spacing w:line="480" w:lineRule="auto"/>
        <w:jc w:val="both"/>
        <w:rPr>
          <w:szCs w:val="24"/>
        </w:rPr>
      </w:pPr>
    </w:p>
    <w:p w14:paraId="446F7D59" w14:textId="77777777" w:rsidR="00460E35" w:rsidRPr="00BD24F9" w:rsidRDefault="00460E35" w:rsidP="00460E35">
      <w:pPr>
        <w:pStyle w:val="ListParagraph"/>
        <w:numPr>
          <w:ilvl w:val="0"/>
          <w:numId w:val="14"/>
        </w:numPr>
        <w:spacing w:line="480" w:lineRule="auto"/>
        <w:contextualSpacing/>
        <w:jc w:val="both"/>
        <w:rPr>
          <w:szCs w:val="24"/>
        </w:rPr>
      </w:pPr>
      <w:r w:rsidRPr="00BD24F9">
        <w:rPr>
          <w:szCs w:val="24"/>
        </w:rPr>
        <w:t>Department of Marine Chemistry and Geochemistry, Woods Hole Oceanographic Institution, Woods Hole, MA</w:t>
      </w:r>
      <w:r>
        <w:rPr>
          <w:szCs w:val="24"/>
        </w:rPr>
        <w:t>, 02543, USA</w:t>
      </w:r>
    </w:p>
    <w:p w14:paraId="042886E4" w14:textId="77777777" w:rsidR="00460E35" w:rsidRPr="00BD24F9" w:rsidRDefault="00460E35" w:rsidP="00460E35">
      <w:pPr>
        <w:pStyle w:val="ListParagraph"/>
        <w:numPr>
          <w:ilvl w:val="0"/>
          <w:numId w:val="14"/>
        </w:numPr>
        <w:spacing w:line="480" w:lineRule="auto"/>
        <w:contextualSpacing/>
        <w:jc w:val="both"/>
        <w:rPr>
          <w:szCs w:val="24"/>
        </w:rPr>
      </w:pPr>
      <w:r w:rsidRPr="00BD24F9">
        <w:rPr>
          <w:szCs w:val="24"/>
        </w:rPr>
        <w:t>Department of Environmental Sciences, University of Virginia, Charlottesville, VA</w:t>
      </w:r>
      <w:r>
        <w:rPr>
          <w:szCs w:val="24"/>
        </w:rPr>
        <w:t>, 22904, USA</w:t>
      </w:r>
    </w:p>
    <w:p w14:paraId="21CB9E37" w14:textId="77777777" w:rsidR="00460E35" w:rsidRDefault="00460E35" w:rsidP="00460E35">
      <w:pPr>
        <w:pStyle w:val="ListParagraph"/>
        <w:numPr>
          <w:ilvl w:val="0"/>
          <w:numId w:val="14"/>
        </w:numPr>
        <w:spacing w:line="480" w:lineRule="auto"/>
        <w:contextualSpacing/>
        <w:jc w:val="both"/>
        <w:rPr>
          <w:szCs w:val="24"/>
        </w:rPr>
      </w:pPr>
      <w:r w:rsidRPr="00BD24F9">
        <w:rPr>
          <w:szCs w:val="24"/>
        </w:rPr>
        <w:t>Department of Geology and Geophysics, Woods Hole Oceanographic Institution, Woods Hole, MA</w:t>
      </w:r>
      <w:r>
        <w:rPr>
          <w:szCs w:val="24"/>
        </w:rPr>
        <w:t>, 02543, USA</w:t>
      </w:r>
    </w:p>
    <w:p w14:paraId="1B815F1A" w14:textId="77777777" w:rsidR="00460E35" w:rsidRPr="00BD24F9" w:rsidRDefault="00460E35" w:rsidP="00460E35">
      <w:pPr>
        <w:pStyle w:val="ListParagraph"/>
        <w:numPr>
          <w:ilvl w:val="0"/>
          <w:numId w:val="14"/>
        </w:numPr>
        <w:spacing w:line="480" w:lineRule="auto"/>
        <w:contextualSpacing/>
        <w:jc w:val="both"/>
        <w:rPr>
          <w:szCs w:val="24"/>
        </w:rPr>
      </w:pPr>
      <w:r>
        <w:rPr>
          <w:szCs w:val="24"/>
        </w:rPr>
        <w:t>Buzzards Bay Coalition, New Bedford, MA, 02740, USA</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3D1CAEA0" w14:textId="2B8200DA" w:rsidR="00111843" w:rsidRDefault="00111843" w:rsidP="00111843">
      <w:pPr>
        <w:ind w:left="720"/>
        <w:rPr>
          <w:rFonts w:ascii="Myriad Pro" w:hAnsi="Myriad Pro"/>
          <w:sz w:val="22"/>
          <w:szCs w:val="22"/>
        </w:rPr>
      </w:pPr>
      <w:r w:rsidRPr="00CE6EAA">
        <w:rPr>
          <w:rFonts w:ascii="Myriad Pro" w:hAnsi="Myriad Pro"/>
          <w:sz w:val="22"/>
          <w:szCs w:val="22"/>
        </w:rPr>
        <w:t>Text S1 to S</w:t>
      </w:r>
      <w:r w:rsidR="002E7D29">
        <w:rPr>
          <w:rFonts w:ascii="Myriad Pro" w:hAnsi="Myriad Pro"/>
          <w:sz w:val="22"/>
          <w:szCs w:val="22"/>
        </w:rPr>
        <w:t>3</w:t>
      </w:r>
    </w:p>
    <w:p w14:paraId="356780C4" w14:textId="0D40FB3C" w:rsidR="00C35794" w:rsidRPr="00CE6EAA" w:rsidRDefault="00C35794" w:rsidP="00111843">
      <w:pPr>
        <w:ind w:left="720"/>
        <w:rPr>
          <w:rFonts w:ascii="Myriad Pro" w:hAnsi="Myriad Pro"/>
          <w:sz w:val="22"/>
          <w:szCs w:val="22"/>
        </w:rPr>
      </w:pPr>
      <w:r>
        <w:rPr>
          <w:rFonts w:ascii="Myriad Pro" w:hAnsi="Myriad Pro"/>
          <w:sz w:val="22"/>
          <w:szCs w:val="22"/>
        </w:rPr>
        <w:t>Table S1</w:t>
      </w:r>
    </w:p>
    <w:p w14:paraId="10640459" w14:textId="4AF882C2"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C35794">
        <w:rPr>
          <w:rFonts w:ascii="Myriad Pro" w:hAnsi="Myriad Pro"/>
          <w:sz w:val="22"/>
          <w:szCs w:val="22"/>
        </w:rPr>
        <w:t>20</w:t>
      </w:r>
    </w:p>
    <w:p w14:paraId="0363B503" w14:textId="77777777" w:rsidR="00111843" w:rsidRPr="00E40896" w:rsidRDefault="00111843" w:rsidP="00111843">
      <w:pPr>
        <w:ind w:left="720"/>
        <w:rPr>
          <w:rFonts w:ascii="Myriad Pro" w:hAnsi="Myriad Pro"/>
        </w:rPr>
      </w:pPr>
    </w:p>
    <w:p w14:paraId="79042C92" w14:textId="0913E6BB"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3FC94E8D" w14:textId="6AE5EE6C" w:rsidR="00A273C0" w:rsidRDefault="00460E35" w:rsidP="00FF3503">
      <w:pPr>
        <w:spacing w:before="100" w:beforeAutospacing="1" w:after="100" w:afterAutospacing="1"/>
        <w:rPr>
          <w:rFonts w:ascii="Myriad Pro" w:hAnsi="Myriad Pro"/>
          <w:sz w:val="22"/>
          <w:szCs w:val="22"/>
        </w:rPr>
      </w:pPr>
      <w:r>
        <w:rPr>
          <w:rFonts w:ascii="Myriad Pro" w:hAnsi="Myriad Pro"/>
          <w:sz w:val="22"/>
          <w:szCs w:val="22"/>
        </w:rPr>
        <w:t>In this supplement, we present an error analysis of our decomposition of aragonite saturation state (</w:t>
      </w:r>
      <w:r>
        <w:rPr>
          <w:rFonts w:ascii="Corbel" w:hAnsi="Corbel"/>
          <w:sz w:val="22"/>
          <w:szCs w:val="22"/>
        </w:rPr>
        <w:t>Ω</w:t>
      </w:r>
      <w:r>
        <w:rPr>
          <w:rFonts w:ascii="Myriad Pro" w:hAnsi="Myriad Pro"/>
          <w:sz w:val="22"/>
          <w:szCs w:val="22"/>
        </w:rPr>
        <w:t>). In particular, we focus on the sensitivity of our results to the choice of endmembers for the conservative mixing lines for dissolved inorganic carbon (DIC) and total alkalinity (ALK).</w:t>
      </w:r>
      <w:r w:rsidR="00B17821">
        <w:rPr>
          <w:rFonts w:ascii="Myriad Pro" w:hAnsi="Myriad Pro"/>
          <w:sz w:val="22"/>
          <w:szCs w:val="22"/>
        </w:rPr>
        <w:t xml:space="preserve"> </w:t>
      </w:r>
      <w:r w:rsidR="002078E1">
        <w:rPr>
          <w:rFonts w:ascii="Myriad Pro" w:hAnsi="Myriad Pro"/>
          <w:sz w:val="22"/>
          <w:szCs w:val="22"/>
        </w:rPr>
        <w:t xml:space="preserve">We present a simple calculation of the cumulative effects of historical and a decade of future </w:t>
      </w:r>
      <w:r w:rsidR="002078E1">
        <w:rPr>
          <w:rFonts w:ascii="Myriad Pro" w:hAnsi="Myriad Pro"/>
          <w:sz w:val="22"/>
          <w:szCs w:val="22"/>
        </w:rPr>
        <w:lastRenderedPageBreak/>
        <w:t>anthropogenic carbon emissions on the c</w:t>
      </w:r>
      <w:r w:rsidR="00B17821">
        <w:rPr>
          <w:rFonts w:ascii="Myriad Pro" w:hAnsi="Myriad Pro"/>
          <w:sz w:val="22"/>
          <w:szCs w:val="22"/>
        </w:rPr>
        <w:t xml:space="preserve">arbonate system of Buzzards Bay. </w:t>
      </w:r>
      <w:r w:rsidR="00C35794">
        <w:rPr>
          <w:rFonts w:ascii="Myriad Pro" w:hAnsi="Myriad Pro"/>
          <w:sz w:val="22"/>
          <w:szCs w:val="22"/>
        </w:rPr>
        <w:t>We present a description of data comparison to the GLO</w:t>
      </w:r>
      <w:r w:rsidR="00B17821">
        <w:rPr>
          <w:rFonts w:ascii="Myriad Pro" w:hAnsi="Myriad Pro"/>
          <w:sz w:val="22"/>
          <w:szCs w:val="22"/>
        </w:rPr>
        <w:t xml:space="preserve">RICH river chemistry database. </w:t>
      </w:r>
      <w:bookmarkStart w:id="0" w:name="_GoBack"/>
      <w:bookmarkEnd w:id="0"/>
      <w:r w:rsidR="00A273C0">
        <w:rPr>
          <w:rFonts w:ascii="Myriad Pro" w:hAnsi="Myriad Pro"/>
          <w:sz w:val="22"/>
          <w:szCs w:val="22"/>
        </w:rPr>
        <w:t xml:space="preserve">For completeness of illustrating the dataset, we also include figures for all the measured and calculated parameters broken out by embayment. </w:t>
      </w:r>
    </w:p>
    <w:p w14:paraId="667D8CA8" w14:textId="5E947D67" w:rsidR="00015F74" w:rsidRPr="005314B5" w:rsidRDefault="00015F74" w:rsidP="00B9440A">
      <w:pPr>
        <w:pStyle w:val="SMHeading"/>
        <w:rPr>
          <w:rFonts w:ascii="Myriad Pro" w:hAnsi="Myriad Pro"/>
          <w:sz w:val="22"/>
          <w:szCs w:val="22"/>
        </w:rPr>
      </w:pPr>
      <w:r w:rsidRPr="005314B5">
        <w:rPr>
          <w:rFonts w:ascii="Myriad Pro" w:hAnsi="Myriad Pro"/>
          <w:sz w:val="22"/>
          <w:szCs w:val="22"/>
        </w:rPr>
        <w:t>Text</w:t>
      </w:r>
      <w:r w:rsidR="00D60BB0">
        <w:rPr>
          <w:rFonts w:ascii="Myriad Pro" w:hAnsi="Myriad Pro"/>
          <w:sz w:val="22"/>
          <w:szCs w:val="22"/>
        </w:rPr>
        <w:t xml:space="preserve"> S1.</w:t>
      </w:r>
      <w:r w:rsidR="00C566F6">
        <w:rPr>
          <w:rFonts w:ascii="Myriad Pro" w:hAnsi="Myriad Pro"/>
          <w:sz w:val="22"/>
          <w:szCs w:val="22"/>
        </w:rPr>
        <w:t xml:space="preserve"> Uncertainty of mixing curves</w:t>
      </w:r>
    </w:p>
    <w:p w14:paraId="0F8D52A6" w14:textId="77777777" w:rsidR="00A273C0" w:rsidRDefault="00A273C0" w:rsidP="000F58A3">
      <w:pPr>
        <w:spacing w:before="100" w:beforeAutospacing="1" w:after="100" w:afterAutospacing="1"/>
        <w:ind w:firstLine="720"/>
        <w:rPr>
          <w:rFonts w:ascii="Myriad Pro" w:hAnsi="Myriad Pro"/>
          <w:sz w:val="22"/>
          <w:szCs w:val="22"/>
        </w:rPr>
      </w:pPr>
      <w:r>
        <w:rPr>
          <w:rFonts w:ascii="Myriad Pro" w:hAnsi="Myriad Pro"/>
          <w:sz w:val="22"/>
          <w:szCs w:val="22"/>
        </w:rPr>
        <w:t xml:space="preserve">Conservative mixing lines were generated from freshwater samples collected in upper the Agawam River, which feeds into the Wareham River Estuary, in upper Buzzards Bay and seawater samples collected in the open waters of Buzzards Bay. Our freshwater dataset is limited in size (n = 6) because these samples were not part of our original sampling design, but rather collected as part of a separate project. There was also considerable variation in our freshwater data, leading to the question of how sensitive our results are to the choice of freshwater endmember in particular. </w:t>
      </w:r>
    </w:p>
    <w:p w14:paraId="3BA86845" w14:textId="15BF050B" w:rsidR="00A273C0" w:rsidRDefault="00A273C0" w:rsidP="000F58A3">
      <w:pPr>
        <w:spacing w:before="100" w:beforeAutospacing="1" w:after="100" w:afterAutospacing="1"/>
        <w:ind w:firstLine="720"/>
        <w:rPr>
          <w:rFonts w:ascii="Myriad Pro" w:hAnsi="Myriad Pro"/>
          <w:sz w:val="22"/>
          <w:szCs w:val="22"/>
        </w:rPr>
      </w:pPr>
      <w:r>
        <w:rPr>
          <w:rFonts w:ascii="Myriad Pro" w:hAnsi="Myriad Pro"/>
          <w:sz w:val="22"/>
          <w:szCs w:val="22"/>
        </w:rPr>
        <w:t xml:space="preserve">The sensitivity of these results were explored through a bootstrapping analysis where DIC and ALK were resampled from both the seawater and freshwater endmembers to generate a distribution of conservative mixing lines. The effects of the number of times the DIC and ALK data were resampled was tested using n = 100, 200, and 400, and the distributions of results were not different when resampling 200 or 400 times.    </w:t>
      </w:r>
    </w:p>
    <w:p w14:paraId="5C31333D" w14:textId="050A588B" w:rsidR="00C566F6" w:rsidRDefault="00C566F6" w:rsidP="00C566F6">
      <w:pPr>
        <w:spacing w:before="100" w:beforeAutospacing="1" w:after="100" w:afterAutospacing="1"/>
        <w:ind w:firstLine="720"/>
        <w:rPr>
          <w:rFonts w:ascii="Myriad Pro" w:hAnsi="Myriad Pro"/>
          <w:sz w:val="22"/>
          <w:szCs w:val="22"/>
        </w:rPr>
      </w:pPr>
      <w:r>
        <w:rPr>
          <w:rFonts w:ascii="Myriad Pro" w:hAnsi="Myriad Pro"/>
          <w:sz w:val="22"/>
          <w:szCs w:val="22"/>
        </w:rPr>
        <w:t>Using the distribution of results from Figure S3, s</w:t>
      </w:r>
      <w:r w:rsidRPr="003E7A9D">
        <w:rPr>
          <w:rFonts w:ascii="Myriad Pro" w:hAnsi="Myriad Pro"/>
          <w:sz w:val="22"/>
          <w:szCs w:val="22"/>
        </w:rPr>
        <w:t xml:space="preserve">tandard deviations from each site </w:t>
      </w:r>
      <w:r>
        <w:rPr>
          <w:rFonts w:ascii="Myriad Pro" w:hAnsi="Myriad Pro"/>
          <w:sz w:val="22"/>
          <w:szCs w:val="22"/>
        </w:rPr>
        <w:t>were</w:t>
      </w:r>
      <w:r w:rsidRPr="003E7A9D">
        <w:rPr>
          <w:rFonts w:ascii="Myriad Pro" w:hAnsi="Myriad Pro"/>
          <w:sz w:val="22"/>
          <w:szCs w:val="22"/>
        </w:rPr>
        <w:t xml:space="preserve"> used to provide an estimate of uncertainty </w:t>
      </w:r>
      <w:r>
        <w:rPr>
          <w:rFonts w:ascii="Myriad Pro" w:hAnsi="Myriad Pro"/>
          <w:sz w:val="22"/>
          <w:szCs w:val="22"/>
        </w:rPr>
        <w:t xml:space="preserve">associated with the DIC and ALK conservative mixing lines. This uncertainty was propagated with the measurement variability to estimate a total uncertainty for each </w:t>
      </w:r>
      <w:r>
        <w:rPr>
          <w:rFonts w:ascii="Corbel" w:hAnsi="Corbel"/>
          <w:sz w:val="22"/>
          <w:szCs w:val="22"/>
        </w:rPr>
        <w:t>∆Ω</w:t>
      </w:r>
      <w:r>
        <w:rPr>
          <w:rFonts w:ascii="Myriad Pro" w:hAnsi="Myriad Pro"/>
          <w:sz w:val="22"/>
          <w:szCs w:val="22"/>
          <w:vertAlign w:val="subscript"/>
        </w:rPr>
        <w:t>BGC</w:t>
      </w:r>
      <w:r>
        <w:rPr>
          <w:rFonts w:ascii="Myriad Pro" w:hAnsi="Myriad Pro"/>
          <w:sz w:val="22"/>
          <w:szCs w:val="22"/>
        </w:rPr>
        <w:t xml:space="preserve"> station summer mean and incorporated in the type-II linear regression used to estimate </w:t>
      </w:r>
      <w:r>
        <w:rPr>
          <w:rFonts w:ascii="Corbel" w:hAnsi="Corbel"/>
          <w:sz w:val="22"/>
          <w:szCs w:val="22"/>
        </w:rPr>
        <w:t>∆Ω</w:t>
      </w:r>
      <w:r>
        <w:rPr>
          <w:rFonts w:ascii="Myriad Pro" w:hAnsi="Myriad Pro"/>
          <w:sz w:val="22"/>
          <w:szCs w:val="22"/>
          <w:vertAlign w:val="subscript"/>
        </w:rPr>
        <w:t>BGC</w:t>
      </w:r>
      <w:r>
        <w:rPr>
          <w:rFonts w:ascii="Myriad Pro" w:hAnsi="Myriad Pro"/>
          <w:sz w:val="22"/>
          <w:szCs w:val="22"/>
        </w:rPr>
        <w:t xml:space="preserve"> improvements under TMDL and No Load scenarios.</w:t>
      </w:r>
    </w:p>
    <w:p w14:paraId="28FCBF9A" w14:textId="748A479E" w:rsidR="00A273C0" w:rsidRDefault="00A273C0" w:rsidP="00A273C0">
      <w:pPr>
        <w:spacing w:before="100" w:beforeAutospacing="1" w:after="100" w:afterAutospacing="1"/>
        <w:rPr>
          <w:rFonts w:ascii="Myriad Pro" w:hAnsi="Myriad Pro"/>
          <w:sz w:val="22"/>
          <w:szCs w:val="22"/>
        </w:rPr>
      </w:pPr>
      <w:r>
        <w:rPr>
          <w:rFonts w:ascii="Myriad Pro" w:hAnsi="Myriad Pro"/>
          <w:noProof/>
          <w:sz w:val="22"/>
          <w:szCs w:val="22"/>
        </w:rPr>
        <w:drawing>
          <wp:inline distT="0" distB="0" distL="0" distR="0" wp14:anchorId="034F2CE6" wp14:editId="0F7A1EA4">
            <wp:extent cx="548640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466975"/>
                    </a:xfrm>
                    <a:prstGeom prst="rect">
                      <a:avLst/>
                    </a:prstGeom>
                  </pic:spPr>
                </pic:pic>
              </a:graphicData>
            </a:graphic>
          </wp:inline>
        </w:drawing>
      </w:r>
    </w:p>
    <w:p w14:paraId="2A630BF5" w14:textId="72DE2027" w:rsidR="003E1980" w:rsidRPr="005314B5" w:rsidRDefault="00227D86" w:rsidP="003E1980">
      <w:pPr>
        <w:pStyle w:val="SMHeading"/>
        <w:rPr>
          <w:rFonts w:ascii="Myriad Pro" w:hAnsi="Myriad Pro"/>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A273C0" w:rsidRPr="00A273C0">
        <w:rPr>
          <w:rFonts w:ascii="Myriad Pro" w:hAnsi="Myriad Pro"/>
          <w:b w:val="0"/>
          <w:sz w:val="22"/>
          <w:szCs w:val="22"/>
        </w:rPr>
        <w:t>Results of bootstrapping analysis of freshwater and seawater endmembers. Black lines are individual bootstrapped mixing lines (n = 400), blue circles are the estuarine observations, and green circles are the observed fresh- and seawater endmembers.</w:t>
      </w:r>
      <w:r w:rsidR="00A273C0">
        <w:rPr>
          <w:rFonts w:ascii="Myriad Pro" w:hAnsi="Myriad Pro"/>
          <w:sz w:val="22"/>
          <w:szCs w:val="22"/>
        </w:rPr>
        <w:t xml:space="preserve"> </w:t>
      </w:r>
      <w:r w:rsidR="00112C5B" w:rsidRPr="005314B5">
        <w:rPr>
          <w:rFonts w:ascii="Myriad Pro" w:hAnsi="Myriad Pro"/>
          <w:b w:val="0"/>
          <w:sz w:val="22"/>
          <w:szCs w:val="22"/>
        </w:rPr>
        <w:t xml:space="preserve"> </w:t>
      </w:r>
      <w:r w:rsidR="00112C5B" w:rsidRPr="005314B5">
        <w:rPr>
          <w:rFonts w:ascii="Myriad Pro" w:hAnsi="Myriad Pro"/>
          <w:sz w:val="22"/>
          <w:szCs w:val="22"/>
        </w:rPr>
        <w:t xml:space="preserve"> </w:t>
      </w:r>
    </w:p>
    <w:p w14:paraId="34CE76F8" w14:textId="77777777" w:rsidR="005314B5" w:rsidRDefault="005314B5" w:rsidP="00477182">
      <w:pPr>
        <w:pStyle w:val="SMcaption"/>
        <w:rPr>
          <w:rFonts w:ascii="Myriad Pro" w:hAnsi="Myriad Pro"/>
          <w:sz w:val="22"/>
          <w:szCs w:val="22"/>
        </w:rPr>
      </w:pPr>
    </w:p>
    <w:p w14:paraId="43B2E424" w14:textId="72F19EBA" w:rsidR="005047B2" w:rsidRPr="005047B2" w:rsidRDefault="002665CE" w:rsidP="003E7A9D">
      <w:pPr>
        <w:pStyle w:val="SMcaption"/>
        <w:jc w:val="center"/>
        <w:rPr>
          <w:rFonts w:ascii="Myriad Pro" w:hAnsi="Myriad Pro"/>
          <w:sz w:val="22"/>
          <w:szCs w:val="22"/>
        </w:rPr>
      </w:pPr>
      <w:r>
        <w:rPr>
          <w:rFonts w:ascii="Myriad Pro" w:hAnsi="Myriad Pro"/>
          <w:noProof/>
          <w:sz w:val="22"/>
          <w:szCs w:val="22"/>
        </w:rPr>
        <w:drawing>
          <wp:inline distT="0" distB="0" distL="0" distR="0" wp14:anchorId="3A63337E" wp14:editId="1E32912D">
            <wp:extent cx="4105275" cy="307895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217" cy="3083413"/>
                    </a:xfrm>
                    <a:prstGeom prst="rect">
                      <a:avLst/>
                    </a:prstGeom>
                  </pic:spPr>
                </pic:pic>
              </a:graphicData>
            </a:graphic>
          </wp:inline>
        </w:drawing>
      </w:r>
    </w:p>
    <w:p w14:paraId="5AD8F9CD" w14:textId="0E896935" w:rsidR="005047B2" w:rsidRPr="005314B5" w:rsidRDefault="005047B2" w:rsidP="005047B2">
      <w:pPr>
        <w:pStyle w:val="SMHeading"/>
        <w:rPr>
          <w:rFonts w:ascii="Myriad Pro" w:hAnsi="Myriad Pro"/>
          <w:sz w:val="22"/>
          <w:szCs w:val="22"/>
        </w:rPr>
      </w:pPr>
      <w:r>
        <w:rPr>
          <w:rFonts w:ascii="Myriad Pro" w:hAnsi="Myriad Pro"/>
          <w:sz w:val="22"/>
          <w:szCs w:val="22"/>
        </w:rPr>
        <w:t>Figure S2</w:t>
      </w:r>
      <w:r w:rsidRPr="005314B5">
        <w:rPr>
          <w:rFonts w:ascii="Myriad Pro" w:hAnsi="Myriad Pro"/>
          <w:sz w:val="22"/>
          <w:szCs w:val="22"/>
        </w:rPr>
        <w:t xml:space="preserve">. </w:t>
      </w:r>
      <w:r w:rsidRPr="00A273C0">
        <w:rPr>
          <w:rFonts w:ascii="Myriad Pro" w:hAnsi="Myriad Pro"/>
          <w:b w:val="0"/>
          <w:sz w:val="22"/>
          <w:szCs w:val="22"/>
        </w:rPr>
        <w:t xml:space="preserve">Results of bootstrapping analysis of freshwater and seawater endmembers. Black lines are bootstrapped mixing lines </w:t>
      </w:r>
      <w:r>
        <w:rPr>
          <w:rFonts w:ascii="Myriad Pro" w:hAnsi="Myriad Pro"/>
          <w:b w:val="0"/>
          <w:sz w:val="22"/>
          <w:szCs w:val="22"/>
        </w:rPr>
        <w:t xml:space="preserve">for aragonite saturation state </w:t>
      </w:r>
      <w:r w:rsidRPr="00A273C0">
        <w:rPr>
          <w:rFonts w:ascii="Myriad Pro" w:hAnsi="Myriad Pro"/>
          <w:b w:val="0"/>
          <w:sz w:val="22"/>
          <w:szCs w:val="22"/>
        </w:rPr>
        <w:t>(</w:t>
      </w:r>
      <w:r>
        <w:rPr>
          <w:rFonts w:ascii="Corbel" w:hAnsi="Corbel"/>
          <w:b w:val="0"/>
          <w:sz w:val="22"/>
          <w:szCs w:val="22"/>
        </w:rPr>
        <w:t>Ω</w:t>
      </w:r>
      <w:r>
        <w:rPr>
          <w:rFonts w:ascii="Corbel" w:hAnsi="Corbel"/>
          <w:b w:val="0"/>
          <w:sz w:val="22"/>
          <w:szCs w:val="22"/>
          <w:vertAlign w:val="subscript"/>
        </w:rPr>
        <w:t>Ar</w:t>
      </w:r>
      <w:r>
        <w:rPr>
          <w:rFonts w:ascii="Corbel" w:hAnsi="Corbel"/>
          <w:b w:val="0"/>
          <w:sz w:val="22"/>
          <w:szCs w:val="22"/>
        </w:rPr>
        <w:t>,</w:t>
      </w:r>
      <w:r>
        <w:rPr>
          <w:rFonts w:ascii="Myriad Pro" w:hAnsi="Myriad Pro"/>
          <w:b w:val="0"/>
          <w:sz w:val="22"/>
          <w:szCs w:val="22"/>
        </w:rPr>
        <w:t xml:space="preserve"> </w:t>
      </w:r>
      <w:r w:rsidRPr="00A273C0">
        <w:rPr>
          <w:rFonts w:ascii="Myriad Pro" w:hAnsi="Myriad Pro"/>
          <w:b w:val="0"/>
          <w:sz w:val="22"/>
          <w:szCs w:val="22"/>
        </w:rPr>
        <w:t xml:space="preserve">n = 400), </w:t>
      </w:r>
      <w:r>
        <w:rPr>
          <w:rFonts w:ascii="Myriad Pro" w:hAnsi="Myriad Pro"/>
          <w:b w:val="0"/>
          <w:sz w:val="22"/>
          <w:szCs w:val="22"/>
        </w:rPr>
        <w:t xml:space="preserve">calculated from DIC and ALK lines shown in Figure S1 and using the mean temperature from the seawater reference station (CBB1). Observations are shown as colored circles where the color is </w:t>
      </w:r>
      <w:r w:rsidR="003E7A9D">
        <w:rPr>
          <w:rFonts w:ascii="Myriad Pro" w:hAnsi="Myriad Pro"/>
          <w:b w:val="0"/>
          <w:sz w:val="22"/>
          <w:szCs w:val="22"/>
        </w:rPr>
        <w:t>apparent oxygen utilization (</w:t>
      </w:r>
      <w:r w:rsidR="003E7A9D">
        <w:rPr>
          <w:rFonts w:ascii="Corbel" w:hAnsi="Corbel"/>
          <w:b w:val="0"/>
          <w:sz w:val="22"/>
          <w:szCs w:val="22"/>
        </w:rPr>
        <w:t>µ</w:t>
      </w:r>
      <w:r w:rsidR="003E7A9D">
        <w:rPr>
          <w:rFonts w:ascii="Myriad Pro" w:hAnsi="Myriad Pro"/>
          <w:b w:val="0"/>
          <w:sz w:val="22"/>
          <w:szCs w:val="22"/>
        </w:rPr>
        <w:t>M</w:t>
      </w:r>
      <w:r>
        <w:rPr>
          <w:rFonts w:ascii="Myriad Pro" w:hAnsi="Myriad Pro"/>
          <w:b w:val="0"/>
          <w:sz w:val="22"/>
          <w:szCs w:val="22"/>
        </w:rPr>
        <w:t>)</w:t>
      </w:r>
      <w:r w:rsidRPr="00A273C0">
        <w:rPr>
          <w:rFonts w:ascii="Myriad Pro" w:hAnsi="Myriad Pro"/>
          <w:b w:val="0"/>
          <w:sz w:val="22"/>
          <w:szCs w:val="22"/>
        </w:rPr>
        <w:t>.</w:t>
      </w:r>
      <w:r>
        <w:rPr>
          <w:rFonts w:ascii="Myriad Pro" w:hAnsi="Myriad Pro"/>
          <w:sz w:val="22"/>
          <w:szCs w:val="22"/>
        </w:rPr>
        <w:t xml:space="preserve"> </w:t>
      </w:r>
      <w:r w:rsidRPr="005314B5">
        <w:rPr>
          <w:rFonts w:ascii="Myriad Pro" w:hAnsi="Myriad Pro"/>
          <w:b w:val="0"/>
          <w:sz w:val="22"/>
          <w:szCs w:val="22"/>
        </w:rPr>
        <w:t xml:space="preserve"> </w:t>
      </w:r>
      <w:r w:rsidRPr="005314B5">
        <w:rPr>
          <w:rFonts w:ascii="Myriad Pro" w:hAnsi="Myriad Pro"/>
          <w:sz w:val="22"/>
          <w:szCs w:val="22"/>
        </w:rPr>
        <w:t xml:space="preserve"> </w:t>
      </w:r>
    </w:p>
    <w:p w14:paraId="536FBD37" w14:textId="390B0132" w:rsidR="003E7A9D" w:rsidRDefault="002665CE" w:rsidP="003E7A9D">
      <w:pPr>
        <w:pStyle w:val="SMcaption"/>
        <w:jc w:val="center"/>
        <w:rPr>
          <w:rFonts w:ascii="Myriad Pro" w:hAnsi="Myriad Pro"/>
          <w:b/>
          <w:i/>
          <w:sz w:val="22"/>
          <w:szCs w:val="22"/>
        </w:rPr>
      </w:pPr>
      <w:r>
        <w:rPr>
          <w:rFonts w:ascii="Myriad Pro" w:hAnsi="Myriad Pro"/>
          <w:b/>
          <w:i/>
          <w:noProof/>
          <w:sz w:val="22"/>
          <w:szCs w:val="22"/>
        </w:rPr>
        <w:drawing>
          <wp:inline distT="0" distB="0" distL="0" distR="0" wp14:anchorId="7639BE37" wp14:editId="723A398F">
            <wp:extent cx="5486400" cy="2464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464435"/>
                    </a:xfrm>
                    <a:prstGeom prst="rect">
                      <a:avLst/>
                    </a:prstGeom>
                  </pic:spPr>
                </pic:pic>
              </a:graphicData>
            </a:graphic>
          </wp:inline>
        </w:drawing>
      </w:r>
    </w:p>
    <w:p w14:paraId="2136C3CD" w14:textId="28E334FF" w:rsidR="00C566F6" w:rsidRDefault="003E7A9D" w:rsidP="00C566F6">
      <w:pPr>
        <w:pStyle w:val="SMHeading"/>
        <w:rPr>
          <w:rFonts w:ascii="Myriad Pro" w:hAnsi="Myriad Pro"/>
          <w:b w:val="0"/>
          <w:i/>
          <w:sz w:val="22"/>
          <w:szCs w:val="22"/>
        </w:rPr>
      </w:pPr>
      <w:r>
        <w:rPr>
          <w:rFonts w:ascii="Myriad Pro" w:hAnsi="Myriad Pro"/>
          <w:sz w:val="22"/>
          <w:szCs w:val="22"/>
        </w:rPr>
        <w:t>Figure S3</w:t>
      </w:r>
      <w:r w:rsidRPr="005314B5">
        <w:rPr>
          <w:rFonts w:ascii="Myriad Pro" w:hAnsi="Myriad Pro"/>
          <w:sz w:val="22"/>
          <w:szCs w:val="22"/>
        </w:rPr>
        <w:t xml:space="preserve">. </w:t>
      </w:r>
      <w:r>
        <w:rPr>
          <w:rFonts w:ascii="Myriad Pro" w:hAnsi="Myriad Pro"/>
          <w:b w:val="0"/>
          <w:sz w:val="22"/>
          <w:szCs w:val="22"/>
        </w:rPr>
        <w:t xml:space="preserve">Histograms of the </w:t>
      </w:r>
      <w:r>
        <w:rPr>
          <w:rFonts w:ascii="Corbel" w:hAnsi="Corbel"/>
          <w:b w:val="0"/>
          <w:sz w:val="22"/>
          <w:szCs w:val="22"/>
        </w:rPr>
        <w:t>∆Ω</w:t>
      </w:r>
      <w:r>
        <w:rPr>
          <w:rFonts w:ascii="Corbel" w:hAnsi="Corbel"/>
          <w:b w:val="0"/>
          <w:sz w:val="22"/>
          <w:szCs w:val="22"/>
          <w:vertAlign w:val="subscript"/>
        </w:rPr>
        <w:t>BGC</w:t>
      </w:r>
      <w:r>
        <w:rPr>
          <w:rFonts w:ascii="Corbel" w:hAnsi="Corbel"/>
          <w:b w:val="0"/>
          <w:sz w:val="22"/>
          <w:szCs w:val="22"/>
        </w:rPr>
        <w:t xml:space="preserve"> parameter calculated as a r</w:t>
      </w:r>
      <w:r w:rsidRPr="00A273C0">
        <w:rPr>
          <w:rFonts w:ascii="Myriad Pro" w:hAnsi="Myriad Pro"/>
          <w:b w:val="0"/>
          <w:sz w:val="22"/>
          <w:szCs w:val="22"/>
        </w:rPr>
        <w:t xml:space="preserve">esult of </w:t>
      </w:r>
      <w:r>
        <w:rPr>
          <w:rFonts w:ascii="Myriad Pro" w:hAnsi="Myriad Pro"/>
          <w:b w:val="0"/>
          <w:sz w:val="22"/>
          <w:szCs w:val="22"/>
        </w:rPr>
        <w:t xml:space="preserve">the </w:t>
      </w:r>
      <w:r w:rsidRPr="00A273C0">
        <w:rPr>
          <w:rFonts w:ascii="Myriad Pro" w:hAnsi="Myriad Pro"/>
          <w:b w:val="0"/>
          <w:sz w:val="22"/>
          <w:szCs w:val="22"/>
        </w:rPr>
        <w:t>bootstrapp</w:t>
      </w:r>
      <w:r>
        <w:rPr>
          <w:rFonts w:ascii="Myriad Pro" w:hAnsi="Myriad Pro"/>
          <w:b w:val="0"/>
          <w:sz w:val="22"/>
          <w:szCs w:val="22"/>
        </w:rPr>
        <w:t>ed</w:t>
      </w:r>
      <w:r w:rsidRPr="00A273C0">
        <w:rPr>
          <w:rFonts w:ascii="Myriad Pro" w:hAnsi="Myriad Pro"/>
          <w:b w:val="0"/>
          <w:sz w:val="22"/>
          <w:szCs w:val="22"/>
        </w:rPr>
        <w:t xml:space="preserve"> freshwater and seawater endmembers</w:t>
      </w:r>
      <w:r>
        <w:rPr>
          <w:rFonts w:ascii="Myriad Pro" w:hAnsi="Myriad Pro"/>
          <w:b w:val="0"/>
          <w:sz w:val="22"/>
          <w:szCs w:val="22"/>
        </w:rPr>
        <w:t xml:space="preserve"> (n = 400)</w:t>
      </w:r>
      <w:r w:rsidRPr="00A273C0">
        <w:rPr>
          <w:rFonts w:ascii="Myriad Pro" w:hAnsi="Myriad Pro"/>
          <w:b w:val="0"/>
          <w:sz w:val="22"/>
          <w:szCs w:val="22"/>
        </w:rPr>
        <w:t xml:space="preserve">. </w:t>
      </w:r>
      <w:r>
        <w:rPr>
          <w:rFonts w:ascii="Myriad Pro" w:hAnsi="Myriad Pro"/>
          <w:b w:val="0"/>
          <w:sz w:val="22"/>
          <w:szCs w:val="22"/>
        </w:rPr>
        <w:t xml:space="preserve">Histograms are colored by inner harbors (red), outer harbors (blue) and the coastal </w:t>
      </w:r>
      <w:r w:rsidR="00C566F6">
        <w:rPr>
          <w:rFonts w:ascii="Myriad Pro" w:hAnsi="Myriad Pro"/>
          <w:b w:val="0"/>
          <w:sz w:val="22"/>
          <w:szCs w:val="22"/>
        </w:rPr>
        <w:t>reference station CBB1 (black).</w:t>
      </w:r>
    </w:p>
    <w:p w14:paraId="1D37C8E9" w14:textId="17FC4AF3" w:rsidR="00C566F6" w:rsidRPr="005314B5" w:rsidRDefault="00C566F6" w:rsidP="00C566F6">
      <w:pPr>
        <w:pStyle w:val="SMHeading"/>
        <w:rPr>
          <w:rFonts w:ascii="Myriad Pro" w:hAnsi="Myriad Pro"/>
          <w:sz w:val="22"/>
          <w:szCs w:val="22"/>
        </w:rPr>
      </w:pPr>
      <w:r>
        <w:rPr>
          <w:rFonts w:ascii="Myriad Pro" w:hAnsi="Myriad Pro"/>
          <w:sz w:val="22"/>
          <w:szCs w:val="22"/>
        </w:rPr>
        <w:t xml:space="preserve">Text S2. </w:t>
      </w:r>
      <w:r w:rsidRPr="005314B5">
        <w:rPr>
          <w:rFonts w:ascii="Myriad Pro" w:hAnsi="Myriad Pro"/>
          <w:b w:val="0"/>
          <w:sz w:val="22"/>
          <w:szCs w:val="22"/>
        </w:rPr>
        <w:t xml:space="preserve"> </w:t>
      </w:r>
      <w:r w:rsidRPr="005314B5">
        <w:rPr>
          <w:rFonts w:ascii="Myriad Pro" w:hAnsi="Myriad Pro"/>
          <w:sz w:val="22"/>
          <w:szCs w:val="22"/>
        </w:rPr>
        <w:t xml:space="preserve"> </w:t>
      </w:r>
      <w:r>
        <w:rPr>
          <w:rFonts w:ascii="Myriad Pro" w:hAnsi="Myriad Pro"/>
          <w:sz w:val="22"/>
          <w:szCs w:val="22"/>
        </w:rPr>
        <w:t>Estimates of the influence of anthropogenic carbon emissions on Buzzards Bay</w:t>
      </w:r>
    </w:p>
    <w:p w14:paraId="69216124" w14:textId="5624BFDB" w:rsidR="00586E57" w:rsidRDefault="00C566F6" w:rsidP="00586E57">
      <w:pPr>
        <w:pStyle w:val="SMcaption"/>
        <w:rPr>
          <w:rFonts w:ascii="Myriad Pro" w:hAnsi="Myriad Pro"/>
          <w:sz w:val="22"/>
          <w:szCs w:val="22"/>
        </w:rPr>
      </w:pPr>
      <w:r>
        <w:rPr>
          <w:rFonts w:ascii="Myriad Pro" w:hAnsi="Myriad Pro"/>
          <w:sz w:val="22"/>
          <w:szCs w:val="22"/>
        </w:rPr>
        <w:t xml:space="preserve">To put our eutrophication results into context, we explored how anthropogenic carbon emissions have affected the carbonate system of Buzzards Bay. Our data were collected from 2015-2017, which for this period had a global average CO2 concentration of 402.6 ppm (NOAA ESRL).  To estimate the influence of anthropogenic carbon emissions on our data, we calculated a new mixing curve as follows: </w:t>
      </w:r>
    </w:p>
    <w:p w14:paraId="5AE12373" w14:textId="77777777" w:rsidR="00586E57" w:rsidRDefault="00586E57" w:rsidP="00586E57">
      <w:pPr>
        <w:pStyle w:val="SMcaption"/>
        <w:rPr>
          <w:rFonts w:ascii="Myriad Pro" w:hAnsi="Myriad Pro"/>
          <w:sz w:val="22"/>
          <w:szCs w:val="22"/>
        </w:rPr>
      </w:pPr>
    </w:p>
    <w:p w14:paraId="125FA26C" w14:textId="0853EDED" w:rsidR="00C566F6" w:rsidRPr="00586E57" w:rsidRDefault="004B184B" w:rsidP="00586E57">
      <w:pPr>
        <w:pStyle w:val="SMcaption"/>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pCO</m:t>
              </m:r>
            </m:e>
            <m:sub>
              <m:r>
                <w:rPr>
                  <w:rFonts w:ascii="Cambria Math" w:hAnsi="Cambria Math"/>
                  <w:sz w:val="22"/>
                  <w:szCs w:val="22"/>
                </w:rPr>
                <m:t>2-pre</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pCO</m:t>
                  </m:r>
                </m:e>
                <m:sub>
                  <m:r>
                    <w:rPr>
                      <w:rFonts w:ascii="Cambria Math" w:hAnsi="Cambria Math"/>
                      <w:sz w:val="22"/>
                      <w:szCs w:val="22"/>
                    </w:rPr>
                    <m:t>2-CBB1</m:t>
                  </m:r>
                </m:sub>
              </m:sSub>
            </m:e>
          </m:acc>
          <m:r>
            <w:rPr>
              <w:rFonts w:ascii="Cambria Math" w:hAnsi="Cambria Math"/>
              <w:sz w:val="22"/>
              <w:szCs w:val="22"/>
            </w:rPr>
            <m:t>-402.6)+280</m:t>
          </m:r>
        </m:oMath>
      </m:oMathPara>
    </w:p>
    <w:p w14:paraId="16DB5931" w14:textId="77777777" w:rsidR="00586E57" w:rsidRPr="00586E57" w:rsidRDefault="00586E57" w:rsidP="00586E57">
      <w:pPr>
        <w:pStyle w:val="SMcaption"/>
        <w:rPr>
          <w:rFonts w:ascii="Myriad Pro" w:hAnsi="Myriad Pro"/>
          <w:sz w:val="22"/>
          <w:szCs w:val="22"/>
        </w:rPr>
      </w:pPr>
    </w:p>
    <w:p w14:paraId="3799F46B" w14:textId="4949E839" w:rsidR="00586E57" w:rsidRDefault="00586E57" w:rsidP="00586E57">
      <w:pPr>
        <w:pStyle w:val="SMcaption"/>
        <w:rPr>
          <w:rFonts w:ascii="Myriad Pro" w:hAnsi="Myriad Pro"/>
          <w:sz w:val="22"/>
          <w:szCs w:val="22"/>
        </w:rPr>
      </w:pPr>
      <w:r>
        <w:rPr>
          <w:rFonts w:ascii="Myriad Pro" w:hAnsi="Myriad Pro"/>
          <w:sz w:val="22"/>
          <w:szCs w:val="22"/>
        </w:rPr>
        <w:t xml:space="preserve">Where </w:t>
      </w:r>
      <m:oMath>
        <m:sSub>
          <m:sSubPr>
            <m:ctrlPr>
              <w:rPr>
                <w:rFonts w:ascii="Cambria Math" w:hAnsi="Cambria Math"/>
                <w:i/>
                <w:sz w:val="22"/>
                <w:szCs w:val="22"/>
              </w:rPr>
            </m:ctrlPr>
          </m:sSubPr>
          <m:e>
            <m:r>
              <w:rPr>
                <w:rFonts w:ascii="Cambria Math" w:hAnsi="Cambria Math"/>
                <w:sz w:val="22"/>
                <w:szCs w:val="22"/>
              </w:rPr>
              <m:t>pCO</m:t>
            </m:r>
          </m:e>
          <m:sub>
            <m:r>
              <w:rPr>
                <w:rFonts w:ascii="Cambria Math" w:hAnsi="Cambria Math"/>
                <w:sz w:val="22"/>
                <w:szCs w:val="22"/>
              </w:rPr>
              <m:t>2-CBB1</m:t>
            </m:r>
          </m:sub>
        </m:sSub>
      </m:oMath>
      <w:r>
        <w:rPr>
          <w:rFonts w:ascii="Myriad Pro" w:hAnsi="Myriad Pro"/>
          <w:sz w:val="22"/>
          <w:szCs w:val="22"/>
        </w:rPr>
        <w:t xml:space="preserve"> is the pCO2 estimated at the coastal seawater endmember calculated from sample DIC, TA, T, and S and the overbar indicates averaging. We estimate that preindustrial average pCO2 was 280 ppm. </w:t>
      </w:r>
    </w:p>
    <w:p w14:paraId="335EBE73" w14:textId="77777777" w:rsidR="00586E57" w:rsidRDefault="00586E57" w:rsidP="00586E57">
      <w:pPr>
        <w:pStyle w:val="SMcaption"/>
        <w:rPr>
          <w:rFonts w:ascii="Myriad Pro" w:hAnsi="Myriad Pro"/>
          <w:sz w:val="22"/>
          <w:szCs w:val="22"/>
        </w:rPr>
      </w:pPr>
    </w:p>
    <w:p w14:paraId="2B57CD29" w14:textId="2B10BD35" w:rsidR="00586E57" w:rsidRPr="00586E57" w:rsidRDefault="004B184B" w:rsidP="00C566F6">
      <w:pPr>
        <w:pStyle w:val="SMcaption"/>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DIC</m:t>
              </m:r>
            </m:e>
            <m:sub>
              <m:r>
                <w:rPr>
                  <w:rFonts w:ascii="Cambria Math" w:hAnsi="Cambria Math"/>
                  <w:sz w:val="22"/>
                  <w:szCs w:val="22"/>
                </w:rPr>
                <m:t>0-pre</m:t>
              </m:r>
            </m:sub>
          </m:sSub>
          <m:r>
            <w:rPr>
              <w:rFonts w:ascii="Cambria Math" w:hAnsi="Cambria Math"/>
              <w:sz w:val="22"/>
              <w:szCs w:val="22"/>
            </w:rPr>
            <m:t>=f(</m:t>
          </m:r>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0</m:t>
                  </m:r>
                </m:sub>
              </m:sSub>
              <m:r>
                <w:rPr>
                  <w:rFonts w:ascii="Cambria Math" w:hAnsi="Cambria Math"/>
                  <w:sz w:val="22"/>
                  <w:szCs w:val="22"/>
                </w:rPr>
                <m:t>,pCO</m:t>
              </m:r>
            </m:e>
            <m:sub>
              <m:r>
                <w:rPr>
                  <w:rFonts w:ascii="Cambria Math" w:hAnsi="Cambria Math"/>
                  <w:sz w:val="22"/>
                  <w:szCs w:val="22"/>
                </w:rPr>
                <m:t>2-pre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ALK</m:t>
              </m:r>
            </m:e>
            <m:sub>
              <m:r>
                <w:rPr>
                  <w:rFonts w:ascii="Cambria Math" w:hAnsi="Cambria Math"/>
                  <w:sz w:val="22"/>
                  <w:szCs w:val="22"/>
                </w:rPr>
                <m:t>0</m:t>
              </m:r>
            </m:sub>
          </m:sSub>
          <m:r>
            <w:rPr>
              <w:rFonts w:ascii="Cambria Math" w:hAnsi="Cambria Math"/>
              <w:sz w:val="22"/>
              <w:szCs w:val="22"/>
            </w:rPr>
            <m:t>)</m:t>
          </m:r>
        </m:oMath>
      </m:oMathPara>
    </w:p>
    <w:p w14:paraId="22F30D49" w14:textId="77777777" w:rsidR="00586E57" w:rsidRPr="00586E57" w:rsidRDefault="00586E57" w:rsidP="00C566F6">
      <w:pPr>
        <w:pStyle w:val="SMcaption"/>
        <w:rPr>
          <w:rFonts w:ascii="Myriad Pro" w:hAnsi="Myriad Pro"/>
          <w:sz w:val="22"/>
          <w:szCs w:val="22"/>
        </w:rPr>
      </w:pPr>
    </w:p>
    <w:p w14:paraId="6540047B" w14:textId="083613D3" w:rsidR="00586E57" w:rsidRDefault="00586E57" w:rsidP="00C566F6">
      <w:pPr>
        <w:pStyle w:val="SMcaption"/>
        <w:rPr>
          <w:rFonts w:ascii="Corbel" w:hAnsi="Corbel"/>
          <w:sz w:val="22"/>
          <w:szCs w:val="22"/>
        </w:rPr>
      </w:pPr>
      <w:r>
        <w:rPr>
          <w:rFonts w:ascii="Myriad Pro" w:hAnsi="Myriad Pro"/>
          <w:sz w:val="22"/>
          <w:szCs w:val="22"/>
        </w:rPr>
        <w:t>Where f indicates the CO2SYS program, and ALK</w:t>
      </w:r>
      <w:r>
        <w:rPr>
          <w:rFonts w:ascii="Myriad Pro" w:hAnsi="Myriad Pro"/>
          <w:sz w:val="22"/>
          <w:szCs w:val="22"/>
          <w:vertAlign w:val="subscript"/>
        </w:rPr>
        <w:t>0</w:t>
      </w:r>
      <w:r>
        <w:rPr>
          <w:rFonts w:ascii="Myriad Pro" w:hAnsi="Myriad Pro"/>
          <w:sz w:val="22"/>
          <w:szCs w:val="22"/>
        </w:rPr>
        <w:t>, T</w:t>
      </w:r>
      <w:r>
        <w:rPr>
          <w:rFonts w:ascii="Myriad Pro" w:hAnsi="Myriad Pro"/>
          <w:sz w:val="22"/>
          <w:szCs w:val="22"/>
          <w:vertAlign w:val="subscript"/>
        </w:rPr>
        <w:t>0</w:t>
      </w:r>
      <w:r>
        <w:rPr>
          <w:rFonts w:ascii="Myriad Pro" w:hAnsi="Myriad Pro"/>
          <w:sz w:val="22"/>
          <w:szCs w:val="22"/>
        </w:rPr>
        <w:t>, and S</w:t>
      </w:r>
      <w:r>
        <w:rPr>
          <w:rFonts w:ascii="Myriad Pro" w:hAnsi="Myriad Pro"/>
          <w:sz w:val="22"/>
          <w:szCs w:val="22"/>
          <w:vertAlign w:val="subscript"/>
        </w:rPr>
        <w:t>0</w:t>
      </w:r>
      <w:r>
        <w:rPr>
          <w:rFonts w:ascii="Myriad Pro" w:hAnsi="Myriad Pro"/>
          <w:sz w:val="22"/>
          <w:szCs w:val="22"/>
        </w:rPr>
        <w:t xml:space="preserve"> are the observed mean coastal seawater total alkalinity, temperature, and salinity, respectively. We then calculate a new mixing line for DIC </w:t>
      </w:r>
      <w:r w:rsidR="009470D2">
        <w:rPr>
          <w:rFonts w:ascii="Myriad Pro" w:hAnsi="Myriad Pro"/>
          <w:sz w:val="22"/>
          <w:szCs w:val="22"/>
        </w:rPr>
        <w:t>(</w:t>
      </w:r>
      <m:oMath>
        <m:sSub>
          <m:sSubPr>
            <m:ctrlPr>
              <w:rPr>
                <w:rFonts w:ascii="Cambria Math" w:hAnsi="Cambria Math"/>
                <w:i/>
                <w:sz w:val="22"/>
                <w:szCs w:val="22"/>
              </w:rPr>
            </m:ctrlPr>
          </m:sSubPr>
          <m:e>
            <m:r>
              <w:rPr>
                <w:rFonts w:ascii="Cambria Math" w:hAnsi="Cambria Math"/>
                <w:sz w:val="22"/>
                <w:szCs w:val="22"/>
              </w:rPr>
              <m:t>DIC</m:t>
            </m:r>
          </m:e>
          <m:sub>
            <m:r>
              <w:rPr>
                <w:rFonts w:ascii="Cambria Math" w:hAnsi="Cambria Math"/>
                <w:sz w:val="22"/>
                <w:szCs w:val="22"/>
              </w:rPr>
              <m:t>pre</m:t>
            </m:r>
          </m:sub>
        </m:sSub>
        <m:r>
          <w:rPr>
            <w:rFonts w:ascii="Cambria Math" w:hAnsi="Cambria Math"/>
            <w:sz w:val="22"/>
            <w:szCs w:val="22"/>
          </w:rPr>
          <m:t xml:space="preserve">) </m:t>
        </m:r>
      </m:oMath>
      <w:r w:rsidR="009470D2">
        <w:rPr>
          <w:rFonts w:ascii="Myriad Pro" w:hAnsi="Myriad Pro"/>
          <w:sz w:val="22"/>
          <w:szCs w:val="22"/>
        </w:rPr>
        <w:t>using</w:t>
      </w:r>
      <w:r>
        <w:rPr>
          <w:rFonts w:ascii="Myriad Pro" w:hAnsi="Myriad Pro"/>
          <w:sz w:val="22"/>
          <w:szCs w:val="22"/>
        </w:rPr>
        <w:t xml:space="preserve"> on the new seawater endmember (</w:t>
      </w:r>
      <m:oMath>
        <m:sSub>
          <m:sSubPr>
            <m:ctrlPr>
              <w:rPr>
                <w:rFonts w:ascii="Cambria Math" w:hAnsi="Cambria Math"/>
                <w:i/>
                <w:sz w:val="22"/>
                <w:szCs w:val="22"/>
              </w:rPr>
            </m:ctrlPr>
          </m:sSubPr>
          <m:e>
            <m:r>
              <w:rPr>
                <w:rFonts w:ascii="Cambria Math" w:hAnsi="Cambria Math"/>
                <w:sz w:val="22"/>
                <w:szCs w:val="22"/>
              </w:rPr>
              <m:t>DIC</m:t>
            </m:r>
          </m:e>
          <m:sub>
            <m:r>
              <w:rPr>
                <w:rFonts w:ascii="Cambria Math" w:hAnsi="Cambria Math"/>
                <w:sz w:val="22"/>
                <w:szCs w:val="22"/>
              </w:rPr>
              <m:t>0-pre</m:t>
            </m:r>
          </m:sub>
        </m:sSub>
      </m:oMath>
      <w:r>
        <w:rPr>
          <w:rFonts w:ascii="Myriad Pro" w:hAnsi="Myriad Pro"/>
          <w:sz w:val="22"/>
          <w:szCs w:val="22"/>
        </w:rPr>
        <w:t>) and assuming the observed freshwater endmember</w:t>
      </w:r>
      <w:r w:rsidR="009133F7">
        <w:rPr>
          <w:rFonts w:ascii="Myriad Pro" w:hAnsi="Myriad Pro"/>
          <w:sz w:val="22"/>
          <w:szCs w:val="22"/>
        </w:rPr>
        <w:t xml:space="preserve"> (Figure S4)</w:t>
      </w:r>
      <w:r>
        <w:rPr>
          <w:rFonts w:ascii="Myriad Pro" w:hAnsi="Myriad Pro"/>
          <w:sz w:val="22"/>
          <w:szCs w:val="22"/>
        </w:rPr>
        <w:t xml:space="preserve">. Using our new mixing line, we estimate </w:t>
      </w:r>
      <w:r>
        <w:rPr>
          <w:rFonts w:ascii="Corbel" w:hAnsi="Corbel"/>
          <w:sz w:val="22"/>
          <w:szCs w:val="22"/>
        </w:rPr>
        <w:t xml:space="preserve">the anthropogenic impacts of carbon emissions on </w:t>
      </w:r>
      <w:r w:rsidR="009470D2">
        <w:rPr>
          <w:rFonts w:ascii="Corbel" w:hAnsi="Corbel"/>
          <w:sz w:val="22"/>
          <w:szCs w:val="22"/>
        </w:rPr>
        <w:t xml:space="preserve">Ω for our observations </w:t>
      </w:r>
      <w:r>
        <w:rPr>
          <w:rFonts w:ascii="Corbel" w:hAnsi="Corbel"/>
          <w:sz w:val="22"/>
          <w:szCs w:val="22"/>
        </w:rPr>
        <w:t xml:space="preserve">as: </w:t>
      </w:r>
    </w:p>
    <w:p w14:paraId="1D9FBBC5" w14:textId="77777777" w:rsidR="009470D2" w:rsidRDefault="009470D2" w:rsidP="00C566F6">
      <w:pPr>
        <w:pStyle w:val="SMcaption"/>
        <w:rPr>
          <w:rFonts w:ascii="Corbel" w:hAnsi="Corbel"/>
          <w:sz w:val="22"/>
          <w:szCs w:val="22"/>
        </w:rPr>
      </w:pPr>
    </w:p>
    <w:p w14:paraId="240784AB" w14:textId="4B560448" w:rsidR="00586E57" w:rsidRPr="00586E57" w:rsidRDefault="004B184B" w:rsidP="00C566F6">
      <w:pPr>
        <w:pStyle w:val="SMcaption"/>
        <w:rPr>
          <w:rFonts w:ascii="Myriad Pro" w:hAnsi="Myriad Pro"/>
          <w:sz w:val="22"/>
          <w:szCs w:val="22"/>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Pre</m:t>
              </m:r>
            </m:sub>
          </m:sSub>
          <m:r>
            <w:rPr>
              <w:rFonts w:ascii="Cambria Math" w:hAnsi="Cambria Math"/>
              <w:sz w:val="22"/>
              <w:szCs w:val="22"/>
            </w:rPr>
            <m:t>=</m:t>
          </m:r>
          <m:r>
            <w:rPr>
              <w:rFonts w:ascii="Cambria Math" w:hAnsi="Cambria Math"/>
              <w:szCs w:val="24"/>
            </w:rPr>
            <m:t>f</m:t>
          </m:r>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T</m:t>
                  </m:r>
                </m:e>
                <m:sub>
                  <m:r>
                    <w:rPr>
                      <w:rFonts w:ascii="Cambria Math" w:hAnsi="Cambria Math"/>
                      <w:szCs w:val="24"/>
                    </w:rPr>
                    <m:t>0</m:t>
                  </m:r>
                </m:sub>
              </m:sSub>
              <m:r>
                <m:rPr>
                  <m:sty m:val="p"/>
                </m:rPr>
                <w:rPr>
                  <w:rFonts w:ascii="Cambria Math" w:hAnsi="Cambria Math"/>
                  <w:szCs w:val="24"/>
                </w:rPr>
                <m:t xml:space="preserve">, S, </m:t>
              </m:r>
              <m:sSub>
                <m:sSubPr>
                  <m:ctrlPr>
                    <w:rPr>
                      <w:rFonts w:ascii="Cambria Math" w:hAnsi="Cambria Math"/>
                      <w:szCs w:val="24"/>
                    </w:rPr>
                  </m:ctrlPr>
                </m:sSubPr>
                <m:e>
                  <m:r>
                    <w:rPr>
                      <w:rFonts w:ascii="Cambria Math" w:hAnsi="Cambria Math"/>
                      <w:szCs w:val="24"/>
                    </w:rPr>
                    <m:t>DIC</m:t>
                  </m:r>
                </m:e>
                <m:sub>
                  <m:r>
                    <w:rPr>
                      <w:rFonts w:ascii="Cambria Math" w:hAnsi="Cambria Math"/>
                      <w:szCs w:val="24"/>
                    </w:rPr>
                    <m:t>S</m:t>
                  </m:r>
                </m:sub>
              </m:sSub>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ALK</m:t>
                  </m:r>
                </m:e>
                <m:sub>
                  <m:r>
                    <w:rPr>
                      <w:rFonts w:ascii="Cambria Math" w:hAnsi="Cambria Math"/>
                      <w:szCs w:val="24"/>
                    </w:rPr>
                    <m:t>S</m:t>
                  </m:r>
                </m:sub>
              </m:sSub>
            </m:e>
          </m:d>
          <m:r>
            <m:rPr>
              <m:sty m:val="p"/>
            </m:rPr>
            <w:rPr>
              <w:rFonts w:ascii="Cambria Math" w:hAnsi="Cambria Math"/>
              <w:szCs w:val="24"/>
            </w:rPr>
            <m:t>-</m:t>
          </m:r>
          <m:r>
            <w:rPr>
              <w:rFonts w:ascii="Cambria Math" w:hAnsi="Cambria Math"/>
              <w:sz w:val="22"/>
              <w:szCs w:val="22"/>
            </w:rPr>
            <m:t>f</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DIC</m:t>
                  </m:r>
                </m:e>
                <m:sub>
                  <m:r>
                    <w:rPr>
                      <w:rFonts w:ascii="Cambria Math" w:hAnsi="Cambria Math"/>
                      <w:sz w:val="22"/>
                      <w:szCs w:val="22"/>
                    </w:rPr>
                    <m:t>pre-S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ALK</m:t>
                  </m:r>
                </m:e>
                <m:sub>
                  <m:r>
                    <w:rPr>
                      <w:rFonts w:ascii="Cambria Math" w:hAnsi="Cambria Math"/>
                      <w:sz w:val="22"/>
                      <w:szCs w:val="22"/>
                    </w:rPr>
                    <m:t>S</m:t>
                  </m:r>
                </m:sub>
              </m:sSub>
            </m:e>
          </m:d>
        </m:oMath>
      </m:oMathPara>
    </w:p>
    <w:p w14:paraId="2E48A339" w14:textId="080E13BD" w:rsidR="00586E57" w:rsidRDefault="00586E57" w:rsidP="00C566F6">
      <w:pPr>
        <w:pStyle w:val="SMcaption"/>
        <w:rPr>
          <w:rFonts w:ascii="Myriad Pro" w:hAnsi="Myriad Pro"/>
          <w:sz w:val="22"/>
          <w:szCs w:val="22"/>
        </w:rPr>
      </w:pPr>
    </w:p>
    <w:p w14:paraId="48E37907" w14:textId="77777777" w:rsidR="0058448E" w:rsidRDefault="009133F7" w:rsidP="00C566F6">
      <w:pPr>
        <w:pStyle w:val="SMcaption"/>
        <w:rPr>
          <w:rFonts w:ascii="Myriad Pro" w:hAnsi="Myriad Pro"/>
          <w:sz w:val="22"/>
          <w:szCs w:val="22"/>
        </w:rPr>
      </w:pPr>
      <w:r>
        <w:rPr>
          <w:rFonts w:ascii="Myriad Pro" w:hAnsi="Myriad Pro"/>
          <w:sz w:val="22"/>
          <w:szCs w:val="22"/>
        </w:rPr>
        <w:t>To estimate how future carbon emissions may influence the carbonate system of Buzzards Bay, we performed a similar analysis as described above, but rather than using the preindustrial value of 280 ppm, we estimated the future change in pCO2 in 2030 based on the most recent decadal increase as an addition</w:t>
      </w:r>
      <w:r w:rsidR="0058448E">
        <w:rPr>
          <w:rFonts w:ascii="Myriad Pro" w:hAnsi="Myriad Pro"/>
          <w:sz w:val="22"/>
          <w:szCs w:val="22"/>
        </w:rPr>
        <w:t xml:space="preserve"> of</w:t>
      </w:r>
      <w:r>
        <w:rPr>
          <w:rFonts w:ascii="Myriad Pro" w:hAnsi="Myriad Pro"/>
          <w:sz w:val="22"/>
          <w:szCs w:val="22"/>
        </w:rPr>
        <w:t xml:space="preserve"> 23.</w:t>
      </w:r>
      <w:r w:rsidR="0058448E">
        <w:rPr>
          <w:rFonts w:ascii="Myriad Pro" w:hAnsi="Myriad Pro"/>
          <w:sz w:val="22"/>
          <w:szCs w:val="22"/>
        </w:rPr>
        <w:t>9 ppm (NOAA ESRL) and:</w:t>
      </w:r>
    </w:p>
    <w:p w14:paraId="1F17F1B5" w14:textId="0DD53F20" w:rsidR="009133F7" w:rsidRDefault="009133F7" w:rsidP="00C566F6">
      <w:pPr>
        <w:pStyle w:val="SMcaption"/>
        <w:rPr>
          <w:rFonts w:ascii="Myriad Pro" w:hAnsi="Myriad Pro"/>
          <w:sz w:val="22"/>
          <w:szCs w:val="22"/>
        </w:rPr>
      </w:pPr>
      <w:r>
        <w:rPr>
          <w:rFonts w:ascii="Myriad Pro" w:hAnsi="Myriad Pro"/>
          <w:sz w:val="22"/>
          <w:szCs w:val="22"/>
        </w:rPr>
        <w:t xml:space="preserve"> </w:t>
      </w:r>
    </w:p>
    <w:p w14:paraId="3753325C" w14:textId="0896A6FE" w:rsidR="0058448E" w:rsidRPr="0058448E" w:rsidRDefault="004B184B" w:rsidP="00C566F6">
      <w:pPr>
        <w:pStyle w:val="SMcaption"/>
        <w:rPr>
          <w:rFonts w:ascii="Myriad Pro" w:hAnsi="Myriad Pro"/>
          <w:szCs w:val="24"/>
        </w:rPr>
      </w:pPr>
      <m:oMathPara>
        <m:oMath>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Fut</m:t>
              </m:r>
            </m:sub>
          </m:sSub>
          <m:r>
            <w:rPr>
              <w:rFonts w:ascii="Cambria Math" w:hAnsi="Cambria Math"/>
              <w:sz w:val="22"/>
              <w:szCs w:val="22"/>
            </w:rPr>
            <m:t>=f</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DIC</m:t>
                  </m:r>
                </m:e>
                <m:sub>
                  <m:r>
                    <w:rPr>
                      <w:rFonts w:ascii="Cambria Math" w:hAnsi="Cambria Math"/>
                      <w:sz w:val="22"/>
                      <w:szCs w:val="22"/>
                    </w:rPr>
                    <m:t>Fut-S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ALK</m:t>
                  </m:r>
                </m:e>
                <m:sub>
                  <m:r>
                    <w:rPr>
                      <w:rFonts w:ascii="Cambria Math" w:hAnsi="Cambria Math"/>
                      <w:sz w:val="22"/>
                      <w:szCs w:val="22"/>
                    </w:rPr>
                    <m:t>S</m:t>
                  </m:r>
                </m:sub>
              </m:sSub>
            </m:e>
          </m:d>
          <m:r>
            <w:rPr>
              <w:rFonts w:ascii="Cambria Math" w:hAnsi="Cambria Math"/>
              <w:sz w:val="22"/>
              <w:szCs w:val="22"/>
            </w:rPr>
            <m:t>-</m:t>
          </m:r>
          <m:r>
            <w:rPr>
              <w:rFonts w:ascii="Cambria Math" w:hAnsi="Cambria Math"/>
              <w:szCs w:val="24"/>
            </w:rPr>
            <m:t>f</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0</m:t>
              </m:r>
            </m:sub>
          </m:sSub>
          <m:r>
            <m:rPr>
              <m:sty m:val="p"/>
            </m:rPr>
            <w:rPr>
              <w:rFonts w:ascii="Cambria Math" w:hAnsi="Cambria Math"/>
              <w:szCs w:val="24"/>
            </w:rPr>
            <m:t xml:space="preserve">, S, </m:t>
          </m:r>
          <m:sSub>
            <m:sSubPr>
              <m:ctrlPr>
                <w:rPr>
                  <w:rFonts w:ascii="Cambria Math" w:hAnsi="Cambria Math"/>
                  <w:szCs w:val="24"/>
                </w:rPr>
              </m:ctrlPr>
            </m:sSubPr>
            <m:e>
              <m:r>
                <w:rPr>
                  <w:rFonts w:ascii="Cambria Math" w:hAnsi="Cambria Math"/>
                  <w:szCs w:val="24"/>
                </w:rPr>
                <m:t>DIC</m:t>
              </m:r>
            </m:e>
            <m:sub>
              <m:r>
                <w:rPr>
                  <w:rFonts w:ascii="Cambria Math" w:hAnsi="Cambria Math"/>
                  <w:szCs w:val="24"/>
                </w:rPr>
                <m:t>S</m:t>
              </m:r>
            </m:sub>
          </m:sSub>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ALK</m:t>
              </m:r>
            </m:e>
            <m:sub>
              <m:r>
                <w:rPr>
                  <w:rFonts w:ascii="Cambria Math" w:hAnsi="Cambria Math"/>
                  <w:szCs w:val="24"/>
                </w:rPr>
                <m:t>S</m:t>
              </m:r>
            </m:sub>
          </m:sSub>
          <m:r>
            <m:rPr>
              <m:sty m:val="p"/>
            </m:rPr>
            <w:rPr>
              <w:rFonts w:ascii="Cambria Math" w:hAnsi="Cambria Math"/>
              <w:szCs w:val="24"/>
            </w:rPr>
            <m:t>)</m:t>
          </m:r>
        </m:oMath>
      </m:oMathPara>
    </w:p>
    <w:p w14:paraId="16910CCF" w14:textId="77777777" w:rsidR="0058448E" w:rsidRPr="00C566F6" w:rsidRDefault="0058448E" w:rsidP="00C566F6">
      <w:pPr>
        <w:pStyle w:val="SMcaption"/>
        <w:rPr>
          <w:rFonts w:ascii="Myriad Pro" w:hAnsi="Myriad Pro"/>
          <w:sz w:val="22"/>
          <w:szCs w:val="22"/>
        </w:rPr>
      </w:pPr>
    </w:p>
    <w:p w14:paraId="21829D87" w14:textId="19B2AD1E" w:rsidR="00C566F6" w:rsidRDefault="009133F7" w:rsidP="0058448E">
      <w:pPr>
        <w:pStyle w:val="SMcaption"/>
        <w:jc w:val="center"/>
        <w:rPr>
          <w:rFonts w:ascii="Myriad Pro" w:hAnsi="Myriad Pro"/>
          <w:b/>
          <w:i/>
          <w:sz w:val="22"/>
          <w:szCs w:val="22"/>
        </w:rPr>
      </w:pPr>
      <w:r>
        <w:rPr>
          <w:rFonts w:ascii="Myriad Pro" w:hAnsi="Myriad Pro"/>
          <w:b/>
          <w:i/>
          <w:noProof/>
          <w:sz w:val="22"/>
          <w:szCs w:val="22"/>
        </w:rPr>
        <w:drawing>
          <wp:inline distT="0" distB="0" distL="0" distR="0" wp14:anchorId="27452F22" wp14:editId="41978E8C">
            <wp:extent cx="3200407" cy="2743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7" cy="2743206"/>
                    </a:xfrm>
                    <a:prstGeom prst="rect">
                      <a:avLst/>
                    </a:prstGeom>
                  </pic:spPr>
                </pic:pic>
              </a:graphicData>
            </a:graphic>
          </wp:inline>
        </w:drawing>
      </w:r>
    </w:p>
    <w:p w14:paraId="1E811E63" w14:textId="61E96F4F" w:rsidR="009133F7" w:rsidRDefault="009133F7" w:rsidP="009133F7">
      <w:pPr>
        <w:pStyle w:val="SMHeading"/>
        <w:rPr>
          <w:rFonts w:ascii="Myriad Pro" w:hAnsi="Myriad Pro"/>
          <w:b w:val="0"/>
          <w:sz w:val="22"/>
          <w:szCs w:val="22"/>
        </w:rPr>
      </w:pPr>
      <w:r>
        <w:rPr>
          <w:rFonts w:ascii="Myriad Pro" w:hAnsi="Myriad Pro"/>
          <w:sz w:val="22"/>
          <w:szCs w:val="22"/>
        </w:rPr>
        <w:t>Figure S4</w:t>
      </w:r>
      <w:r w:rsidRPr="005314B5">
        <w:rPr>
          <w:rFonts w:ascii="Myriad Pro" w:hAnsi="Myriad Pro"/>
          <w:sz w:val="22"/>
          <w:szCs w:val="22"/>
        </w:rPr>
        <w:t xml:space="preserve">. </w:t>
      </w:r>
      <w:r>
        <w:rPr>
          <w:rFonts w:ascii="Myriad Pro" w:hAnsi="Myriad Pro"/>
          <w:b w:val="0"/>
          <w:sz w:val="22"/>
          <w:szCs w:val="22"/>
        </w:rPr>
        <w:t xml:space="preserve">Mixing curves for </w:t>
      </w:r>
      <w:r>
        <w:rPr>
          <w:rFonts w:ascii="Corbel" w:hAnsi="Corbel"/>
          <w:b w:val="0"/>
          <w:sz w:val="22"/>
          <w:szCs w:val="22"/>
        </w:rPr>
        <w:t>Ω</w:t>
      </w:r>
      <w:r>
        <w:rPr>
          <w:rFonts w:ascii="Myriad Pro" w:hAnsi="Myriad Pro"/>
          <w:b w:val="0"/>
          <w:sz w:val="22"/>
          <w:szCs w:val="22"/>
        </w:rPr>
        <w:t xml:space="preserve"> as observed, estimated for preindustrial conditions, and for 2030 under future atmospheric CO2. The points are the seawater endmembers.  </w:t>
      </w:r>
    </w:p>
    <w:p w14:paraId="76A81EB4" w14:textId="1581E22D" w:rsidR="009133F7" w:rsidRDefault="009133F7" w:rsidP="00477182">
      <w:pPr>
        <w:pStyle w:val="SMcaption"/>
        <w:rPr>
          <w:rFonts w:ascii="Myriad Pro" w:hAnsi="Myriad Pro"/>
          <w:b/>
          <w:i/>
          <w:sz w:val="22"/>
          <w:szCs w:val="22"/>
        </w:rPr>
      </w:pPr>
    </w:p>
    <w:p w14:paraId="0B12C147" w14:textId="77777777" w:rsidR="00C35794" w:rsidRDefault="00C35794" w:rsidP="00C35794">
      <w:pPr>
        <w:jc w:val="both"/>
        <w:rPr>
          <w:szCs w:val="24"/>
        </w:rPr>
      </w:pPr>
    </w:p>
    <w:p w14:paraId="698D83ED" w14:textId="77777777" w:rsidR="00C35794" w:rsidRPr="00AA00BB" w:rsidRDefault="00C35794" w:rsidP="00C35794">
      <w:pPr>
        <w:pStyle w:val="SMHeading"/>
      </w:pPr>
      <w:r>
        <w:rPr>
          <w:rFonts w:ascii="Myriad Pro" w:hAnsi="Myriad Pro"/>
          <w:sz w:val="22"/>
          <w:szCs w:val="22"/>
        </w:rPr>
        <w:t xml:space="preserve">Table S1. </w:t>
      </w:r>
      <w:r w:rsidRPr="00C35794">
        <w:rPr>
          <w:rFonts w:ascii="Myriad Pro" w:hAnsi="Myriad Pro"/>
          <w:b w:val="0"/>
          <w:sz w:val="22"/>
          <w:szCs w:val="22"/>
        </w:rPr>
        <w:t>Estimated changes to aragonite saturation state (∆</w:t>
      </w:r>
      <w:r w:rsidRPr="00C35794">
        <w:rPr>
          <w:rFonts w:ascii="Myriad Pro" w:hAnsi="Myriad Pro"/>
          <w:b w:val="0"/>
          <w:color w:val="000000"/>
          <w:sz w:val="22"/>
          <w:szCs w:val="22"/>
        </w:rPr>
        <w:t>Ω) associated with water quality degradation relative to total maximum daily nitrogen loads (TMDLs), anthropogenic increases in atmospheric carbon dioxide (CO</w:t>
      </w:r>
      <w:r w:rsidRPr="00C35794">
        <w:rPr>
          <w:rFonts w:ascii="Myriad Pro" w:hAnsi="Myriad Pro"/>
          <w:b w:val="0"/>
          <w:color w:val="000000"/>
          <w:sz w:val="22"/>
          <w:szCs w:val="22"/>
          <w:vertAlign w:val="subscript"/>
        </w:rPr>
        <w:t>2</w:t>
      </w:r>
      <w:r w:rsidRPr="00C35794">
        <w:rPr>
          <w:rFonts w:ascii="Myriad Pro" w:hAnsi="Myriad Pro"/>
          <w:b w:val="0"/>
          <w:color w:val="000000"/>
          <w:sz w:val="22"/>
          <w:szCs w:val="22"/>
        </w:rPr>
        <w:t>) from 280 ppm to present day conditions, and to conditions expected in 2030 based on continued atmospheric CO</w:t>
      </w:r>
      <w:r w:rsidRPr="00C35794">
        <w:rPr>
          <w:rFonts w:ascii="Myriad Pro" w:hAnsi="Myriad Pro"/>
          <w:b w:val="0"/>
          <w:color w:val="000000"/>
          <w:sz w:val="22"/>
          <w:szCs w:val="22"/>
          <w:vertAlign w:val="subscript"/>
        </w:rPr>
        <w:t>2</w:t>
      </w:r>
      <w:r w:rsidRPr="00C35794">
        <w:rPr>
          <w:rFonts w:ascii="Myriad Pro" w:hAnsi="Myriad Pro"/>
          <w:b w:val="0"/>
          <w:color w:val="000000"/>
          <w:sz w:val="22"/>
          <w:szCs w:val="22"/>
        </w:rPr>
        <w:t xml:space="preserve"> rise using the past decade’s trend. Ratios are the ratio of ∆Ω</w:t>
      </w:r>
      <w:r w:rsidRPr="00C35794">
        <w:rPr>
          <w:rFonts w:ascii="Myriad Pro" w:hAnsi="Myriad Pro"/>
          <w:b w:val="0"/>
          <w:color w:val="000000"/>
          <w:sz w:val="22"/>
          <w:szCs w:val="22"/>
          <w:vertAlign w:val="subscript"/>
        </w:rPr>
        <w:t>TMDL</w:t>
      </w:r>
      <w:r w:rsidRPr="00C35794">
        <w:rPr>
          <w:rFonts w:ascii="Myriad Pro" w:hAnsi="Myriad Pro"/>
          <w:b w:val="0"/>
          <w:color w:val="000000"/>
          <w:sz w:val="22"/>
          <w:szCs w:val="22"/>
        </w:rPr>
        <w:t xml:space="preserve"> due to eutrophication divided by the changes associated with atmospheric increases. See supplement for more details.</w:t>
      </w:r>
      <w:r>
        <w:rPr>
          <w:color w:val="000000"/>
        </w:rPr>
        <w:t xml:space="preserve"> </w:t>
      </w:r>
    </w:p>
    <w:tbl>
      <w:tblPr>
        <w:tblW w:w="8860" w:type="dxa"/>
        <w:shd w:val="clear" w:color="auto" w:fill="FFFFFF" w:themeFill="background1"/>
        <w:tblLook w:val="04A0" w:firstRow="1" w:lastRow="0" w:firstColumn="1" w:lastColumn="0" w:noHBand="0" w:noVBand="1"/>
      </w:tblPr>
      <w:tblGrid>
        <w:gridCol w:w="2250"/>
        <w:gridCol w:w="1003"/>
        <w:gridCol w:w="1530"/>
        <w:gridCol w:w="1096"/>
        <w:gridCol w:w="1170"/>
        <w:gridCol w:w="1840"/>
      </w:tblGrid>
      <w:tr w:rsidR="00C35794" w:rsidRPr="00AE7C4D" w14:paraId="2DF9DDBC" w14:textId="77777777" w:rsidTr="0015006F">
        <w:trPr>
          <w:trHeight w:val="300"/>
        </w:trPr>
        <w:tc>
          <w:tcPr>
            <w:tcW w:w="2250" w:type="dxa"/>
            <w:tcBorders>
              <w:top w:val="single" w:sz="4" w:space="0" w:color="auto"/>
              <w:left w:val="nil"/>
              <w:bottom w:val="double" w:sz="6" w:space="0" w:color="auto"/>
              <w:right w:val="single" w:sz="4" w:space="0" w:color="auto"/>
            </w:tcBorders>
            <w:shd w:val="clear" w:color="auto" w:fill="FFFFFF" w:themeFill="background1"/>
            <w:noWrap/>
            <w:vAlign w:val="bottom"/>
            <w:hideMark/>
          </w:tcPr>
          <w:p w14:paraId="750B11B5" w14:textId="77777777" w:rsidR="00C35794" w:rsidRPr="00AE7C4D" w:rsidRDefault="00C35794" w:rsidP="0015006F">
            <w:pPr>
              <w:rPr>
                <w:color w:val="000000"/>
              </w:rPr>
            </w:pPr>
          </w:p>
        </w:tc>
        <w:tc>
          <w:tcPr>
            <w:tcW w:w="990" w:type="dxa"/>
            <w:tcBorders>
              <w:top w:val="single" w:sz="4" w:space="0" w:color="auto"/>
              <w:left w:val="single" w:sz="4" w:space="0" w:color="auto"/>
              <w:bottom w:val="double" w:sz="6" w:space="0" w:color="auto"/>
              <w:right w:val="nil"/>
            </w:tcBorders>
            <w:shd w:val="clear" w:color="auto" w:fill="FFFFFF" w:themeFill="background1"/>
            <w:noWrap/>
            <w:vAlign w:val="bottom"/>
            <w:hideMark/>
          </w:tcPr>
          <w:p w14:paraId="44B33B33" w14:textId="77777777" w:rsidR="00C35794" w:rsidRPr="00AE7C4D" w:rsidRDefault="00C35794" w:rsidP="0015006F">
            <w:pPr>
              <w:rPr>
                <w:color w:val="000000"/>
              </w:rPr>
            </w:pPr>
            <w:r w:rsidRPr="00AE7C4D">
              <w:rPr>
                <w:color w:val="000000"/>
              </w:rPr>
              <w:t>Quissett</w:t>
            </w:r>
          </w:p>
        </w:tc>
        <w:tc>
          <w:tcPr>
            <w:tcW w:w="1530" w:type="dxa"/>
            <w:tcBorders>
              <w:top w:val="single" w:sz="4" w:space="0" w:color="auto"/>
              <w:left w:val="nil"/>
              <w:bottom w:val="double" w:sz="6" w:space="0" w:color="auto"/>
              <w:right w:val="nil"/>
            </w:tcBorders>
            <w:shd w:val="clear" w:color="auto" w:fill="FFFFFF" w:themeFill="background1"/>
            <w:noWrap/>
            <w:vAlign w:val="bottom"/>
            <w:hideMark/>
          </w:tcPr>
          <w:p w14:paraId="2AF2E37A" w14:textId="77777777" w:rsidR="00C35794" w:rsidRPr="00AE7C4D" w:rsidRDefault="00C35794" w:rsidP="0015006F">
            <w:pPr>
              <w:rPr>
                <w:color w:val="000000"/>
              </w:rPr>
            </w:pPr>
            <w:r w:rsidRPr="00AE7C4D">
              <w:rPr>
                <w:color w:val="000000"/>
              </w:rPr>
              <w:t>New Bedford</w:t>
            </w:r>
          </w:p>
        </w:tc>
        <w:tc>
          <w:tcPr>
            <w:tcW w:w="1080" w:type="dxa"/>
            <w:tcBorders>
              <w:top w:val="single" w:sz="4" w:space="0" w:color="auto"/>
              <w:left w:val="nil"/>
              <w:bottom w:val="double" w:sz="6" w:space="0" w:color="auto"/>
              <w:right w:val="nil"/>
            </w:tcBorders>
            <w:shd w:val="clear" w:color="auto" w:fill="FFFFFF" w:themeFill="background1"/>
            <w:noWrap/>
            <w:vAlign w:val="bottom"/>
            <w:hideMark/>
          </w:tcPr>
          <w:p w14:paraId="430D91E4" w14:textId="77777777" w:rsidR="00C35794" w:rsidRPr="00AE7C4D" w:rsidRDefault="00C35794" w:rsidP="0015006F">
            <w:pPr>
              <w:rPr>
                <w:color w:val="000000"/>
              </w:rPr>
            </w:pPr>
            <w:r w:rsidRPr="00AE7C4D">
              <w:rPr>
                <w:color w:val="000000"/>
              </w:rPr>
              <w:t>Westport</w:t>
            </w:r>
          </w:p>
        </w:tc>
        <w:tc>
          <w:tcPr>
            <w:tcW w:w="1170" w:type="dxa"/>
            <w:tcBorders>
              <w:top w:val="single" w:sz="4" w:space="0" w:color="auto"/>
              <w:left w:val="nil"/>
              <w:bottom w:val="double" w:sz="6" w:space="0" w:color="auto"/>
              <w:right w:val="nil"/>
            </w:tcBorders>
            <w:shd w:val="clear" w:color="auto" w:fill="FFFFFF" w:themeFill="background1"/>
            <w:noWrap/>
            <w:vAlign w:val="bottom"/>
            <w:hideMark/>
          </w:tcPr>
          <w:p w14:paraId="7AA2B81C" w14:textId="77777777" w:rsidR="00C35794" w:rsidRPr="00AE7C4D" w:rsidRDefault="00C35794" w:rsidP="0015006F">
            <w:pPr>
              <w:rPr>
                <w:color w:val="000000"/>
              </w:rPr>
            </w:pPr>
            <w:r w:rsidRPr="00AE7C4D">
              <w:rPr>
                <w:color w:val="000000"/>
              </w:rPr>
              <w:t>Wareham</w:t>
            </w:r>
          </w:p>
        </w:tc>
        <w:tc>
          <w:tcPr>
            <w:tcW w:w="1840" w:type="dxa"/>
            <w:tcBorders>
              <w:top w:val="single" w:sz="4" w:space="0" w:color="auto"/>
              <w:left w:val="nil"/>
              <w:bottom w:val="double" w:sz="6" w:space="0" w:color="auto"/>
              <w:right w:val="nil"/>
            </w:tcBorders>
            <w:shd w:val="clear" w:color="auto" w:fill="FFFFFF" w:themeFill="background1"/>
            <w:noWrap/>
            <w:vAlign w:val="bottom"/>
            <w:hideMark/>
          </w:tcPr>
          <w:p w14:paraId="4F7DF3AC" w14:textId="77777777" w:rsidR="00C35794" w:rsidRPr="00AE7C4D" w:rsidRDefault="00C35794" w:rsidP="0015006F">
            <w:pPr>
              <w:rPr>
                <w:color w:val="000000"/>
              </w:rPr>
            </w:pPr>
            <w:r w:rsidRPr="00AE7C4D">
              <w:rPr>
                <w:color w:val="000000"/>
              </w:rPr>
              <w:t>West Falmouth</w:t>
            </w:r>
          </w:p>
        </w:tc>
      </w:tr>
      <w:tr w:rsidR="00C35794" w:rsidRPr="00AE7C4D" w14:paraId="12919755" w14:textId="77777777" w:rsidTr="0015006F">
        <w:trPr>
          <w:trHeight w:val="520"/>
        </w:trPr>
        <w:tc>
          <w:tcPr>
            <w:tcW w:w="2250" w:type="dxa"/>
            <w:tcBorders>
              <w:top w:val="nil"/>
              <w:left w:val="nil"/>
              <w:bottom w:val="single" w:sz="4" w:space="0" w:color="auto"/>
              <w:right w:val="single" w:sz="4" w:space="0" w:color="auto"/>
            </w:tcBorders>
            <w:shd w:val="clear" w:color="auto" w:fill="FFFFFF" w:themeFill="background1"/>
            <w:noWrap/>
            <w:vAlign w:val="bottom"/>
            <w:hideMark/>
          </w:tcPr>
          <w:p w14:paraId="65BC3D60" w14:textId="77777777" w:rsidR="00C35794" w:rsidRPr="00AE7C4D" w:rsidRDefault="00C35794" w:rsidP="0015006F">
            <w:pPr>
              <w:rPr>
                <w:color w:val="000000"/>
              </w:rPr>
            </w:pPr>
            <w:r>
              <w:rPr>
                <w:color w:val="000000"/>
                <w:szCs w:val="24"/>
              </w:rPr>
              <w:t>∆</w:t>
            </w:r>
            <w:r w:rsidRPr="000E6342">
              <w:rPr>
                <w:color w:val="000000"/>
                <w:szCs w:val="24"/>
              </w:rPr>
              <w:t>Ω</w:t>
            </w:r>
            <w:r w:rsidRPr="00AE7C4D">
              <w:rPr>
                <w:rFonts w:ascii="Calibri" w:hAnsi="Calibri"/>
                <w:color w:val="000000"/>
                <w:vertAlign w:val="subscript"/>
              </w:rPr>
              <w:t xml:space="preserve"> TMDL</w:t>
            </w:r>
            <w:r w:rsidRPr="00AE7C4D">
              <w:rPr>
                <w:color w:val="000000"/>
              </w:rPr>
              <w:t xml:space="preserve"> </w:t>
            </w:r>
            <w:r>
              <w:rPr>
                <w:color w:val="000000"/>
              </w:rPr>
              <w:t>due to eutrophication</w:t>
            </w:r>
          </w:p>
        </w:tc>
        <w:tc>
          <w:tcPr>
            <w:tcW w:w="990" w:type="dxa"/>
            <w:tcBorders>
              <w:top w:val="nil"/>
              <w:left w:val="single" w:sz="4" w:space="0" w:color="auto"/>
              <w:bottom w:val="single" w:sz="4" w:space="0" w:color="auto"/>
              <w:right w:val="nil"/>
            </w:tcBorders>
            <w:shd w:val="clear" w:color="auto" w:fill="FFFFFF" w:themeFill="background1"/>
            <w:noWrap/>
            <w:vAlign w:val="center"/>
            <w:hideMark/>
          </w:tcPr>
          <w:p w14:paraId="018B820B" w14:textId="77777777" w:rsidR="00C35794" w:rsidRPr="00AE7C4D" w:rsidRDefault="00C35794" w:rsidP="0015006F">
            <w:pPr>
              <w:jc w:val="center"/>
              <w:rPr>
                <w:color w:val="000000"/>
              </w:rPr>
            </w:pPr>
            <w:r>
              <w:rPr>
                <w:color w:val="000000"/>
              </w:rPr>
              <w:t>-</w:t>
            </w:r>
            <w:r w:rsidRPr="00AE7C4D">
              <w:rPr>
                <w:color w:val="000000"/>
              </w:rPr>
              <w:t>0.03</w:t>
            </w:r>
          </w:p>
        </w:tc>
        <w:tc>
          <w:tcPr>
            <w:tcW w:w="1530" w:type="dxa"/>
            <w:tcBorders>
              <w:top w:val="nil"/>
              <w:left w:val="nil"/>
              <w:bottom w:val="single" w:sz="4" w:space="0" w:color="auto"/>
              <w:right w:val="nil"/>
            </w:tcBorders>
            <w:shd w:val="clear" w:color="auto" w:fill="FFFFFF" w:themeFill="background1"/>
            <w:noWrap/>
            <w:vAlign w:val="center"/>
            <w:hideMark/>
          </w:tcPr>
          <w:p w14:paraId="60087E44" w14:textId="77777777" w:rsidR="00C35794" w:rsidRPr="00AE7C4D" w:rsidRDefault="00C35794" w:rsidP="0015006F">
            <w:pPr>
              <w:jc w:val="center"/>
              <w:rPr>
                <w:color w:val="000000"/>
              </w:rPr>
            </w:pPr>
            <w:r w:rsidRPr="00AE7C4D">
              <w:rPr>
                <w:color w:val="000000"/>
              </w:rPr>
              <w:t>0.15</w:t>
            </w:r>
          </w:p>
        </w:tc>
        <w:tc>
          <w:tcPr>
            <w:tcW w:w="1080" w:type="dxa"/>
            <w:tcBorders>
              <w:top w:val="nil"/>
              <w:left w:val="nil"/>
              <w:bottom w:val="single" w:sz="4" w:space="0" w:color="auto"/>
              <w:right w:val="nil"/>
            </w:tcBorders>
            <w:shd w:val="clear" w:color="auto" w:fill="FFFFFF" w:themeFill="background1"/>
            <w:noWrap/>
            <w:vAlign w:val="center"/>
            <w:hideMark/>
          </w:tcPr>
          <w:p w14:paraId="40E0DF3B" w14:textId="77777777" w:rsidR="00C35794" w:rsidRPr="00AE7C4D" w:rsidRDefault="00C35794" w:rsidP="0015006F">
            <w:pPr>
              <w:jc w:val="center"/>
              <w:rPr>
                <w:color w:val="000000"/>
              </w:rPr>
            </w:pPr>
            <w:r>
              <w:rPr>
                <w:color w:val="000000"/>
              </w:rPr>
              <w:t>-</w:t>
            </w:r>
            <w:r w:rsidRPr="00AE7C4D">
              <w:rPr>
                <w:color w:val="000000"/>
              </w:rPr>
              <w:t>0.17</w:t>
            </w:r>
          </w:p>
        </w:tc>
        <w:tc>
          <w:tcPr>
            <w:tcW w:w="1170" w:type="dxa"/>
            <w:tcBorders>
              <w:top w:val="nil"/>
              <w:left w:val="nil"/>
              <w:bottom w:val="single" w:sz="4" w:space="0" w:color="auto"/>
              <w:right w:val="nil"/>
            </w:tcBorders>
            <w:shd w:val="clear" w:color="auto" w:fill="FFFFFF" w:themeFill="background1"/>
            <w:noWrap/>
            <w:vAlign w:val="center"/>
            <w:hideMark/>
          </w:tcPr>
          <w:p w14:paraId="0DE0A84A" w14:textId="77777777" w:rsidR="00C35794" w:rsidRPr="00AE7C4D" w:rsidRDefault="00C35794" w:rsidP="0015006F">
            <w:pPr>
              <w:jc w:val="center"/>
              <w:rPr>
                <w:color w:val="000000"/>
              </w:rPr>
            </w:pPr>
            <w:r>
              <w:rPr>
                <w:color w:val="000000"/>
              </w:rPr>
              <w:t>-</w:t>
            </w:r>
            <w:r w:rsidRPr="00AE7C4D">
              <w:rPr>
                <w:color w:val="000000"/>
              </w:rPr>
              <w:t>0.24</w:t>
            </w:r>
          </w:p>
        </w:tc>
        <w:tc>
          <w:tcPr>
            <w:tcW w:w="1840" w:type="dxa"/>
            <w:tcBorders>
              <w:top w:val="nil"/>
              <w:left w:val="nil"/>
              <w:bottom w:val="single" w:sz="4" w:space="0" w:color="auto"/>
              <w:right w:val="nil"/>
            </w:tcBorders>
            <w:shd w:val="clear" w:color="auto" w:fill="FFFFFF" w:themeFill="background1"/>
            <w:noWrap/>
            <w:vAlign w:val="center"/>
            <w:hideMark/>
          </w:tcPr>
          <w:p w14:paraId="7EA4C7CA" w14:textId="77777777" w:rsidR="00C35794" w:rsidRPr="00AE7C4D" w:rsidRDefault="00C35794" w:rsidP="0015006F">
            <w:pPr>
              <w:jc w:val="center"/>
              <w:rPr>
                <w:color w:val="000000"/>
              </w:rPr>
            </w:pPr>
            <w:r>
              <w:rPr>
                <w:color w:val="000000"/>
              </w:rPr>
              <w:t>-</w:t>
            </w:r>
            <w:r w:rsidRPr="00AE7C4D">
              <w:rPr>
                <w:color w:val="000000"/>
              </w:rPr>
              <w:t>0.58</w:t>
            </w:r>
          </w:p>
        </w:tc>
      </w:tr>
      <w:tr w:rsidR="00C35794" w:rsidRPr="00AE7C4D" w14:paraId="7E632F25" w14:textId="77777777" w:rsidTr="0015006F">
        <w:trPr>
          <w:trHeight w:val="410"/>
        </w:trPr>
        <w:tc>
          <w:tcPr>
            <w:tcW w:w="2250" w:type="dxa"/>
            <w:tcBorders>
              <w:top w:val="nil"/>
              <w:left w:val="nil"/>
              <w:bottom w:val="nil"/>
              <w:right w:val="single" w:sz="4" w:space="0" w:color="auto"/>
            </w:tcBorders>
            <w:shd w:val="clear" w:color="auto" w:fill="FFFFFF" w:themeFill="background1"/>
            <w:noWrap/>
            <w:vAlign w:val="bottom"/>
            <w:hideMark/>
          </w:tcPr>
          <w:p w14:paraId="76675099" w14:textId="77777777" w:rsidR="00C35794" w:rsidRPr="00AE7C4D" w:rsidRDefault="00C35794" w:rsidP="0015006F">
            <w:pPr>
              <w:rPr>
                <w:color w:val="000000"/>
              </w:rPr>
            </w:pPr>
            <w:r>
              <w:rPr>
                <w:color w:val="000000"/>
                <w:szCs w:val="24"/>
              </w:rPr>
              <w:t>∆</w:t>
            </w:r>
            <w:r w:rsidRPr="000E6342">
              <w:rPr>
                <w:color w:val="000000"/>
                <w:szCs w:val="24"/>
              </w:rPr>
              <w:t>Ω</w:t>
            </w:r>
            <w:r w:rsidRPr="00AE7C4D">
              <w:rPr>
                <w:rFonts w:ascii="Calibri" w:hAnsi="Calibri"/>
                <w:color w:val="000000"/>
                <w:vertAlign w:val="subscript"/>
              </w:rPr>
              <w:t xml:space="preserve"> </w:t>
            </w:r>
            <w:r>
              <w:rPr>
                <w:rFonts w:ascii="Calibri" w:hAnsi="Calibri"/>
                <w:color w:val="000000"/>
                <w:vertAlign w:val="subscript"/>
              </w:rPr>
              <w:t>CO2</w:t>
            </w:r>
            <w:r>
              <w:rPr>
                <w:color w:val="000000"/>
              </w:rPr>
              <w:t xml:space="preserve"> change from preindustrial to present</w:t>
            </w:r>
          </w:p>
        </w:tc>
        <w:tc>
          <w:tcPr>
            <w:tcW w:w="990" w:type="dxa"/>
            <w:tcBorders>
              <w:top w:val="nil"/>
              <w:left w:val="single" w:sz="4" w:space="0" w:color="auto"/>
              <w:bottom w:val="nil"/>
              <w:right w:val="nil"/>
            </w:tcBorders>
            <w:shd w:val="clear" w:color="auto" w:fill="FFFFFF" w:themeFill="background1"/>
            <w:noWrap/>
            <w:vAlign w:val="center"/>
            <w:hideMark/>
          </w:tcPr>
          <w:p w14:paraId="748BEAAD" w14:textId="77777777" w:rsidR="00C35794" w:rsidRPr="00AE7C4D" w:rsidRDefault="00C35794" w:rsidP="0015006F">
            <w:pPr>
              <w:jc w:val="center"/>
              <w:rPr>
                <w:color w:val="000000"/>
              </w:rPr>
            </w:pPr>
            <w:r w:rsidRPr="00AE7C4D">
              <w:rPr>
                <w:color w:val="000000"/>
              </w:rPr>
              <w:t>-0.53</w:t>
            </w:r>
          </w:p>
        </w:tc>
        <w:tc>
          <w:tcPr>
            <w:tcW w:w="1530" w:type="dxa"/>
            <w:tcBorders>
              <w:top w:val="nil"/>
              <w:left w:val="nil"/>
              <w:bottom w:val="nil"/>
              <w:right w:val="nil"/>
            </w:tcBorders>
            <w:shd w:val="clear" w:color="auto" w:fill="FFFFFF" w:themeFill="background1"/>
            <w:noWrap/>
            <w:vAlign w:val="center"/>
            <w:hideMark/>
          </w:tcPr>
          <w:p w14:paraId="36B6DAAC" w14:textId="77777777" w:rsidR="00C35794" w:rsidRPr="00AE7C4D" w:rsidRDefault="00C35794" w:rsidP="0015006F">
            <w:pPr>
              <w:jc w:val="center"/>
              <w:rPr>
                <w:color w:val="000000"/>
              </w:rPr>
            </w:pPr>
            <w:r w:rsidRPr="00AE7C4D">
              <w:rPr>
                <w:color w:val="000000"/>
              </w:rPr>
              <w:t>-0.52</w:t>
            </w:r>
          </w:p>
        </w:tc>
        <w:tc>
          <w:tcPr>
            <w:tcW w:w="1080" w:type="dxa"/>
            <w:tcBorders>
              <w:top w:val="nil"/>
              <w:left w:val="nil"/>
              <w:bottom w:val="nil"/>
              <w:right w:val="nil"/>
            </w:tcBorders>
            <w:shd w:val="clear" w:color="auto" w:fill="FFFFFF" w:themeFill="background1"/>
            <w:noWrap/>
            <w:vAlign w:val="center"/>
            <w:hideMark/>
          </w:tcPr>
          <w:p w14:paraId="1FEFBAA6" w14:textId="77777777" w:rsidR="00C35794" w:rsidRPr="00AE7C4D" w:rsidRDefault="00C35794" w:rsidP="0015006F">
            <w:pPr>
              <w:jc w:val="center"/>
              <w:rPr>
                <w:color w:val="000000"/>
              </w:rPr>
            </w:pPr>
            <w:r w:rsidRPr="00AE7C4D">
              <w:rPr>
                <w:color w:val="000000"/>
              </w:rPr>
              <w:t>-0.49</w:t>
            </w:r>
          </w:p>
        </w:tc>
        <w:tc>
          <w:tcPr>
            <w:tcW w:w="1170" w:type="dxa"/>
            <w:tcBorders>
              <w:top w:val="nil"/>
              <w:left w:val="nil"/>
              <w:bottom w:val="nil"/>
              <w:right w:val="nil"/>
            </w:tcBorders>
            <w:shd w:val="clear" w:color="auto" w:fill="FFFFFF" w:themeFill="background1"/>
            <w:noWrap/>
            <w:vAlign w:val="center"/>
            <w:hideMark/>
          </w:tcPr>
          <w:p w14:paraId="4AD834B1" w14:textId="77777777" w:rsidR="00C35794" w:rsidRPr="00AE7C4D" w:rsidRDefault="00C35794" w:rsidP="0015006F">
            <w:pPr>
              <w:jc w:val="center"/>
              <w:rPr>
                <w:color w:val="000000"/>
              </w:rPr>
            </w:pPr>
            <w:r w:rsidRPr="00AE7C4D">
              <w:rPr>
                <w:color w:val="000000"/>
              </w:rPr>
              <w:t>-0.42</w:t>
            </w:r>
          </w:p>
        </w:tc>
        <w:tc>
          <w:tcPr>
            <w:tcW w:w="1840" w:type="dxa"/>
            <w:tcBorders>
              <w:top w:val="nil"/>
              <w:left w:val="nil"/>
              <w:bottom w:val="nil"/>
              <w:right w:val="nil"/>
            </w:tcBorders>
            <w:shd w:val="clear" w:color="auto" w:fill="FFFFFF" w:themeFill="background1"/>
            <w:noWrap/>
            <w:vAlign w:val="center"/>
            <w:hideMark/>
          </w:tcPr>
          <w:p w14:paraId="636A4197" w14:textId="77777777" w:rsidR="00C35794" w:rsidRPr="00AE7C4D" w:rsidRDefault="00C35794" w:rsidP="0015006F">
            <w:pPr>
              <w:jc w:val="center"/>
              <w:rPr>
                <w:color w:val="000000"/>
              </w:rPr>
            </w:pPr>
            <w:r w:rsidRPr="00AE7C4D">
              <w:rPr>
                <w:color w:val="000000"/>
              </w:rPr>
              <w:t>-0.42</w:t>
            </w:r>
          </w:p>
        </w:tc>
      </w:tr>
      <w:tr w:rsidR="00C35794" w:rsidRPr="00AE7C4D" w14:paraId="35F1BCEC" w14:textId="77777777" w:rsidTr="0015006F">
        <w:trPr>
          <w:trHeight w:val="410"/>
        </w:trPr>
        <w:tc>
          <w:tcPr>
            <w:tcW w:w="2250" w:type="dxa"/>
            <w:tcBorders>
              <w:top w:val="nil"/>
              <w:left w:val="nil"/>
              <w:bottom w:val="single" w:sz="4" w:space="0" w:color="auto"/>
              <w:right w:val="single" w:sz="4" w:space="0" w:color="auto"/>
            </w:tcBorders>
            <w:shd w:val="clear" w:color="auto" w:fill="FFFFFF" w:themeFill="background1"/>
            <w:noWrap/>
            <w:vAlign w:val="bottom"/>
            <w:hideMark/>
          </w:tcPr>
          <w:p w14:paraId="3E1490DB" w14:textId="77777777" w:rsidR="00C35794" w:rsidRPr="00AE7C4D" w:rsidRDefault="00C35794" w:rsidP="0015006F">
            <w:pPr>
              <w:rPr>
                <w:color w:val="000000"/>
              </w:rPr>
            </w:pPr>
            <w:r w:rsidRPr="00AE7C4D">
              <w:rPr>
                <w:color w:val="000000"/>
              </w:rPr>
              <w:t>Ratio</w:t>
            </w:r>
          </w:p>
        </w:tc>
        <w:tc>
          <w:tcPr>
            <w:tcW w:w="990" w:type="dxa"/>
            <w:tcBorders>
              <w:top w:val="nil"/>
              <w:left w:val="single" w:sz="4" w:space="0" w:color="auto"/>
              <w:bottom w:val="single" w:sz="4" w:space="0" w:color="auto"/>
              <w:right w:val="nil"/>
            </w:tcBorders>
            <w:shd w:val="clear" w:color="auto" w:fill="FFFFFF" w:themeFill="background1"/>
            <w:noWrap/>
            <w:vAlign w:val="center"/>
            <w:hideMark/>
          </w:tcPr>
          <w:p w14:paraId="3606097C" w14:textId="77777777" w:rsidR="00C35794" w:rsidRPr="00AE7C4D" w:rsidRDefault="00C35794" w:rsidP="0015006F">
            <w:pPr>
              <w:jc w:val="center"/>
              <w:rPr>
                <w:color w:val="000000"/>
              </w:rPr>
            </w:pPr>
            <w:r w:rsidRPr="00AE7C4D">
              <w:rPr>
                <w:color w:val="000000"/>
              </w:rPr>
              <w:t>0.06</w:t>
            </w:r>
          </w:p>
        </w:tc>
        <w:tc>
          <w:tcPr>
            <w:tcW w:w="1530" w:type="dxa"/>
            <w:tcBorders>
              <w:top w:val="nil"/>
              <w:left w:val="nil"/>
              <w:bottom w:val="single" w:sz="4" w:space="0" w:color="auto"/>
              <w:right w:val="nil"/>
            </w:tcBorders>
            <w:shd w:val="clear" w:color="auto" w:fill="FFFFFF" w:themeFill="background1"/>
            <w:noWrap/>
            <w:vAlign w:val="center"/>
            <w:hideMark/>
          </w:tcPr>
          <w:p w14:paraId="20A6B16A" w14:textId="77777777" w:rsidR="00C35794" w:rsidRPr="00AE7C4D" w:rsidRDefault="00C35794" w:rsidP="0015006F">
            <w:pPr>
              <w:jc w:val="center"/>
              <w:rPr>
                <w:color w:val="000000"/>
              </w:rPr>
            </w:pPr>
            <w:r>
              <w:rPr>
                <w:color w:val="000000"/>
              </w:rPr>
              <w:t>-</w:t>
            </w:r>
            <w:r w:rsidRPr="00AE7C4D">
              <w:rPr>
                <w:color w:val="000000"/>
              </w:rPr>
              <w:t>0.28</w:t>
            </w:r>
          </w:p>
        </w:tc>
        <w:tc>
          <w:tcPr>
            <w:tcW w:w="1080" w:type="dxa"/>
            <w:tcBorders>
              <w:top w:val="nil"/>
              <w:left w:val="nil"/>
              <w:bottom w:val="single" w:sz="4" w:space="0" w:color="auto"/>
              <w:right w:val="nil"/>
            </w:tcBorders>
            <w:shd w:val="clear" w:color="auto" w:fill="FFFFFF" w:themeFill="background1"/>
            <w:noWrap/>
            <w:vAlign w:val="center"/>
            <w:hideMark/>
          </w:tcPr>
          <w:p w14:paraId="35F10168" w14:textId="77777777" w:rsidR="00C35794" w:rsidRPr="00AE7C4D" w:rsidRDefault="00C35794" w:rsidP="0015006F">
            <w:pPr>
              <w:jc w:val="center"/>
              <w:rPr>
                <w:color w:val="000000"/>
              </w:rPr>
            </w:pPr>
            <w:r w:rsidRPr="00AE7C4D">
              <w:rPr>
                <w:color w:val="000000"/>
              </w:rPr>
              <w:t>0.35</w:t>
            </w:r>
          </w:p>
        </w:tc>
        <w:tc>
          <w:tcPr>
            <w:tcW w:w="1170" w:type="dxa"/>
            <w:tcBorders>
              <w:top w:val="nil"/>
              <w:left w:val="nil"/>
              <w:bottom w:val="single" w:sz="4" w:space="0" w:color="auto"/>
              <w:right w:val="nil"/>
            </w:tcBorders>
            <w:shd w:val="clear" w:color="auto" w:fill="FFFFFF" w:themeFill="background1"/>
            <w:noWrap/>
            <w:vAlign w:val="center"/>
            <w:hideMark/>
          </w:tcPr>
          <w:p w14:paraId="79CFBAB6" w14:textId="77777777" w:rsidR="00C35794" w:rsidRPr="00AE7C4D" w:rsidRDefault="00C35794" w:rsidP="0015006F">
            <w:pPr>
              <w:jc w:val="center"/>
              <w:rPr>
                <w:color w:val="000000"/>
              </w:rPr>
            </w:pPr>
            <w:r w:rsidRPr="00AE7C4D">
              <w:rPr>
                <w:color w:val="000000"/>
              </w:rPr>
              <w:t>0.58</w:t>
            </w:r>
          </w:p>
        </w:tc>
        <w:tc>
          <w:tcPr>
            <w:tcW w:w="1840" w:type="dxa"/>
            <w:tcBorders>
              <w:top w:val="nil"/>
              <w:left w:val="nil"/>
              <w:bottom w:val="single" w:sz="4" w:space="0" w:color="auto"/>
              <w:right w:val="nil"/>
            </w:tcBorders>
            <w:shd w:val="clear" w:color="auto" w:fill="FFFFFF" w:themeFill="background1"/>
            <w:noWrap/>
            <w:vAlign w:val="center"/>
            <w:hideMark/>
          </w:tcPr>
          <w:p w14:paraId="313AC058" w14:textId="77777777" w:rsidR="00C35794" w:rsidRPr="00AE7C4D" w:rsidRDefault="00C35794" w:rsidP="0015006F">
            <w:pPr>
              <w:jc w:val="center"/>
              <w:rPr>
                <w:color w:val="000000"/>
              </w:rPr>
            </w:pPr>
            <w:r w:rsidRPr="00AE7C4D">
              <w:rPr>
                <w:color w:val="000000"/>
              </w:rPr>
              <w:t>1.38</w:t>
            </w:r>
          </w:p>
        </w:tc>
      </w:tr>
      <w:tr w:rsidR="00C35794" w:rsidRPr="00AE7C4D" w14:paraId="04046DB1" w14:textId="77777777" w:rsidTr="0015006F">
        <w:trPr>
          <w:trHeight w:val="410"/>
        </w:trPr>
        <w:tc>
          <w:tcPr>
            <w:tcW w:w="2250" w:type="dxa"/>
            <w:tcBorders>
              <w:top w:val="nil"/>
              <w:left w:val="nil"/>
              <w:bottom w:val="nil"/>
              <w:right w:val="single" w:sz="4" w:space="0" w:color="auto"/>
            </w:tcBorders>
            <w:shd w:val="clear" w:color="auto" w:fill="FFFFFF" w:themeFill="background1"/>
            <w:noWrap/>
            <w:vAlign w:val="bottom"/>
            <w:hideMark/>
          </w:tcPr>
          <w:p w14:paraId="15E9721E" w14:textId="77777777" w:rsidR="00C35794" w:rsidRPr="00AE7C4D" w:rsidRDefault="00C35794" w:rsidP="0015006F">
            <w:pPr>
              <w:rPr>
                <w:color w:val="000000"/>
              </w:rPr>
            </w:pPr>
            <w:r w:rsidRPr="000E6342">
              <w:rPr>
                <w:color w:val="000000"/>
                <w:szCs w:val="24"/>
              </w:rPr>
              <w:t>Ω</w:t>
            </w:r>
            <w:r w:rsidRPr="00AE7C4D">
              <w:rPr>
                <w:rFonts w:ascii="Calibri" w:hAnsi="Calibri"/>
                <w:color w:val="000000"/>
                <w:vertAlign w:val="subscript"/>
              </w:rPr>
              <w:t xml:space="preserve"> </w:t>
            </w:r>
            <w:r>
              <w:rPr>
                <w:rFonts w:ascii="Calibri" w:hAnsi="Calibri"/>
                <w:color w:val="000000"/>
                <w:vertAlign w:val="subscript"/>
              </w:rPr>
              <w:t>CO2</w:t>
            </w:r>
            <w:r w:rsidRPr="00AE7C4D">
              <w:rPr>
                <w:color w:val="000000"/>
              </w:rPr>
              <w:t xml:space="preserve"> change from present</w:t>
            </w:r>
            <w:r>
              <w:rPr>
                <w:color w:val="000000"/>
              </w:rPr>
              <w:t xml:space="preserve"> to 2030</w:t>
            </w:r>
          </w:p>
        </w:tc>
        <w:tc>
          <w:tcPr>
            <w:tcW w:w="990" w:type="dxa"/>
            <w:tcBorders>
              <w:top w:val="nil"/>
              <w:left w:val="single" w:sz="4" w:space="0" w:color="auto"/>
              <w:bottom w:val="nil"/>
              <w:right w:val="nil"/>
            </w:tcBorders>
            <w:shd w:val="clear" w:color="auto" w:fill="FFFFFF" w:themeFill="background1"/>
            <w:noWrap/>
            <w:vAlign w:val="center"/>
            <w:hideMark/>
          </w:tcPr>
          <w:p w14:paraId="37CBAE35" w14:textId="77777777" w:rsidR="00C35794" w:rsidRPr="00AE7C4D" w:rsidRDefault="00C35794" w:rsidP="0015006F">
            <w:pPr>
              <w:jc w:val="center"/>
              <w:rPr>
                <w:color w:val="000000"/>
              </w:rPr>
            </w:pPr>
            <w:r w:rsidRPr="00AE7C4D">
              <w:rPr>
                <w:color w:val="000000"/>
              </w:rPr>
              <w:t>-0.08</w:t>
            </w:r>
          </w:p>
        </w:tc>
        <w:tc>
          <w:tcPr>
            <w:tcW w:w="1530" w:type="dxa"/>
            <w:tcBorders>
              <w:top w:val="nil"/>
              <w:left w:val="nil"/>
              <w:bottom w:val="nil"/>
              <w:right w:val="nil"/>
            </w:tcBorders>
            <w:shd w:val="clear" w:color="auto" w:fill="FFFFFF" w:themeFill="background1"/>
            <w:noWrap/>
            <w:vAlign w:val="center"/>
            <w:hideMark/>
          </w:tcPr>
          <w:p w14:paraId="1BE701C5" w14:textId="77777777" w:rsidR="00C35794" w:rsidRPr="00AE7C4D" w:rsidRDefault="00C35794" w:rsidP="0015006F">
            <w:pPr>
              <w:jc w:val="center"/>
              <w:rPr>
                <w:color w:val="000000"/>
              </w:rPr>
            </w:pPr>
            <w:r w:rsidRPr="00AE7C4D">
              <w:rPr>
                <w:color w:val="000000"/>
              </w:rPr>
              <w:t>-0.08</w:t>
            </w:r>
          </w:p>
        </w:tc>
        <w:tc>
          <w:tcPr>
            <w:tcW w:w="1080" w:type="dxa"/>
            <w:tcBorders>
              <w:top w:val="nil"/>
              <w:left w:val="nil"/>
              <w:bottom w:val="nil"/>
              <w:right w:val="nil"/>
            </w:tcBorders>
            <w:shd w:val="clear" w:color="auto" w:fill="FFFFFF" w:themeFill="background1"/>
            <w:noWrap/>
            <w:vAlign w:val="center"/>
            <w:hideMark/>
          </w:tcPr>
          <w:p w14:paraId="083BA63B" w14:textId="77777777" w:rsidR="00C35794" w:rsidRPr="00AE7C4D" w:rsidRDefault="00C35794" w:rsidP="0015006F">
            <w:pPr>
              <w:jc w:val="center"/>
              <w:rPr>
                <w:color w:val="000000"/>
              </w:rPr>
            </w:pPr>
            <w:r w:rsidRPr="00AE7C4D">
              <w:rPr>
                <w:color w:val="000000"/>
              </w:rPr>
              <w:t>-0.07</w:t>
            </w:r>
          </w:p>
        </w:tc>
        <w:tc>
          <w:tcPr>
            <w:tcW w:w="1170" w:type="dxa"/>
            <w:tcBorders>
              <w:top w:val="nil"/>
              <w:left w:val="nil"/>
              <w:bottom w:val="nil"/>
              <w:right w:val="nil"/>
            </w:tcBorders>
            <w:shd w:val="clear" w:color="auto" w:fill="FFFFFF" w:themeFill="background1"/>
            <w:noWrap/>
            <w:vAlign w:val="center"/>
            <w:hideMark/>
          </w:tcPr>
          <w:p w14:paraId="7364D9BB" w14:textId="77777777" w:rsidR="00C35794" w:rsidRPr="00AE7C4D" w:rsidRDefault="00C35794" w:rsidP="0015006F">
            <w:pPr>
              <w:jc w:val="center"/>
              <w:rPr>
                <w:color w:val="000000"/>
              </w:rPr>
            </w:pPr>
            <w:r w:rsidRPr="00AE7C4D">
              <w:rPr>
                <w:color w:val="000000"/>
              </w:rPr>
              <w:t>-0.06</w:t>
            </w:r>
          </w:p>
        </w:tc>
        <w:tc>
          <w:tcPr>
            <w:tcW w:w="1840" w:type="dxa"/>
            <w:tcBorders>
              <w:top w:val="nil"/>
              <w:left w:val="nil"/>
              <w:bottom w:val="nil"/>
              <w:right w:val="nil"/>
            </w:tcBorders>
            <w:shd w:val="clear" w:color="auto" w:fill="FFFFFF" w:themeFill="background1"/>
            <w:noWrap/>
            <w:vAlign w:val="center"/>
            <w:hideMark/>
          </w:tcPr>
          <w:p w14:paraId="7F01D2E4" w14:textId="77777777" w:rsidR="00C35794" w:rsidRPr="00AE7C4D" w:rsidRDefault="00C35794" w:rsidP="0015006F">
            <w:pPr>
              <w:jc w:val="center"/>
              <w:rPr>
                <w:color w:val="000000"/>
              </w:rPr>
            </w:pPr>
            <w:r w:rsidRPr="00AE7C4D">
              <w:rPr>
                <w:color w:val="000000"/>
              </w:rPr>
              <w:t>-0.06</w:t>
            </w:r>
          </w:p>
        </w:tc>
      </w:tr>
      <w:tr w:rsidR="00C35794" w:rsidRPr="00AE7C4D" w14:paraId="197FCCC1" w14:textId="77777777" w:rsidTr="0015006F">
        <w:trPr>
          <w:trHeight w:val="410"/>
        </w:trPr>
        <w:tc>
          <w:tcPr>
            <w:tcW w:w="2250" w:type="dxa"/>
            <w:tcBorders>
              <w:top w:val="nil"/>
              <w:left w:val="nil"/>
              <w:bottom w:val="single" w:sz="4" w:space="0" w:color="auto"/>
              <w:right w:val="single" w:sz="4" w:space="0" w:color="auto"/>
            </w:tcBorders>
            <w:shd w:val="clear" w:color="auto" w:fill="FFFFFF" w:themeFill="background1"/>
            <w:noWrap/>
            <w:vAlign w:val="bottom"/>
            <w:hideMark/>
          </w:tcPr>
          <w:p w14:paraId="38F0D254" w14:textId="77777777" w:rsidR="00C35794" w:rsidRPr="00AE7C4D" w:rsidRDefault="00C35794" w:rsidP="0015006F">
            <w:pPr>
              <w:rPr>
                <w:color w:val="000000"/>
              </w:rPr>
            </w:pPr>
            <w:r w:rsidRPr="00AE7C4D">
              <w:rPr>
                <w:color w:val="000000"/>
              </w:rPr>
              <w:t>Ratio</w:t>
            </w:r>
          </w:p>
        </w:tc>
        <w:tc>
          <w:tcPr>
            <w:tcW w:w="990" w:type="dxa"/>
            <w:tcBorders>
              <w:top w:val="nil"/>
              <w:left w:val="single" w:sz="4" w:space="0" w:color="auto"/>
              <w:bottom w:val="single" w:sz="4" w:space="0" w:color="auto"/>
              <w:right w:val="nil"/>
            </w:tcBorders>
            <w:shd w:val="clear" w:color="auto" w:fill="FFFFFF" w:themeFill="background1"/>
            <w:noWrap/>
            <w:vAlign w:val="center"/>
            <w:hideMark/>
          </w:tcPr>
          <w:p w14:paraId="09C1AEBF" w14:textId="77777777" w:rsidR="00C35794" w:rsidRPr="00AE7C4D" w:rsidRDefault="00C35794" w:rsidP="0015006F">
            <w:pPr>
              <w:jc w:val="center"/>
              <w:rPr>
                <w:color w:val="000000"/>
              </w:rPr>
            </w:pPr>
            <w:r w:rsidRPr="00AE7C4D">
              <w:rPr>
                <w:color w:val="000000"/>
              </w:rPr>
              <w:t>0.39</w:t>
            </w:r>
          </w:p>
        </w:tc>
        <w:tc>
          <w:tcPr>
            <w:tcW w:w="1530" w:type="dxa"/>
            <w:tcBorders>
              <w:top w:val="nil"/>
              <w:left w:val="nil"/>
              <w:bottom w:val="single" w:sz="4" w:space="0" w:color="auto"/>
              <w:right w:val="nil"/>
            </w:tcBorders>
            <w:shd w:val="clear" w:color="auto" w:fill="FFFFFF" w:themeFill="background1"/>
            <w:noWrap/>
            <w:vAlign w:val="center"/>
            <w:hideMark/>
          </w:tcPr>
          <w:p w14:paraId="66597AC6" w14:textId="77777777" w:rsidR="00C35794" w:rsidRPr="00AE7C4D" w:rsidRDefault="00C35794" w:rsidP="0015006F">
            <w:pPr>
              <w:jc w:val="center"/>
              <w:rPr>
                <w:color w:val="000000"/>
              </w:rPr>
            </w:pPr>
            <w:r>
              <w:rPr>
                <w:color w:val="000000"/>
              </w:rPr>
              <w:t>-</w:t>
            </w:r>
            <w:r w:rsidRPr="00AE7C4D">
              <w:rPr>
                <w:color w:val="000000"/>
              </w:rPr>
              <w:t>1.94</w:t>
            </w:r>
          </w:p>
        </w:tc>
        <w:tc>
          <w:tcPr>
            <w:tcW w:w="1080" w:type="dxa"/>
            <w:tcBorders>
              <w:top w:val="nil"/>
              <w:left w:val="nil"/>
              <w:bottom w:val="single" w:sz="4" w:space="0" w:color="auto"/>
              <w:right w:val="nil"/>
            </w:tcBorders>
            <w:shd w:val="clear" w:color="auto" w:fill="FFFFFF" w:themeFill="background1"/>
            <w:noWrap/>
            <w:vAlign w:val="center"/>
            <w:hideMark/>
          </w:tcPr>
          <w:p w14:paraId="11C7F046" w14:textId="77777777" w:rsidR="00C35794" w:rsidRPr="00AE7C4D" w:rsidRDefault="00C35794" w:rsidP="0015006F">
            <w:pPr>
              <w:jc w:val="center"/>
              <w:rPr>
                <w:color w:val="000000"/>
              </w:rPr>
            </w:pPr>
            <w:r w:rsidRPr="00AE7C4D">
              <w:rPr>
                <w:color w:val="000000"/>
              </w:rPr>
              <w:t>2.37</w:t>
            </w:r>
          </w:p>
        </w:tc>
        <w:tc>
          <w:tcPr>
            <w:tcW w:w="1170" w:type="dxa"/>
            <w:tcBorders>
              <w:top w:val="nil"/>
              <w:left w:val="nil"/>
              <w:bottom w:val="single" w:sz="4" w:space="0" w:color="auto"/>
              <w:right w:val="nil"/>
            </w:tcBorders>
            <w:shd w:val="clear" w:color="auto" w:fill="FFFFFF" w:themeFill="background1"/>
            <w:noWrap/>
            <w:vAlign w:val="center"/>
            <w:hideMark/>
          </w:tcPr>
          <w:p w14:paraId="3E5967F3" w14:textId="77777777" w:rsidR="00C35794" w:rsidRPr="00AE7C4D" w:rsidRDefault="00C35794" w:rsidP="0015006F">
            <w:pPr>
              <w:jc w:val="center"/>
              <w:rPr>
                <w:color w:val="000000"/>
              </w:rPr>
            </w:pPr>
            <w:r w:rsidRPr="00AE7C4D">
              <w:rPr>
                <w:color w:val="000000"/>
              </w:rPr>
              <w:t>4.02</w:t>
            </w:r>
          </w:p>
        </w:tc>
        <w:tc>
          <w:tcPr>
            <w:tcW w:w="1840" w:type="dxa"/>
            <w:tcBorders>
              <w:top w:val="nil"/>
              <w:left w:val="nil"/>
              <w:bottom w:val="single" w:sz="4" w:space="0" w:color="auto"/>
              <w:right w:val="nil"/>
            </w:tcBorders>
            <w:shd w:val="clear" w:color="auto" w:fill="FFFFFF" w:themeFill="background1"/>
            <w:noWrap/>
            <w:vAlign w:val="center"/>
            <w:hideMark/>
          </w:tcPr>
          <w:p w14:paraId="06F5A9CD" w14:textId="77777777" w:rsidR="00C35794" w:rsidRPr="00AE7C4D" w:rsidRDefault="00C35794" w:rsidP="0015006F">
            <w:pPr>
              <w:jc w:val="center"/>
              <w:rPr>
                <w:color w:val="000000"/>
              </w:rPr>
            </w:pPr>
            <w:r w:rsidRPr="00AE7C4D">
              <w:rPr>
                <w:color w:val="000000"/>
              </w:rPr>
              <w:t>9.54</w:t>
            </w:r>
          </w:p>
        </w:tc>
      </w:tr>
    </w:tbl>
    <w:p w14:paraId="56DED331" w14:textId="77777777" w:rsidR="00C35794" w:rsidRDefault="00C35794" w:rsidP="00C35794">
      <w:pPr>
        <w:pStyle w:val="SMcaption"/>
        <w:rPr>
          <w:rFonts w:ascii="Myriad Pro" w:hAnsi="Myriad Pro"/>
          <w:sz w:val="22"/>
          <w:szCs w:val="22"/>
        </w:rPr>
      </w:pPr>
    </w:p>
    <w:p w14:paraId="109A424A" w14:textId="2A078A39" w:rsidR="002078E1" w:rsidRPr="005314B5" w:rsidRDefault="002078E1" w:rsidP="002078E1">
      <w:pPr>
        <w:pStyle w:val="SMHeading"/>
        <w:rPr>
          <w:rFonts w:ascii="Myriad Pro" w:hAnsi="Myriad Pro"/>
          <w:sz w:val="22"/>
          <w:szCs w:val="22"/>
        </w:rPr>
      </w:pPr>
      <w:r>
        <w:rPr>
          <w:rFonts w:ascii="Myriad Pro" w:hAnsi="Myriad Pro"/>
          <w:sz w:val="22"/>
          <w:szCs w:val="22"/>
        </w:rPr>
        <w:t xml:space="preserve">Text S3. </w:t>
      </w:r>
      <w:r w:rsidRPr="005314B5">
        <w:rPr>
          <w:rFonts w:ascii="Myriad Pro" w:hAnsi="Myriad Pro"/>
          <w:b w:val="0"/>
          <w:sz w:val="22"/>
          <w:szCs w:val="22"/>
        </w:rPr>
        <w:t xml:space="preserve"> </w:t>
      </w:r>
      <w:r w:rsidRPr="005314B5">
        <w:rPr>
          <w:rFonts w:ascii="Myriad Pro" w:hAnsi="Myriad Pro"/>
          <w:sz w:val="22"/>
          <w:szCs w:val="22"/>
        </w:rPr>
        <w:t xml:space="preserve"> </w:t>
      </w:r>
      <w:r>
        <w:rPr>
          <w:rFonts w:ascii="Myriad Pro" w:hAnsi="Myriad Pro"/>
          <w:sz w:val="22"/>
          <w:szCs w:val="22"/>
        </w:rPr>
        <w:t>Regional measurements of riverine DIC and ALK</w:t>
      </w:r>
    </w:p>
    <w:p w14:paraId="7F792F84" w14:textId="029399FD" w:rsidR="00B9440A" w:rsidRPr="002E7D29" w:rsidRDefault="002078E1" w:rsidP="002078E1">
      <w:pPr>
        <w:pStyle w:val="SMcaption"/>
        <w:rPr>
          <w:rFonts w:ascii="Myriad Pro" w:hAnsi="Myriad Pro"/>
          <w:sz w:val="22"/>
          <w:szCs w:val="22"/>
        </w:rPr>
      </w:pPr>
      <w:r>
        <w:rPr>
          <w:rFonts w:ascii="Myriad Pro" w:hAnsi="Myriad Pro"/>
          <w:sz w:val="22"/>
          <w:szCs w:val="22"/>
        </w:rPr>
        <w:t xml:space="preserve">Our measurements of the freshwater endmember for Buzzards Bay were compared to other regional publicly available measurements (Hartmann et al. 2019).  Direct measurements riverine carbonate system variables were available from the Global Rivers Chemistry Database (GLORICH). </w:t>
      </w:r>
      <w:r w:rsidR="002E7D29">
        <w:rPr>
          <w:rFonts w:ascii="Myriad Pro" w:hAnsi="Myriad Pro"/>
          <w:sz w:val="22"/>
          <w:szCs w:val="22"/>
        </w:rPr>
        <w:t>There were 16 sampling stations located w</w:t>
      </w:r>
      <w:r>
        <w:rPr>
          <w:rFonts w:ascii="Myriad Pro" w:hAnsi="Myriad Pro"/>
          <w:sz w:val="22"/>
          <w:szCs w:val="22"/>
        </w:rPr>
        <w:t xml:space="preserve">ithin a 100 km </w:t>
      </w:r>
      <w:r w:rsidR="002E7D29">
        <w:rPr>
          <w:rFonts w:ascii="Myriad Pro" w:hAnsi="Myriad Pro"/>
          <w:sz w:val="22"/>
          <w:szCs w:val="22"/>
        </w:rPr>
        <w:t>radius around</w:t>
      </w:r>
      <w:r>
        <w:rPr>
          <w:rFonts w:ascii="Myriad Pro" w:hAnsi="Myriad Pro"/>
          <w:sz w:val="22"/>
          <w:szCs w:val="22"/>
        </w:rPr>
        <w:t xml:space="preserve"> Buzzards Bay</w:t>
      </w:r>
      <w:r w:rsidR="002E7D29">
        <w:rPr>
          <w:rFonts w:ascii="Myriad Pro" w:hAnsi="Myriad Pro"/>
          <w:sz w:val="22"/>
          <w:szCs w:val="22"/>
        </w:rPr>
        <w:t xml:space="preserve"> which contained a total of 980 measurements of river chemistry, including ALK, pH, and temperature. Unfortunately, DIC was not measured at these stations, but DIC was estimated from ALK, pH (NBS), and temperature, assuming a salinity of zero using CO2SYS (K1 and K2 dissociation coefficients from Millero et al. 2010 and KSO4 dissociation coefficients from Dickson (1990) with total boron from Uppstrom 1979. The average </w:t>
      </w:r>
      <w:r w:rsidR="002E7D29">
        <w:rPr>
          <w:rFonts w:ascii="Corbel" w:hAnsi="Corbel"/>
          <w:sz w:val="22"/>
          <w:szCs w:val="22"/>
        </w:rPr>
        <w:t>±</w:t>
      </w:r>
      <w:r w:rsidR="002E7D29">
        <w:rPr>
          <w:rFonts w:ascii="Myriad Pro" w:hAnsi="Myriad Pro"/>
          <w:sz w:val="22"/>
          <w:szCs w:val="22"/>
        </w:rPr>
        <w:t xml:space="preserve"> standard deviation of DIC and ALK were 665 </w:t>
      </w:r>
      <w:r w:rsidR="002E7D29">
        <w:rPr>
          <w:rFonts w:ascii="Corbel" w:hAnsi="Corbel"/>
          <w:sz w:val="22"/>
          <w:szCs w:val="22"/>
        </w:rPr>
        <w:t>±</w:t>
      </w:r>
      <w:r w:rsidR="002E7D29">
        <w:rPr>
          <w:rFonts w:ascii="Myriad Pro" w:hAnsi="Myriad Pro"/>
          <w:sz w:val="22"/>
          <w:szCs w:val="22"/>
        </w:rPr>
        <w:t xml:space="preserve"> 279 and 473 </w:t>
      </w:r>
      <w:r w:rsidR="002E7D29">
        <w:rPr>
          <w:rFonts w:ascii="Corbel" w:hAnsi="Corbel"/>
          <w:sz w:val="22"/>
          <w:szCs w:val="22"/>
        </w:rPr>
        <w:t xml:space="preserve">± </w:t>
      </w:r>
      <w:r w:rsidR="002E7D29">
        <w:rPr>
          <w:rFonts w:ascii="Myriad Pro" w:hAnsi="Myriad Pro"/>
          <w:sz w:val="22"/>
          <w:szCs w:val="22"/>
        </w:rPr>
        <w:t>225 (</w:t>
      </w:r>
      <w:r w:rsidR="002E7D29">
        <w:rPr>
          <w:rFonts w:ascii="Corbel" w:hAnsi="Corbel"/>
          <w:sz w:val="22"/>
          <w:szCs w:val="22"/>
        </w:rPr>
        <w:t>µ</w:t>
      </w:r>
      <w:r w:rsidR="002E7D29">
        <w:rPr>
          <w:rFonts w:ascii="Myriad Pro" w:hAnsi="Myriad Pro"/>
          <w:sz w:val="22"/>
          <w:szCs w:val="22"/>
        </w:rPr>
        <w:t>mol kg</w:t>
      </w:r>
      <w:r w:rsidR="002E7D29">
        <w:rPr>
          <w:rFonts w:ascii="Myriad Pro" w:hAnsi="Myriad Pro"/>
          <w:sz w:val="22"/>
          <w:szCs w:val="22"/>
          <w:vertAlign w:val="superscript"/>
        </w:rPr>
        <w:t>-1</w:t>
      </w:r>
      <w:r w:rsidR="002E7D29">
        <w:rPr>
          <w:rFonts w:ascii="Myriad Pro" w:hAnsi="Myriad Pro"/>
          <w:sz w:val="22"/>
          <w:szCs w:val="22"/>
        </w:rPr>
        <w:t xml:space="preserve">). </w:t>
      </w:r>
    </w:p>
    <w:p w14:paraId="1F8CBD87" w14:textId="63E68869" w:rsidR="002078E1" w:rsidRDefault="002078E1" w:rsidP="002078E1">
      <w:pPr>
        <w:pStyle w:val="SMcaption"/>
        <w:rPr>
          <w:rFonts w:ascii="Myriad Pro" w:hAnsi="Myriad Pro"/>
          <w:sz w:val="22"/>
          <w:szCs w:val="22"/>
        </w:rPr>
      </w:pPr>
    </w:p>
    <w:p w14:paraId="1F49B339" w14:textId="77777777" w:rsidR="00C35794" w:rsidRDefault="00C35794" w:rsidP="00C35794">
      <w:pPr>
        <w:pStyle w:val="SMcaption"/>
        <w:rPr>
          <w:rFonts w:ascii="Myriad Pro" w:hAnsi="Myriad Pro"/>
          <w:b/>
          <w:i/>
          <w:sz w:val="22"/>
          <w:szCs w:val="22"/>
        </w:rPr>
      </w:pPr>
      <w:r>
        <w:rPr>
          <w:rFonts w:ascii="Myriad Pro" w:hAnsi="Myriad Pro"/>
          <w:b/>
          <w:i/>
          <w:noProof/>
          <w:sz w:val="22"/>
          <w:szCs w:val="22"/>
        </w:rPr>
        <w:drawing>
          <wp:inline distT="0" distB="0" distL="0" distR="0" wp14:anchorId="208547EE" wp14:editId="34252EDB">
            <wp:extent cx="4362450" cy="32718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7277" cy="3275458"/>
                    </a:xfrm>
                    <a:prstGeom prst="rect">
                      <a:avLst/>
                    </a:prstGeom>
                  </pic:spPr>
                </pic:pic>
              </a:graphicData>
            </a:graphic>
          </wp:inline>
        </w:drawing>
      </w:r>
    </w:p>
    <w:p w14:paraId="696D488D" w14:textId="77777777" w:rsidR="00C35794" w:rsidRDefault="00C35794" w:rsidP="00C35794">
      <w:pPr>
        <w:pStyle w:val="SMHeading"/>
        <w:rPr>
          <w:rFonts w:ascii="Myriad Pro" w:hAnsi="Myriad Pro"/>
          <w:b w:val="0"/>
          <w:sz w:val="22"/>
          <w:szCs w:val="22"/>
        </w:rPr>
      </w:pPr>
      <w:r>
        <w:rPr>
          <w:rFonts w:ascii="Myriad Pro" w:hAnsi="Myriad Pro"/>
          <w:sz w:val="22"/>
          <w:szCs w:val="22"/>
        </w:rPr>
        <w:t>Figure S5</w:t>
      </w:r>
      <w:r w:rsidRPr="005314B5">
        <w:rPr>
          <w:rFonts w:ascii="Myriad Pro" w:hAnsi="Myriad Pro"/>
          <w:sz w:val="22"/>
          <w:szCs w:val="22"/>
        </w:rPr>
        <w:t xml:space="preserve">. </w:t>
      </w:r>
      <w:r>
        <w:rPr>
          <w:rFonts w:ascii="Myriad Pro" w:hAnsi="Myriad Pro"/>
          <w:b w:val="0"/>
          <w:sz w:val="22"/>
          <w:szCs w:val="22"/>
        </w:rPr>
        <w:t xml:space="preserve">Estimated error term from the </w:t>
      </w:r>
      <w:r>
        <w:rPr>
          <w:rFonts w:ascii="Corbel" w:hAnsi="Corbel"/>
          <w:b w:val="0"/>
          <w:sz w:val="22"/>
          <w:szCs w:val="22"/>
        </w:rPr>
        <w:t>Ω</w:t>
      </w:r>
      <w:r>
        <w:rPr>
          <w:rFonts w:ascii="Myriad Pro" w:hAnsi="Myriad Pro"/>
          <w:b w:val="0"/>
          <w:sz w:val="22"/>
          <w:szCs w:val="22"/>
        </w:rPr>
        <w:t xml:space="preserve"> decomposition. </w:t>
      </w:r>
    </w:p>
    <w:p w14:paraId="1E0C0135" w14:textId="77777777" w:rsidR="00C35794" w:rsidRDefault="00C35794" w:rsidP="002078E1">
      <w:pPr>
        <w:pStyle w:val="SMcaption"/>
        <w:rPr>
          <w:rFonts w:ascii="Myriad Pro" w:hAnsi="Myriad Pro"/>
          <w:sz w:val="22"/>
          <w:szCs w:val="22"/>
        </w:rPr>
      </w:pPr>
    </w:p>
    <w:p w14:paraId="010BA404" w14:textId="77777777" w:rsidR="002E7D29" w:rsidRPr="00992EA0" w:rsidRDefault="002E7D29" w:rsidP="002E7D29">
      <w:pPr>
        <w:rPr>
          <w:szCs w:val="24"/>
        </w:rPr>
      </w:pPr>
      <w:r w:rsidRPr="00992EA0">
        <w:rPr>
          <w:noProof/>
          <w:szCs w:val="24"/>
        </w:rPr>
        <w:drawing>
          <wp:inline distT="0" distB="0" distL="0" distR="0" wp14:anchorId="30D221A0" wp14:editId="0860B4CB">
            <wp:extent cx="5583947" cy="733350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3947" cy="7333503"/>
                    </a:xfrm>
                    <a:prstGeom prst="rect">
                      <a:avLst/>
                    </a:prstGeom>
                  </pic:spPr>
                </pic:pic>
              </a:graphicData>
            </a:graphic>
          </wp:inline>
        </w:drawing>
      </w:r>
    </w:p>
    <w:p w14:paraId="2ECE11ED" w14:textId="291EEB8A" w:rsidR="002E7D29" w:rsidRPr="002E7D29" w:rsidRDefault="002E7D29" w:rsidP="002E7D29">
      <w:pPr>
        <w:pStyle w:val="SMHeading"/>
        <w:rPr>
          <w:rFonts w:ascii="Myriad Pro" w:hAnsi="Myriad Pro"/>
          <w:b w:val="0"/>
          <w:sz w:val="22"/>
          <w:szCs w:val="22"/>
        </w:rPr>
      </w:pPr>
      <w:r>
        <w:rPr>
          <w:rFonts w:ascii="Myriad Pro" w:hAnsi="Myriad Pro"/>
          <w:sz w:val="22"/>
          <w:szCs w:val="22"/>
        </w:rPr>
        <w:t>Figure S6</w:t>
      </w:r>
      <w:r w:rsidRPr="005314B5">
        <w:rPr>
          <w:rFonts w:ascii="Myriad Pro" w:hAnsi="Myriad Pro"/>
          <w:sz w:val="22"/>
          <w:szCs w:val="22"/>
        </w:rPr>
        <w:t xml:space="preserve">. </w:t>
      </w:r>
      <w:r w:rsidRPr="002E7D29">
        <w:rPr>
          <w:rFonts w:ascii="Myriad Pro" w:hAnsi="Myriad Pro"/>
          <w:b w:val="0"/>
          <w:sz w:val="22"/>
          <w:szCs w:val="22"/>
        </w:rPr>
        <w:t>Time series of total alkalinity (ALK) from all embayments and the Buzzards Bay reference station (CBB1). Inner harbors are plotted in red, outer harbor stations are plotted in blue.</w:t>
      </w:r>
    </w:p>
    <w:p w14:paraId="70CF0D26" w14:textId="77777777" w:rsidR="002E7D29" w:rsidRDefault="002E7D29" w:rsidP="002E7D29">
      <w:pPr>
        <w:rPr>
          <w:szCs w:val="24"/>
        </w:rPr>
      </w:pPr>
    </w:p>
    <w:p w14:paraId="17DE3847" w14:textId="30420B41" w:rsidR="002E7D29" w:rsidRPr="00992EA0" w:rsidRDefault="002E7D29" w:rsidP="002E7D29">
      <w:pPr>
        <w:rPr>
          <w:szCs w:val="24"/>
        </w:rPr>
      </w:pPr>
      <w:r w:rsidRPr="00992EA0">
        <w:rPr>
          <w:noProof/>
          <w:szCs w:val="24"/>
        </w:rPr>
        <w:drawing>
          <wp:inline distT="0" distB="0" distL="0" distR="0" wp14:anchorId="70B68F7B" wp14:editId="39E07060">
            <wp:extent cx="5486400" cy="7205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4321C440" w14:textId="026256E1" w:rsidR="002E7D29" w:rsidRPr="002E7D29" w:rsidRDefault="002E7D29" w:rsidP="002E7D29">
      <w:pPr>
        <w:pStyle w:val="SMHeading"/>
        <w:rPr>
          <w:rFonts w:ascii="Myriad Pro" w:hAnsi="Myriad Pro"/>
          <w:b w:val="0"/>
          <w:sz w:val="22"/>
          <w:szCs w:val="22"/>
        </w:rPr>
      </w:pPr>
      <w:r>
        <w:rPr>
          <w:rFonts w:ascii="Myriad Pro" w:hAnsi="Myriad Pro"/>
          <w:sz w:val="22"/>
          <w:szCs w:val="22"/>
        </w:rPr>
        <w:t>Figure S7</w:t>
      </w:r>
      <w:r w:rsidRPr="005314B5">
        <w:rPr>
          <w:rFonts w:ascii="Myriad Pro" w:hAnsi="Myriad Pro"/>
          <w:sz w:val="22"/>
          <w:szCs w:val="22"/>
        </w:rPr>
        <w:t xml:space="preserve">. </w:t>
      </w:r>
      <w:r w:rsidRPr="002E7D29">
        <w:rPr>
          <w:rFonts w:ascii="Myriad Pro" w:hAnsi="Myriad Pro"/>
          <w:b w:val="0"/>
          <w:sz w:val="22"/>
          <w:szCs w:val="22"/>
        </w:rPr>
        <w:t>Time series of</w:t>
      </w:r>
      <w:r>
        <w:rPr>
          <w:rFonts w:ascii="Myriad Pro" w:hAnsi="Myriad Pro"/>
          <w:b w:val="0"/>
          <w:sz w:val="22"/>
          <w:szCs w:val="22"/>
        </w:rPr>
        <w:t xml:space="preserve"> dissolved inorganic carbon </w:t>
      </w:r>
      <w:r w:rsidRPr="002E7D29">
        <w:rPr>
          <w:rFonts w:ascii="Myriad Pro" w:hAnsi="Myriad Pro"/>
          <w:b w:val="0"/>
          <w:sz w:val="22"/>
          <w:szCs w:val="22"/>
        </w:rPr>
        <w:t>(</w:t>
      </w:r>
      <w:r>
        <w:rPr>
          <w:rFonts w:ascii="Myriad Pro" w:hAnsi="Myriad Pro"/>
          <w:b w:val="0"/>
          <w:sz w:val="22"/>
          <w:szCs w:val="22"/>
        </w:rPr>
        <w:t>DIC</w:t>
      </w:r>
      <w:r w:rsidRPr="002E7D29">
        <w:rPr>
          <w:rFonts w:ascii="Myriad Pro" w:hAnsi="Myriad Pro"/>
          <w:b w:val="0"/>
          <w:sz w:val="22"/>
          <w:szCs w:val="22"/>
        </w:rPr>
        <w:t>) from all embayments and the Buzzards Bay reference station (CBB1). Inner harbors are plotted in red, outer harbor stations are plotted in blue.</w:t>
      </w:r>
    </w:p>
    <w:p w14:paraId="5B8B870E" w14:textId="6F013F03" w:rsidR="002E7D29" w:rsidRDefault="002E7D29" w:rsidP="002078E1">
      <w:pPr>
        <w:pStyle w:val="SMcaption"/>
        <w:rPr>
          <w:rFonts w:ascii="Myriad Pro" w:hAnsi="Myriad Pro"/>
          <w:sz w:val="22"/>
          <w:szCs w:val="22"/>
        </w:rPr>
      </w:pPr>
    </w:p>
    <w:p w14:paraId="53246BFC" w14:textId="5C0CA683" w:rsidR="002E7D29" w:rsidRPr="00992EA0" w:rsidRDefault="003F2CDB" w:rsidP="002E7D29">
      <w:pPr>
        <w:rPr>
          <w:szCs w:val="24"/>
        </w:rPr>
      </w:pPr>
      <w:r>
        <w:rPr>
          <w:noProof/>
          <w:szCs w:val="24"/>
        </w:rPr>
        <w:drawing>
          <wp:inline distT="0" distB="0" distL="0" distR="0" wp14:anchorId="6C5CE0A7" wp14:editId="71EFEEA3">
            <wp:extent cx="5486411" cy="7315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11" cy="7315215"/>
                    </a:xfrm>
                    <a:prstGeom prst="rect">
                      <a:avLst/>
                    </a:prstGeom>
                  </pic:spPr>
                </pic:pic>
              </a:graphicData>
            </a:graphic>
          </wp:inline>
        </w:drawing>
      </w:r>
    </w:p>
    <w:p w14:paraId="374F79B1" w14:textId="38BE27ED" w:rsidR="002E7D29" w:rsidRPr="002E7D29" w:rsidRDefault="003F2CDB" w:rsidP="002E7D29">
      <w:pPr>
        <w:pStyle w:val="SMHeading"/>
        <w:rPr>
          <w:rFonts w:ascii="Myriad Pro" w:hAnsi="Myriad Pro"/>
          <w:b w:val="0"/>
          <w:sz w:val="22"/>
          <w:szCs w:val="22"/>
        </w:rPr>
      </w:pPr>
      <w:r>
        <w:rPr>
          <w:rFonts w:ascii="Myriad Pro" w:hAnsi="Myriad Pro"/>
          <w:sz w:val="22"/>
          <w:szCs w:val="22"/>
        </w:rPr>
        <w:t>Figure S8</w:t>
      </w:r>
      <w:r w:rsidR="002E7D29" w:rsidRPr="005314B5">
        <w:rPr>
          <w:rFonts w:ascii="Myriad Pro" w:hAnsi="Myriad Pro"/>
          <w:sz w:val="22"/>
          <w:szCs w:val="22"/>
        </w:rPr>
        <w:t xml:space="preserve">. </w:t>
      </w:r>
      <w:r w:rsidR="002E7D29" w:rsidRPr="002E7D29">
        <w:rPr>
          <w:rFonts w:ascii="Myriad Pro" w:hAnsi="Myriad Pro"/>
          <w:b w:val="0"/>
          <w:sz w:val="22"/>
          <w:szCs w:val="22"/>
        </w:rPr>
        <w:t xml:space="preserve">Time series </w:t>
      </w:r>
      <w:r>
        <w:rPr>
          <w:rFonts w:ascii="Myriad Pro" w:hAnsi="Myriad Pro"/>
          <w:b w:val="0"/>
          <w:sz w:val="22"/>
          <w:szCs w:val="22"/>
        </w:rPr>
        <w:t>of pCO2</w:t>
      </w:r>
      <w:r w:rsidR="002E7D29"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The solid line is 400 </w:t>
      </w:r>
      <w:r>
        <w:rPr>
          <w:rFonts w:ascii="Corbel" w:hAnsi="Corbel"/>
          <w:b w:val="0"/>
          <w:sz w:val="22"/>
          <w:szCs w:val="22"/>
        </w:rPr>
        <w:t>µ</w:t>
      </w:r>
      <w:r>
        <w:rPr>
          <w:rFonts w:ascii="Myriad Pro" w:hAnsi="Myriad Pro"/>
          <w:b w:val="0"/>
          <w:sz w:val="22"/>
          <w:szCs w:val="22"/>
        </w:rPr>
        <w:t xml:space="preserve">ATM, and the dashed line is an estimate of the preindustrial value (280 </w:t>
      </w:r>
      <w:r>
        <w:rPr>
          <w:rFonts w:ascii="Corbel" w:hAnsi="Corbel"/>
          <w:b w:val="0"/>
          <w:sz w:val="22"/>
          <w:szCs w:val="22"/>
        </w:rPr>
        <w:t>µ</w:t>
      </w:r>
      <w:r>
        <w:rPr>
          <w:rFonts w:ascii="Myriad Pro" w:hAnsi="Myriad Pro"/>
          <w:b w:val="0"/>
          <w:sz w:val="22"/>
          <w:szCs w:val="22"/>
        </w:rPr>
        <w:t xml:space="preserve">ATM). </w:t>
      </w:r>
    </w:p>
    <w:p w14:paraId="1DDB59BE" w14:textId="04D32524" w:rsidR="002E7D29" w:rsidRDefault="002E7D29" w:rsidP="002078E1">
      <w:pPr>
        <w:pStyle w:val="SMcaption"/>
        <w:rPr>
          <w:rFonts w:ascii="Myriad Pro" w:hAnsi="Myriad Pro"/>
          <w:sz w:val="22"/>
          <w:szCs w:val="22"/>
        </w:rPr>
      </w:pPr>
    </w:p>
    <w:p w14:paraId="0C51A2F0" w14:textId="4A3DE426" w:rsidR="003F2CDB" w:rsidRPr="00992EA0" w:rsidRDefault="003F2CDB" w:rsidP="003F2CDB">
      <w:pPr>
        <w:rPr>
          <w:szCs w:val="24"/>
        </w:rPr>
      </w:pPr>
      <w:r w:rsidRPr="00992EA0">
        <w:rPr>
          <w:noProof/>
          <w:szCs w:val="24"/>
        </w:rPr>
        <w:drawing>
          <wp:inline distT="0" distB="0" distL="0" distR="0" wp14:anchorId="43666557" wp14:editId="56E189A6">
            <wp:extent cx="5486400" cy="7205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S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32E47F1F" w14:textId="0D6256B3" w:rsidR="003F2CDB" w:rsidRPr="002E7D29" w:rsidRDefault="003F2CDB" w:rsidP="003F2CDB">
      <w:pPr>
        <w:pStyle w:val="SMHeading"/>
        <w:rPr>
          <w:rFonts w:ascii="Myriad Pro" w:hAnsi="Myriad Pro"/>
          <w:b w:val="0"/>
          <w:sz w:val="22"/>
          <w:szCs w:val="22"/>
        </w:rPr>
      </w:pPr>
      <w:r>
        <w:rPr>
          <w:rFonts w:ascii="Myriad Pro" w:hAnsi="Myriad Pro"/>
          <w:sz w:val="22"/>
          <w:szCs w:val="22"/>
        </w:rPr>
        <w:t>Figure S9</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of pH (total scale)</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33447BC5" w14:textId="09787901" w:rsidR="003F2CDB" w:rsidRDefault="003F2CDB" w:rsidP="002078E1">
      <w:pPr>
        <w:pStyle w:val="SMcaption"/>
        <w:rPr>
          <w:rFonts w:ascii="Myriad Pro" w:hAnsi="Myriad Pro"/>
          <w:sz w:val="22"/>
          <w:szCs w:val="22"/>
        </w:rPr>
      </w:pPr>
    </w:p>
    <w:p w14:paraId="337E2CA7" w14:textId="45B6CD0E" w:rsidR="003F2CDB" w:rsidRPr="00992EA0" w:rsidRDefault="003F2CDB" w:rsidP="003F2CDB">
      <w:pPr>
        <w:rPr>
          <w:szCs w:val="24"/>
        </w:rPr>
      </w:pPr>
      <w:r w:rsidRPr="00992EA0">
        <w:rPr>
          <w:noProof/>
          <w:szCs w:val="24"/>
        </w:rPr>
        <w:drawing>
          <wp:inline distT="0" distB="0" distL="0" distR="0" wp14:anchorId="10E5591F" wp14:editId="08D568E8">
            <wp:extent cx="5486400" cy="7205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S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0A83D1CC" w14:textId="4DF76F86" w:rsidR="003F2CDB" w:rsidRPr="002E7D29" w:rsidRDefault="003F2CDB" w:rsidP="003F2CDB">
      <w:pPr>
        <w:pStyle w:val="SMHeading"/>
        <w:rPr>
          <w:rFonts w:ascii="Myriad Pro" w:hAnsi="Myriad Pro"/>
          <w:b w:val="0"/>
          <w:sz w:val="22"/>
          <w:szCs w:val="22"/>
        </w:rPr>
      </w:pPr>
      <w:r>
        <w:rPr>
          <w:rFonts w:ascii="Myriad Pro" w:hAnsi="Myriad Pro"/>
          <w:sz w:val="22"/>
          <w:szCs w:val="22"/>
        </w:rPr>
        <w:t>Figure S10</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of salinity (PSU)</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6DC6CB9D" w14:textId="4D80DB76" w:rsidR="003F2CDB" w:rsidRDefault="003F2CDB" w:rsidP="002078E1">
      <w:pPr>
        <w:pStyle w:val="SMcaption"/>
        <w:rPr>
          <w:rFonts w:ascii="Myriad Pro" w:hAnsi="Myriad Pro"/>
          <w:sz w:val="22"/>
          <w:szCs w:val="22"/>
        </w:rPr>
      </w:pPr>
    </w:p>
    <w:p w14:paraId="63701AA0" w14:textId="60B2520B" w:rsidR="003F2CDB" w:rsidRDefault="003F2CDB" w:rsidP="002078E1">
      <w:pPr>
        <w:pStyle w:val="SMcaption"/>
        <w:rPr>
          <w:rFonts w:ascii="Myriad Pro" w:hAnsi="Myriad Pro"/>
          <w:sz w:val="22"/>
          <w:szCs w:val="22"/>
        </w:rPr>
      </w:pPr>
    </w:p>
    <w:p w14:paraId="4227FE26" w14:textId="032E8018" w:rsidR="003F2CDB" w:rsidRPr="00992EA0" w:rsidRDefault="003F2CDB" w:rsidP="003F2CDB">
      <w:pPr>
        <w:rPr>
          <w:szCs w:val="24"/>
        </w:rPr>
      </w:pPr>
      <w:r w:rsidRPr="00992EA0">
        <w:rPr>
          <w:noProof/>
          <w:szCs w:val="24"/>
        </w:rPr>
        <w:drawing>
          <wp:inline distT="0" distB="0" distL="0" distR="0" wp14:anchorId="29F4D929" wp14:editId="588D1C5B">
            <wp:extent cx="5486400" cy="7205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S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134DD9F7" w14:textId="23D91A92" w:rsidR="003F2CDB" w:rsidRPr="002E7D29" w:rsidRDefault="003F2CDB" w:rsidP="003F2CDB">
      <w:pPr>
        <w:pStyle w:val="SMHeading"/>
        <w:rPr>
          <w:rFonts w:ascii="Myriad Pro" w:hAnsi="Myriad Pro"/>
          <w:b w:val="0"/>
          <w:sz w:val="22"/>
          <w:szCs w:val="22"/>
        </w:rPr>
      </w:pPr>
      <w:r>
        <w:rPr>
          <w:rFonts w:ascii="Myriad Pro" w:hAnsi="Myriad Pro"/>
          <w:sz w:val="22"/>
          <w:szCs w:val="22"/>
        </w:rPr>
        <w:t>Figure S11</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of temperature (degrees celcius)</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34024BDC" w14:textId="5EC09578" w:rsidR="003F2CDB" w:rsidRDefault="003F2CDB" w:rsidP="002078E1">
      <w:pPr>
        <w:pStyle w:val="SMcaption"/>
        <w:rPr>
          <w:rFonts w:ascii="Myriad Pro" w:hAnsi="Myriad Pro"/>
          <w:sz w:val="22"/>
          <w:szCs w:val="22"/>
        </w:rPr>
      </w:pPr>
    </w:p>
    <w:p w14:paraId="7B7C4C24" w14:textId="0C5EF223" w:rsidR="003F2CDB" w:rsidRPr="00992EA0" w:rsidRDefault="007416AF" w:rsidP="003F2CDB">
      <w:pPr>
        <w:rPr>
          <w:szCs w:val="24"/>
        </w:rPr>
      </w:pPr>
      <w:r>
        <w:rPr>
          <w:noProof/>
          <w:szCs w:val="24"/>
        </w:rPr>
        <w:drawing>
          <wp:inline distT="0" distB="0" distL="0" distR="0" wp14:anchorId="317BD2D3" wp14:editId="48C1F1ED">
            <wp:extent cx="5486411" cy="7315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11" cy="7315215"/>
                    </a:xfrm>
                    <a:prstGeom prst="rect">
                      <a:avLst/>
                    </a:prstGeom>
                  </pic:spPr>
                </pic:pic>
              </a:graphicData>
            </a:graphic>
          </wp:inline>
        </w:drawing>
      </w:r>
    </w:p>
    <w:p w14:paraId="6A820925" w14:textId="1F5850BB" w:rsidR="003F2CDB" w:rsidRPr="002E7D29" w:rsidRDefault="003F2CDB" w:rsidP="003F2CDB">
      <w:pPr>
        <w:pStyle w:val="SMHeading"/>
        <w:rPr>
          <w:rFonts w:ascii="Myriad Pro" w:hAnsi="Myriad Pro"/>
          <w:b w:val="0"/>
          <w:sz w:val="22"/>
          <w:szCs w:val="22"/>
        </w:rPr>
      </w:pPr>
      <w:r>
        <w:rPr>
          <w:rFonts w:ascii="Myriad Pro" w:hAnsi="Myriad Pro"/>
          <w:sz w:val="22"/>
          <w:szCs w:val="22"/>
        </w:rPr>
        <w:t>Figure S</w:t>
      </w:r>
      <w:r w:rsidR="007416AF">
        <w:rPr>
          <w:rFonts w:ascii="Myriad Pro" w:hAnsi="Myriad Pro"/>
          <w:sz w:val="22"/>
          <w:szCs w:val="22"/>
        </w:rPr>
        <w:t>12</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w:t>
      </w:r>
      <w:r w:rsidR="007416AF">
        <w:rPr>
          <w:rFonts w:ascii="Myriad Pro" w:hAnsi="Myriad Pro"/>
          <w:b w:val="0"/>
          <w:sz w:val="22"/>
          <w:szCs w:val="22"/>
        </w:rPr>
        <w:t>aragonite saturation state</w:t>
      </w:r>
      <w:r>
        <w:rPr>
          <w:rFonts w:ascii="Myriad Pro" w:hAnsi="Myriad Pro"/>
          <w:b w:val="0"/>
          <w:sz w:val="22"/>
          <w:szCs w:val="22"/>
        </w:rPr>
        <w:t xml:space="preserve"> (</w:t>
      </w:r>
      <w:r w:rsidR="007416AF">
        <w:rPr>
          <w:rFonts w:ascii="Corbel" w:hAnsi="Corbel"/>
          <w:b w:val="0"/>
          <w:sz w:val="22"/>
          <w:szCs w:val="22"/>
        </w:rPr>
        <w:t>Ω</w:t>
      </w:r>
      <w:r w:rsidR="007416AF">
        <w:rPr>
          <w:rFonts w:ascii="Myriad Pro" w:hAnsi="Myriad Pro"/>
          <w:b w:val="0"/>
          <w:sz w:val="22"/>
          <w:szCs w:val="22"/>
          <w:vertAlign w:val="subscript"/>
        </w:rPr>
        <w:t>Ar</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1D330E30" w14:textId="757650F1" w:rsidR="003F2CDB" w:rsidRDefault="003F2CDB" w:rsidP="002078E1">
      <w:pPr>
        <w:pStyle w:val="SMcaption"/>
        <w:rPr>
          <w:rFonts w:ascii="Myriad Pro" w:hAnsi="Myriad Pro"/>
          <w:sz w:val="22"/>
          <w:szCs w:val="22"/>
        </w:rPr>
      </w:pPr>
    </w:p>
    <w:p w14:paraId="168A03FE" w14:textId="69A31CB0" w:rsidR="007416AF" w:rsidRPr="00992EA0" w:rsidRDefault="007416AF" w:rsidP="007416AF">
      <w:pPr>
        <w:rPr>
          <w:szCs w:val="24"/>
        </w:rPr>
      </w:pPr>
      <w:r>
        <w:rPr>
          <w:noProof/>
          <w:szCs w:val="24"/>
        </w:rPr>
        <w:drawing>
          <wp:inline distT="0" distB="0" distL="0" distR="0" wp14:anchorId="3190883F" wp14:editId="4709FC0E">
            <wp:extent cx="5388875" cy="7025654"/>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8875" cy="7025654"/>
                    </a:xfrm>
                    <a:prstGeom prst="rect">
                      <a:avLst/>
                    </a:prstGeom>
                  </pic:spPr>
                </pic:pic>
              </a:graphicData>
            </a:graphic>
          </wp:inline>
        </w:drawing>
      </w:r>
    </w:p>
    <w:p w14:paraId="47C7EADC" w14:textId="002B6FA3" w:rsidR="007416AF" w:rsidRPr="002E7D29" w:rsidRDefault="007416AF" w:rsidP="007416AF">
      <w:pPr>
        <w:pStyle w:val="SMHeading"/>
        <w:rPr>
          <w:rFonts w:ascii="Myriad Pro" w:hAnsi="Myriad Pro"/>
          <w:b w:val="0"/>
          <w:sz w:val="22"/>
          <w:szCs w:val="22"/>
        </w:rPr>
      </w:pPr>
      <w:r>
        <w:rPr>
          <w:rFonts w:ascii="Myriad Pro" w:hAnsi="Myriad Pro"/>
          <w:sz w:val="22"/>
          <w:szCs w:val="22"/>
        </w:rPr>
        <w:t>Figure S13</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apparent oxygen </w:t>
      </w:r>
      <w:r w:rsidR="001D5AE8">
        <w:rPr>
          <w:rFonts w:ascii="Myriad Pro" w:hAnsi="Myriad Pro"/>
          <w:b w:val="0"/>
          <w:sz w:val="22"/>
          <w:szCs w:val="22"/>
        </w:rPr>
        <w:t>utilization</w:t>
      </w:r>
      <w:r>
        <w:rPr>
          <w:rFonts w:ascii="Myriad Pro" w:hAnsi="Myriad Pro"/>
          <w:b w:val="0"/>
          <w:sz w:val="22"/>
          <w:szCs w:val="22"/>
        </w:rPr>
        <w:t xml:space="preserve"> (</w:t>
      </w:r>
      <w:r w:rsidR="001D5AE8">
        <w:rPr>
          <w:rFonts w:ascii="Corbel" w:hAnsi="Corbel"/>
          <w:b w:val="0"/>
          <w:sz w:val="22"/>
          <w:szCs w:val="22"/>
        </w:rPr>
        <w:t>AOU</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29DAA26E" w14:textId="52870910" w:rsidR="007416AF" w:rsidRDefault="007416AF" w:rsidP="002078E1">
      <w:pPr>
        <w:pStyle w:val="SMcaption"/>
        <w:rPr>
          <w:rFonts w:ascii="Myriad Pro" w:hAnsi="Myriad Pro"/>
          <w:sz w:val="22"/>
          <w:szCs w:val="22"/>
        </w:rPr>
      </w:pPr>
    </w:p>
    <w:p w14:paraId="14C7AA78" w14:textId="3693E1EF" w:rsidR="007416AF" w:rsidRPr="00992EA0" w:rsidRDefault="001D5AE8" w:rsidP="007416AF">
      <w:pPr>
        <w:rPr>
          <w:szCs w:val="24"/>
        </w:rPr>
      </w:pPr>
      <w:r>
        <w:rPr>
          <w:noProof/>
          <w:szCs w:val="24"/>
        </w:rPr>
        <w:drawing>
          <wp:inline distT="0" distB="0" distL="0" distR="0" wp14:anchorId="624F5873" wp14:editId="0CA14925">
            <wp:extent cx="5388875" cy="729692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S0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8875" cy="7296927"/>
                    </a:xfrm>
                    <a:prstGeom prst="rect">
                      <a:avLst/>
                    </a:prstGeom>
                  </pic:spPr>
                </pic:pic>
              </a:graphicData>
            </a:graphic>
          </wp:inline>
        </w:drawing>
      </w:r>
    </w:p>
    <w:p w14:paraId="4AE3897F" w14:textId="7FD216DE" w:rsidR="007416AF" w:rsidRPr="002E7D29" w:rsidRDefault="007416AF" w:rsidP="007416AF">
      <w:pPr>
        <w:pStyle w:val="SMHeading"/>
        <w:rPr>
          <w:rFonts w:ascii="Myriad Pro" w:hAnsi="Myriad Pro"/>
          <w:b w:val="0"/>
          <w:sz w:val="22"/>
          <w:szCs w:val="22"/>
        </w:rPr>
      </w:pPr>
      <w:r>
        <w:rPr>
          <w:rFonts w:ascii="Myriad Pro" w:hAnsi="Myriad Pro"/>
          <w:sz w:val="22"/>
          <w:szCs w:val="22"/>
        </w:rPr>
        <w:t>Figure S1</w:t>
      </w:r>
      <w:r w:rsidR="001D5AE8">
        <w:rPr>
          <w:rFonts w:ascii="Myriad Pro" w:hAnsi="Myriad Pro"/>
          <w:sz w:val="22"/>
          <w:szCs w:val="22"/>
        </w:rPr>
        <w:t>4</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w:t>
      </w:r>
      <w:r w:rsidR="001D5AE8">
        <w:rPr>
          <w:rFonts w:ascii="Myriad Pro" w:hAnsi="Myriad Pro"/>
          <w:b w:val="0"/>
          <w:sz w:val="22"/>
          <w:szCs w:val="22"/>
        </w:rPr>
        <w:t xml:space="preserve">nitrite + nitrate </w:t>
      </w:r>
      <w:r w:rsidR="001D5AE8">
        <w:rPr>
          <w:rFonts w:ascii="Corbel" w:hAnsi="Corbel"/>
          <w:b w:val="0"/>
          <w:sz w:val="22"/>
          <w:szCs w:val="22"/>
        </w:rPr>
        <w:t>(NO</w:t>
      </w:r>
      <w:r w:rsidR="001D5AE8">
        <w:rPr>
          <w:rFonts w:ascii="Corbel" w:hAnsi="Corbel"/>
          <w:b w:val="0"/>
          <w:sz w:val="22"/>
          <w:szCs w:val="22"/>
          <w:vertAlign w:val="subscript"/>
        </w:rPr>
        <w:t>2</w:t>
      </w:r>
      <w:r w:rsidR="001D5AE8">
        <w:rPr>
          <w:rFonts w:ascii="Corbel" w:hAnsi="Corbel"/>
          <w:b w:val="0"/>
          <w:sz w:val="22"/>
          <w:szCs w:val="22"/>
          <w:vertAlign w:val="superscript"/>
        </w:rPr>
        <w:t>-</w:t>
      </w:r>
      <w:r w:rsidR="001D5AE8">
        <w:rPr>
          <w:rFonts w:ascii="Corbel" w:hAnsi="Corbel"/>
          <w:b w:val="0"/>
          <w:sz w:val="22"/>
          <w:szCs w:val="22"/>
        </w:rPr>
        <w:t xml:space="preserve"> + NO</w:t>
      </w:r>
      <w:r w:rsidR="001D5AE8">
        <w:rPr>
          <w:rFonts w:ascii="Corbel" w:hAnsi="Corbel"/>
          <w:b w:val="0"/>
          <w:sz w:val="22"/>
          <w:szCs w:val="22"/>
          <w:vertAlign w:val="subscript"/>
        </w:rPr>
        <w:t>3</w:t>
      </w:r>
      <w:r w:rsidR="001D5AE8">
        <w:rPr>
          <w:rFonts w:ascii="Corbel" w:hAnsi="Corbel"/>
          <w:b w:val="0"/>
          <w:sz w:val="22"/>
          <w:szCs w:val="22"/>
          <w:vertAlign w:val="superscript"/>
        </w:rPr>
        <w:t>-</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161EA70E" w14:textId="77777777" w:rsidR="007416AF" w:rsidRDefault="007416AF" w:rsidP="007416AF">
      <w:pPr>
        <w:pStyle w:val="SMcaption"/>
        <w:rPr>
          <w:rFonts w:ascii="Myriad Pro" w:hAnsi="Myriad Pro"/>
          <w:sz w:val="22"/>
          <w:szCs w:val="22"/>
        </w:rPr>
      </w:pPr>
    </w:p>
    <w:p w14:paraId="389DB8CF" w14:textId="690272F4" w:rsidR="001D5AE8" w:rsidRPr="00992EA0" w:rsidRDefault="001D5AE8" w:rsidP="001D5AE8">
      <w:pPr>
        <w:rPr>
          <w:szCs w:val="24"/>
        </w:rPr>
      </w:pPr>
      <w:r w:rsidRPr="00992EA0">
        <w:rPr>
          <w:noProof/>
          <w:szCs w:val="24"/>
        </w:rPr>
        <w:drawing>
          <wp:inline distT="0" distB="0" distL="0" distR="0" wp14:anchorId="1E00E75D" wp14:editId="2B6EDB4D">
            <wp:extent cx="5486400" cy="7205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15C7AF2C" w14:textId="0848B8E1" w:rsidR="001D5AE8" w:rsidRPr="002E7D29" w:rsidRDefault="001D5AE8" w:rsidP="001D5AE8">
      <w:pPr>
        <w:pStyle w:val="SMHeading"/>
        <w:rPr>
          <w:rFonts w:ascii="Myriad Pro" w:hAnsi="Myriad Pro"/>
          <w:b w:val="0"/>
          <w:sz w:val="22"/>
          <w:szCs w:val="22"/>
        </w:rPr>
      </w:pPr>
      <w:r>
        <w:rPr>
          <w:rFonts w:ascii="Myriad Pro" w:hAnsi="Myriad Pro"/>
          <w:sz w:val="22"/>
          <w:szCs w:val="22"/>
        </w:rPr>
        <w:t>Figure S15</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ammonium </w:t>
      </w:r>
      <w:r>
        <w:rPr>
          <w:rFonts w:ascii="Corbel" w:hAnsi="Corbel"/>
          <w:b w:val="0"/>
          <w:sz w:val="22"/>
          <w:szCs w:val="22"/>
        </w:rPr>
        <w:t>(NH</w:t>
      </w:r>
      <w:r>
        <w:rPr>
          <w:rFonts w:ascii="Corbel" w:hAnsi="Corbel"/>
          <w:b w:val="0"/>
          <w:sz w:val="22"/>
          <w:szCs w:val="22"/>
          <w:vertAlign w:val="subscript"/>
        </w:rPr>
        <w:t>4</w:t>
      </w:r>
      <w:r>
        <w:rPr>
          <w:rFonts w:ascii="Corbel" w:hAnsi="Corbel"/>
          <w:b w:val="0"/>
          <w:sz w:val="22"/>
          <w:szCs w:val="22"/>
          <w:vertAlign w:val="superscript"/>
        </w:rPr>
        <w:t>+</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21738661" w14:textId="3AA88079" w:rsidR="007416AF" w:rsidRDefault="007416AF" w:rsidP="002078E1">
      <w:pPr>
        <w:pStyle w:val="SMcaption"/>
        <w:rPr>
          <w:rFonts w:ascii="Myriad Pro" w:hAnsi="Myriad Pro"/>
          <w:sz w:val="22"/>
          <w:szCs w:val="22"/>
        </w:rPr>
      </w:pPr>
    </w:p>
    <w:p w14:paraId="1F8188F6" w14:textId="20298C19" w:rsidR="00D9364F" w:rsidRPr="00992EA0" w:rsidRDefault="00D9364F" w:rsidP="00D9364F">
      <w:pPr>
        <w:rPr>
          <w:szCs w:val="24"/>
        </w:rPr>
      </w:pPr>
      <w:r w:rsidRPr="00992EA0">
        <w:rPr>
          <w:noProof/>
          <w:szCs w:val="24"/>
        </w:rPr>
        <w:drawing>
          <wp:inline distT="0" distB="0" distL="0" distR="0" wp14:anchorId="74F050E1" wp14:editId="15661DB2">
            <wp:extent cx="5486400" cy="7205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S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4770044F" w14:textId="1BA2352A" w:rsidR="00D9364F" w:rsidRPr="002E7D29" w:rsidRDefault="00D9364F" w:rsidP="00D9364F">
      <w:pPr>
        <w:pStyle w:val="SMHeading"/>
        <w:rPr>
          <w:rFonts w:ascii="Myriad Pro" w:hAnsi="Myriad Pro"/>
          <w:b w:val="0"/>
          <w:sz w:val="22"/>
          <w:szCs w:val="22"/>
        </w:rPr>
      </w:pPr>
      <w:r>
        <w:rPr>
          <w:rFonts w:ascii="Myriad Pro" w:hAnsi="Myriad Pro"/>
          <w:sz w:val="22"/>
          <w:szCs w:val="22"/>
        </w:rPr>
        <w:t>Figure S16</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orthophosphate </w:t>
      </w:r>
      <w:r>
        <w:rPr>
          <w:rFonts w:ascii="Corbel" w:hAnsi="Corbel"/>
          <w:b w:val="0"/>
          <w:sz w:val="22"/>
          <w:szCs w:val="22"/>
        </w:rPr>
        <w:t>(PO</w:t>
      </w:r>
      <w:r>
        <w:rPr>
          <w:rFonts w:ascii="Corbel" w:hAnsi="Corbel"/>
          <w:b w:val="0"/>
          <w:sz w:val="22"/>
          <w:szCs w:val="22"/>
          <w:vertAlign w:val="subscript"/>
        </w:rPr>
        <w:t>4</w:t>
      </w:r>
      <w:r>
        <w:rPr>
          <w:rFonts w:ascii="Corbel" w:hAnsi="Corbel"/>
          <w:b w:val="0"/>
          <w:sz w:val="22"/>
          <w:szCs w:val="22"/>
          <w:vertAlign w:val="superscript"/>
        </w:rPr>
        <w:t>-3</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6D557473" w14:textId="6EDB623B" w:rsidR="00D9364F" w:rsidRDefault="00D9364F" w:rsidP="002078E1">
      <w:pPr>
        <w:pStyle w:val="SMcaption"/>
        <w:rPr>
          <w:rFonts w:ascii="Myriad Pro" w:hAnsi="Myriad Pro"/>
          <w:sz w:val="22"/>
          <w:szCs w:val="22"/>
        </w:rPr>
      </w:pPr>
    </w:p>
    <w:p w14:paraId="3A741E58" w14:textId="552793E1" w:rsidR="00D9364F" w:rsidRPr="00992EA0" w:rsidRDefault="00D9364F" w:rsidP="00D9364F">
      <w:pPr>
        <w:rPr>
          <w:szCs w:val="24"/>
        </w:rPr>
      </w:pPr>
      <w:r w:rsidRPr="00992EA0">
        <w:rPr>
          <w:noProof/>
          <w:szCs w:val="24"/>
        </w:rPr>
        <w:drawing>
          <wp:inline distT="0" distB="0" distL="0" distR="0" wp14:anchorId="6A60EF5C" wp14:editId="4206E6CF">
            <wp:extent cx="5486400" cy="7205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13BCF79A" w14:textId="039AF694" w:rsidR="00D9364F" w:rsidRPr="002E7D29" w:rsidRDefault="00D9364F" w:rsidP="00D9364F">
      <w:pPr>
        <w:pStyle w:val="SMHeading"/>
        <w:rPr>
          <w:rFonts w:ascii="Myriad Pro" w:hAnsi="Myriad Pro"/>
          <w:b w:val="0"/>
          <w:sz w:val="22"/>
          <w:szCs w:val="22"/>
        </w:rPr>
      </w:pPr>
      <w:r>
        <w:rPr>
          <w:rFonts w:ascii="Myriad Pro" w:hAnsi="Myriad Pro"/>
          <w:sz w:val="22"/>
          <w:szCs w:val="22"/>
        </w:rPr>
        <w:t>Figure S17</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dissolved organic nitrogen </w:t>
      </w:r>
      <w:r>
        <w:rPr>
          <w:rFonts w:ascii="Corbel" w:hAnsi="Corbel"/>
          <w:b w:val="0"/>
          <w:sz w:val="22"/>
          <w:szCs w:val="22"/>
        </w:rPr>
        <w:t>(DON</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71545F5A" w14:textId="459E33F5" w:rsidR="00D9364F" w:rsidRDefault="00D9364F" w:rsidP="002078E1">
      <w:pPr>
        <w:pStyle w:val="SMcaption"/>
        <w:rPr>
          <w:rFonts w:ascii="Myriad Pro" w:hAnsi="Myriad Pro"/>
          <w:sz w:val="22"/>
          <w:szCs w:val="22"/>
        </w:rPr>
      </w:pPr>
    </w:p>
    <w:p w14:paraId="437BF058" w14:textId="5D657740" w:rsidR="00D9364F" w:rsidRPr="00992EA0" w:rsidRDefault="00D9364F" w:rsidP="00D9364F">
      <w:pPr>
        <w:rPr>
          <w:szCs w:val="24"/>
        </w:rPr>
      </w:pPr>
      <w:r w:rsidRPr="00992EA0">
        <w:rPr>
          <w:noProof/>
          <w:szCs w:val="24"/>
        </w:rPr>
        <w:drawing>
          <wp:inline distT="0" distB="0" distL="0" distR="0" wp14:anchorId="189CC9EA" wp14:editId="12662F10">
            <wp:extent cx="5486400" cy="7205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04C0402E" w14:textId="61BEACEE" w:rsidR="00D9364F" w:rsidRPr="002E7D29" w:rsidRDefault="00D9364F" w:rsidP="00D9364F">
      <w:pPr>
        <w:pStyle w:val="SMHeading"/>
        <w:rPr>
          <w:rFonts w:ascii="Myriad Pro" w:hAnsi="Myriad Pro"/>
          <w:b w:val="0"/>
          <w:sz w:val="22"/>
          <w:szCs w:val="22"/>
        </w:rPr>
      </w:pPr>
      <w:r>
        <w:rPr>
          <w:rFonts w:ascii="Myriad Pro" w:hAnsi="Myriad Pro"/>
          <w:sz w:val="22"/>
          <w:szCs w:val="22"/>
        </w:rPr>
        <w:t>Figure S18</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particulate organic carbon </w:t>
      </w:r>
      <w:r>
        <w:rPr>
          <w:rFonts w:ascii="Corbel" w:hAnsi="Corbel"/>
          <w:b w:val="0"/>
          <w:sz w:val="22"/>
          <w:szCs w:val="22"/>
        </w:rPr>
        <w:t>(POC</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613C1AD7" w14:textId="6A23D58D" w:rsidR="00D9364F" w:rsidRDefault="00D9364F" w:rsidP="002078E1">
      <w:pPr>
        <w:pStyle w:val="SMcaption"/>
        <w:rPr>
          <w:rFonts w:ascii="Myriad Pro" w:hAnsi="Myriad Pro"/>
          <w:sz w:val="22"/>
          <w:szCs w:val="22"/>
        </w:rPr>
      </w:pPr>
    </w:p>
    <w:p w14:paraId="30A218D2" w14:textId="1AEB6242" w:rsidR="00D9364F" w:rsidRPr="00992EA0" w:rsidRDefault="00D9364F" w:rsidP="00D9364F">
      <w:pPr>
        <w:rPr>
          <w:szCs w:val="24"/>
        </w:rPr>
      </w:pPr>
      <w:r w:rsidRPr="00992EA0">
        <w:rPr>
          <w:noProof/>
          <w:szCs w:val="24"/>
        </w:rPr>
        <w:drawing>
          <wp:inline distT="0" distB="0" distL="0" distR="0" wp14:anchorId="532547B5" wp14:editId="36978C9C">
            <wp:extent cx="5486400" cy="7205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S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559F058E" w14:textId="14D3C719" w:rsidR="00D9364F" w:rsidRPr="002E7D29" w:rsidRDefault="00D9364F" w:rsidP="00D9364F">
      <w:pPr>
        <w:pStyle w:val="SMHeading"/>
        <w:rPr>
          <w:rFonts w:ascii="Myriad Pro" w:hAnsi="Myriad Pro"/>
          <w:b w:val="0"/>
          <w:sz w:val="22"/>
          <w:szCs w:val="22"/>
        </w:rPr>
      </w:pPr>
      <w:r>
        <w:rPr>
          <w:rFonts w:ascii="Myriad Pro" w:hAnsi="Myriad Pro"/>
          <w:sz w:val="22"/>
          <w:szCs w:val="22"/>
        </w:rPr>
        <w:t>Figure S19</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particulate organic nitrogen </w:t>
      </w:r>
      <w:r>
        <w:rPr>
          <w:rFonts w:ascii="Corbel" w:hAnsi="Corbel"/>
          <w:b w:val="0"/>
          <w:sz w:val="22"/>
          <w:szCs w:val="22"/>
        </w:rPr>
        <w:t>(PON</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7BC466D9" w14:textId="222F287D" w:rsidR="00D9364F" w:rsidRDefault="00D9364F" w:rsidP="002078E1">
      <w:pPr>
        <w:pStyle w:val="SMcaption"/>
        <w:rPr>
          <w:rFonts w:ascii="Myriad Pro" w:hAnsi="Myriad Pro"/>
          <w:sz w:val="22"/>
          <w:szCs w:val="22"/>
        </w:rPr>
      </w:pPr>
    </w:p>
    <w:p w14:paraId="05DA6C86" w14:textId="55810926" w:rsidR="00D9364F" w:rsidRPr="00992EA0" w:rsidRDefault="00D9364F" w:rsidP="00D9364F">
      <w:pPr>
        <w:rPr>
          <w:szCs w:val="24"/>
        </w:rPr>
      </w:pPr>
      <w:r w:rsidRPr="00992EA0">
        <w:rPr>
          <w:noProof/>
          <w:szCs w:val="24"/>
        </w:rPr>
        <w:drawing>
          <wp:inline distT="0" distB="0" distL="0" distR="0" wp14:anchorId="5248CFF8" wp14:editId="2D8BEFC0">
            <wp:extent cx="5486400" cy="7205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7205385"/>
                    </a:xfrm>
                    <a:prstGeom prst="rect">
                      <a:avLst/>
                    </a:prstGeom>
                  </pic:spPr>
                </pic:pic>
              </a:graphicData>
            </a:graphic>
          </wp:inline>
        </w:drawing>
      </w:r>
    </w:p>
    <w:p w14:paraId="2781F71F" w14:textId="48C37920" w:rsidR="00D9364F" w:rsidRPr="002E7D29" w:rsidRDefault="00D9364F" w:rsidP="00D9364F">
      <w:pPr>
        <w:pStyle w:val="SMHeading"/>
        <w:rPr>
          <w:rFonts w:ascii="Myriad Pro" w:hAnsi="Myriad Pro"/>
          <w:b w:val="0"/>
          <w:sz w:val="22"/>
          <w:szCs w:val="22"/>
        </w:rPr>
      </w:pPr>
      <w:r>
        <w:rPr>
          <w:rFonts w:ascii="Myriad Pro" w:hAnsi="Myriad Pro"/>
          <w:sz w:val="22"/>
          <w:szCs w:val="22"/>
        </w:rPr>
        <w:t>Figure S20</w:t>
      </w:r>
      <w:r w:rsidRPr="005314B5">
        <w:rPr>
          <w:rFonts w:ascii="Myriad Pro" w:hAnsi="Myriad Pro"/>
          <w:sz w:val="22"/>
          <w:szCs w:val="22"/>
        </w:rPr>
        <w:t xml:space="preserve">. </w:t>
      </w:r>
      <w:r w:rsidRPr="002E7D29">
        <w:rPr>
          <w:rFonts w:ascii="Myriad Pro" w:hAnsi="Myriad Pro"/>
          <w:b w:val="0"/>
          <w:sz w:val="22"/>
          <w:szCs w:val="22"/>
        </w:rPr>
        <w:t xml:space="preserve">Time series </w:t>
      </w:r>
      <w:r>
        <w:rPr>
          <w:rFonts w:ascii="Myriad Pro" w:hAnsi="Myriad Pro"/>
          <w:b w:val="0"/>
          <w:sz w:val="22"/>
          <w:szCs w:val="22"/>
        </w:rPr>
        <w:t xml:space="preserve">of chlorophyll a </w:t>
      </w:r>
      <w:r>
        <w:rPr>
          <w:rFonts w:ascii="Corbel" w:hAnsi="Corbel"/>
          <w:b w:val="0"/>
          <w:sz w:val="22"/>
          <w:szCs w:val="22"/>
        </w:rPr>
        <w:t>(Chl</w:t>
      </w:r>
      <w:r>
        <w:rPr>
          <w:rFonts w:ascii="Corbel" w:hAnsi="Corbel"/>
          <w:b w:val="0"/>
          <w:sz w:val="22"/>
          <w:szCs w:val="22"/>
          <w:vertAlign w:val="subscript"/>
        </w:rPr>
        <w:t>a</w:t>
      </w:r>
      <w:r>
        <w:rPr>
          <w:rFonts w:ascii="Myriad Pro" w:hAnsi="Myriad Pro"/>
          <w:b w:val="0"/>
          <w:sz w:val="22"/>
          <w:szCs w:val="22"/>
        </w:rPr>
        <w:t>)</w:t>
      </w:r>
      <w:r w:rsidRPr="002E7D29">
        <w:rPr>
          <w:rFonts w:ascii="Myriad Pro" w:hAnsi="Myriad Pro"/>
          <w:b w:val="0"/>
          <w:sz w:val="22"/>
          <w:szCs w:val="22"/>
        </w:rPr>
        <w:t xml:space="preserve"> from all embayments and the Buzzards Bay reference station (CBB1). Inner harbors are plotted in red, outer harbor stations are plotted in blue.</w:t>
      </w:r>
      <w:r>
        <w:rPr>
          <w:rFonts w:ascii="Myriad Pro" w:hAnsi="Myriad Pro"/>
          <w:b w:val="0"/>
          <w:sz w:val="22"/>
          <w:szCs w:val="22"/>
        </w:rPr>
        <w:t xml:space="preserve"> </w:t>
      </w:r>
    </w:p>
    <w:p w14:paraId="06311430" w14:textId="77777777" w:rsidR="00D9364F" w:rsidRDefault="00D9364F" w:rsidP="002078E1">
      <w:pPr>
        <w:pStyle w:val="SMcaption"/>
        <w:rPr>
          <w:rFonts w:ascii="Myriad Pro" w:hAnsi="Myriad Pro"/>
          <w:sz w:val="22"/>
          <w:szCs w:val="22"/>
        </w:rPr>
      </w:pPr>
    </w:p>
    <w:sectPr w:rsidR="00D9364F" w:rsidSect="00F125EE">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EC86D" w14:textId="77777777" w:rsidR="004B184B" w:rsidRDefault="004B184B">
      <w:r>
        <w:separator/>
      </w:r>
    </w:p>
  </w:endnote>
  <w:endnote w:type="continuationSeparator" w:id="0">
    <w:p w14:paraId="2BE55D40" w14:textId="77777777" w:rsidR="004B184B" w:rsidRDefault="004B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notTrueType/>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059FA990" w:rsidR="00F125EE" w:rsidRDefault="00114193">
    <w:pPr>
      <w:pStyle w:val="Footer"/>
      <w:jc w:val="right"/>
    </w:pPr>
    <w:r>
      <w:fldChar w:fldCharType="begin"/>
    </w:r>
    <w:r>
      <w:instrText xml:space="preserve"> PAGE   \* MERGEFORMAT </w:instrText>
    </w:r>
    <w:r>
      <w:fldChar w:fldCharType="separate"/>
    </w:r>
    <w:r w:rsidR="004B184B">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1F444" w14:textId="77777777" w:rsidR="004B184B" w:rsidRDefault="004B184B">
      <w:r>
        <w:separator/>
      </w:r>
    </w:p>
  </w:footnote>
  <w:footnote w:type="continuationSeparator" w:id="0">
    <w:p w14:paraId="23EC1310" w14:textId="77777777" w:rsidR="004B184B" w:rsidRDefault="004B18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6508D"/>
    <w:multiLevelType w:val="multilevel"/>
    <w:tmpl w:val="D786F2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43571"/>
    <w:rsid w:val="00065EBD"/>
    <w:rsid w:val="00083B44"/>
    <w:rsid w:val="000850DC"/>
    <w:rsid w:val="00094365"/>
    <w:rsid w:val="000B2E64"/>
    <w:rsid w:val="000B5140"/>
    <w:rsid w:val="000C2771"/>
    <w:rsid w:val="000D68BD"/>
    <w:rsid w:val="000F0DCE"/>
    <w:rsid w:val="000F58A3"/>
    <w:rsid w:val="00111843"/>
    <w:rsid w:val="00112C5B"/>
    <w:rsid w:val="00113908"/>
    <w:rsid w:val="00114193"/>
    <w:rsid w:val="001154E6"/>
    <w:rsid w:val="00115A38"/>
    <w:rsid w:val="0011687B"/>
    <w:rsid w:val="00124F82"/>
    <w:rsid w:val="001278E3"/>
    <w:rsid w:val="00130743"/>
    <w:rsid w:val="00130B50"/>
    <w:rsid w:val="0016337A"/>
    <w:rsid w:val="00164269"/>
    <w:rsid w:val="001964D9"/>
    <w:rsid w:val="001966FD"/>
    <w:rsid w:val="00197826"/>
    <w:rsid w:val="001A1BDE"/>
    <w:rsid w:val="001C7B4E"/>
    <w:rsid w:val="001D5AE8"/>
    <w:rsid w:val="001F0876"/>
    <w:rsid w:val="001F167C"/>
    <w:rsid w:val="001F5E91"/>
    <w:rsid w:val="0020183F"/>
    <w:rsid w:val="002077B9"/>
    <w:rsid w:val="002078E1"/>
    <w:rsid w:val="00221C70"/>
    <w:rsid w:val="002251AF"/>
    <w:rsid w:val="00227D86"/>
    <w:rsid w:val="00243B68"/>
    <w:rsid w:val="00262D72"/>
    <w:rsid w:val="002665CE"/>
    <w:rsid w:val="002800B6"/>
    <w:rsid w:val="002B35D4"/>
    <w:rsid w:val="002C030F"/>
    <w:rsid w:val="002E7D29"/>
    <w:rsid w:val="002F3966"/>
    <w:rsid w:val="00316FAF"/>
    <w:rsid w:val="00320E2C"/>
    <w:rsid w:val="00331D75"/>
    <w:rsid w:val="00355362"/>
    <w:rsid w:val="00363E44"/>
    <w:rsid w:val="00395E86"/>
    <w:rsid w:val="003A2FD8"/>
    <w:rsid w:val="003B40E6"/>
    <w:rsid w:val="003C007A"/>
    <w:rsid w:val="003E1980"/>
    <w:rsid w:val="003E7A9D"/>
    <w:rsid w:val="003F2CDB"/>
    <w:rsid w:val="003F6E14"/>
    <w:rsid w:val="00405336"/>
    <w:rsid w:val="004568BC"/>
    <w:rsid w:val="004571D5"/>
    <w:rsid w:val="00460E35"/>
    <w:rsid w:val="00462F1B"/>
    <w:rsid w:val="0046356B"/>
    <w:rsid w:val="00477182"/>
    <w:rsid w:val="004779CB"/>
    <w:rsid w:val="00481118"/>
    <w:rsid w:val="004B184B"/>
    <w:rsid w:val="004B2481"/>
    <w:rsid w:val="004D2A8C"/>
    <w:rsid w:val="004E42D8"/>
    <w:rsid w:val="004E7BA2"/>
    <w:rsid w:val="004F16C1"/>
    <w:rsid w:val="004F7EDF"/>
    <w:rsid w:val="005001AC"/>
    <w:rsid w:val="005047B2"/>
    <w:rsid w:val="00517016"/>
    <w:rsid w:val="00527D71"/>
    <w:rsid w:val="00527D84"/>
    <w:rsid w:val="005314B5"/>
    <w:rsid w:val="0054432F"/>
    <w:rsid w:val="00552C23"/>
    <w:rsid w:val="005607DD"/>
    <w:rsid w:val="00572DFF"/>
    <w:rsid w:val="0058448E"/>
    <w:rsid w:val="00586E57"/>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416AF"/>
    <w:rsid w:val="007563F2"/>
    <w:rsid w:val="00764008"/>
    <w:rsid w:val="00807D35"/>
    <w:rsid w:val="008115D9"/>
    <w:rsid w:val="00825950"/>
    <w:rsid w:val="0085005B"/>
    <w:rsid w:val="00885C9B"/>
    <w:rsid w:val="008927D0"/>
    <w:rsid w:val="008D5D2A"/>
    <w:rsid w:val="008E2CF1"/>
    <w:rsid w:val="008F08DC"/>
    <w:rsid w:val="008F5A8A"/>
    <w:rsid w:val="009055D1"/>
    <w:rsid w:val="009133F7"/>
    <w:rsid w:val="00914B63"/>
    <w:rsid w:val="00922705"/>
    <w:rsid w:val="00924546"/>
    <w:rsid w:val="00932FE5"/>
    <w:rsid w:val="009354F3"/>
    <w:rsid w:val="009447DC"/>
    <w:rsid w:val="009470D2"/>
    <w:rsid w:val="00961BA5"/>
    <w:rsid w:val="009743A9"/>
    <w:rsid w:val="00975720"/>
    <w:rsid w:val="0098438A"/>
    <w:rsid w:val="009859A7"/>
    <w:rsid w:val="009A5287"/>
    <w:rsid w:val="009B2AC5"/>
    <w:rsid w:val="009B7984"/>
    <w:rsid w:val="009F4BED"/>
    <w:rsid w:val="009F7D93"/>
    <w:rsid w:val="00A273C0"/>
    <w:rsid w:val="00A276DF"/>
    <w:rsid w:val="00A3084A"/>
    <w:rsid w:val="00A3403B"/>
    <w:rsid w:val="00A50033"/>
    <w:rsid w:val="00A51A12"/>
    <w:rsid w:val="00A627D4"/>
    <w:rsid w:val="00A74DA2"/>
    <w:rsid w:val="00A92733"/>
    <w:rsid w:val="00AA76F3"/>
    <w:rsid w:val="00AC7DA6"/>
    <w:rsid w:val="00AD499C"/>
    <w:rsid w:val="00B17821"/>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C7537"/>
    <w:rsid w:val="00BD58CF"/>
    <w:rsid w:val="00BF1BEB"/>
    <w:rsid w:val="00BF1BF9"/>
    <w:rsid w:val="00C04CC1"/>
    <w:rsid w:val="00C071FC"/>
    <w:rsid w:val="00C22C02"/>
    <w:rsid w:val="00C27F6F"/>
    <w:rsid w:val="00C30E83"/>
    <w:rsid w:val="00C35794"/>
    <w:rsid w:val="00C50C6D"/>
    <w:rsid w:val="00C566F6"/>
    <w:rsid w:val="00C600D9"/>
    <w:rsid w:val="00C634D7"/>
    <w:rsid w:val="00C73E09"/>
    <w:rsid w:val="00CC1384"/>
    <w:rsid w:val="00CD3720"/>
    <w:rsid w:val="00CE3BD2"/>
    <w:rsid w:val="00CE6EAA"/>
    <w:rsid w:val="00CF1848"/>
    <w:rsid w:val="00CF5C2F"/>
    <w:rsid w:val="00D04BCF"/>
    <w:rsid w:val="00D10134"/>
    <w:rsid w:val="00D143D9"/>
    <w:rsid w:val="00D4372A"/>
    <w:rsid w:val="00D60BB0"/>
    <w:rsid w:val="00D65708"/>
    <w:rsid w:val="00D8159F"/>
    <w:rsid w:val="00D9364F"/>
    <w:rsid w:val="00DD1D04"/>
    <w:rsid w:val="00DD79D7"/>
    <w:rsid w:val="00E20431"/>
    <w:rsid w:val="00E257C8"/>
    <w:rsid w:val="00E40896"/>
    <w:rsid w:val="00E43D2D"/>
    <w:rsid w:val="00E449CB"/>
    <w:rsid w:val="00E53F61"/>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91CF5"/>
    <w:rsid w:val="00FA1481"/>
    <w:rsid w:val="00FB1C42"/>
    <w:rsid w:val="00FB32EC"/>
    <w:rsid w:val="00FB5DD1"/>
    <w:rsid w:val="00FE74C0"/>
    <w:rsid w:val="00FF04E3"/>
    <w:rsid w:val="00FF3503"/>
    <w:rsid w:val="00FF6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customStyle="1" w:styleId="UnresolvedMention">
    <w:name w:val="Unresolved Mention"/>
    <w:basedOn w:val="DefaultParagraphFont"/>
    <w:rsid w:val="00E53F61"/>
    <w:rPr>
      <w:color w:val="605E5C"/>
      <w:shd w:val="clear" w:color="auto" w:fill="E1DFDD"/>
    </w:rPr>
  </w:style>
  <w:style w:type="character" w:styleId="PlaceholderText">
    <w:name w:val="Placeholder Text"/>
    <w:basedOn w:val="DefaultParagraphFont"/>
    <w:uiPriority w:val="99"/>
    <w:semiHidden/>
    <w:rsid w:val="00586E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4063</TotalTime>
  <Pages>21</Pages>
  <Words>1593</Words>
  <Characters>9081</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Supporting Online Material for</vt:lpstr>
      <vt:lpstr>Text S1. Uncertainty of mixing curves</vt:lpstr>
      <vt:lpstr>Figure S1. Results of bootstrapping analysis of freshwater and seawater endmembe</vt:lpstr>
      <vt:lpstr>Figure S2. Results of bootstrapping analysis of freshwater and seawater endmembe</vt:lpstr>
      <vt:lpstr>Figure S3. Histograms of the ∆ΩBGC parameter calculated as a result of the boots</vt:lpstr>
      <vt:lpstr>Text S2.   Estimates of the influence of anthropogenic carbon emissions on Buzza</vt:lpstr>
      <vt:lpstr>Figure S4. Mixing curves for Ω as observed, estimated for preindustrial conditio</vt:lpstr>
      <vt:lpstr>Figure S5. Estimated error term from the Ω decomposition. </vt:lpstr>
      <vt:lpstr>Text S3.   Regional measurements of riverine DIC and ALK</vt:lpstr>
      <vt:lpstr>Figure S6. Time series of total alkalinity (ALK) from all embayments and the Buz</vt:lpstr>
      <vt:lpstr>Figure S7. Time series of dissolved inorganic carbon (DIC) from all embayments a</vt:lpstr>
      <vt:lpstr>Figure S8. Time series of pCO2 from all embayments and the Buzzards Bay referenc</vt:lpstr>
      <vt:lpstr>Figure S9. Time series of pH (total scale) from all embayments and the Buzzards </vt:lpstr>
      <vt:lpstr>Figure S10. Time series of salinity (PSU) from all embayments and the Buzzards B</vt:lpstr>
      <vt:lpstr>Figure S11. Time series of temperature (degrees celcius) from all embayments and</vt:lpstr>
      <vt:lpstr>Figure S12. Time series of aragonite saturation state (ΩAr) from all embayments </vt:lpstr>
      <vt:lpstr>Figure S13. Time series of apparent oxygen utilization (AOU) from all embayments</vt:lpstr>
      <vt:lpstr>Figure S14. Time series of nitrite + nitrate (NO2- + NO3-) from all embayments a</vt:lpstr>
      <vt:lpstr>Figure S15. Time series of ammonium (NH4+) from all embayments and the Buzzards </vt:lpstr>
    </vt:vector>
  </TitlesOfParts>
  <Company>AAAS</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jennie.rheuban jennie.rheuban</cp:lastModifiedBy>
  <cp:revision>9</cp:revision>
  <cp:lastPrinted>2014-09-30T16:49:00Z</cp:lastPrinted>
  <dcterms:created xsi:type="dcterms:W3CDTF">2019-06-27T21:43:00Z</dcterms:created>
  <dcterms:modified xsi:type="dcterms:W3CDTF">2019-08-09T17:34:00Z</dcterms:modified>
</cp:coreProperties>
</file>