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1B2B" w14:textId="77777777" w:rsidR="00E30B0C" w:rsidRPr="00F561D0" w:rsidRDefault="00E30B0C" w:rsidP="00E30B0C">
      <w:pPr>
        <w:jc w:val="center"/>
        <w:rPr>
          <w:szCs w:val="24"/>
        </w:rPr>
      </w:pPr>
      <w:r w:rsidRPr="00F561D0">
        <w:rPr>
          <w:noProof/>
          <w:szCs w:val="24"/>
        </w:rPr>
        <w:drawing>
          <wp:inline distT="0" distB="0" distL="0" distR="0" wp14:anchorId="20BABAB9" wp14:editId="3699FF0F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0282D" w14:textId="77777777" w:rsidR="00E30B0C" w:rsidRPr="00F561D0" w:rsidRDefault="00E30B0C" w:rsidP="00E30B0C">
      <w:pPr>
        <w:spacing w:before="100" w:beforeAutospacing="1" w:after="100" w:afterAutospacing="1"/>
        <w:jc w:val="center"/>
        <w:rPr>
          <w:i/>
          <w:szCs w:val="24"/>
        </w:rPr>
      </w:pPr>
      <w:r w:rsidRPr="00F561D0">
        <w:rPr>
          <w:i/>
          <w:szCs w:val="24"/>
        </w:rPr>
        <w:t>Geophysical Research Letters</w:t>
      </w:r>
    </w:p>
    <w:p w14:paraId="6121FB05" w14:textId="05B80150" w:rsidR="00E30B0C" w:rsidRPr="00A3493F" w:rsidRDefault="00E30B0C" w:rsidP="00E30B0C">
      <w:pPr>
        <w:pStyle w:val="Title"/>
        <w:rPr>
          <w:rFonts w:ascii="Times New Roman" w:hAnsi="Times New Roman"/>
          <w:sz w:val="24"/>
          <w:szCs w:val="24"/>
        </w:rPr>
      </w:pPr>
      <w:r w:rsidRPr="00A3493F">
        <w:rPr>
          <w:rFonts w:ascii="Times New Roman" w:hAnsi="Times New Roman"/>
          <w:color w:val="000000"/>
          <w:sz w:val="24"/>
          <w:szCs w:val="24"/>
        </w:rPr>
        <w:t>Hy</w:t>
      </w:r>
      <w:r w:rsidR="00F26605">
        <w:rPr>
          <w:rFonts w:ascii="Times New Roman" w:hAnsi="Times New Roman"/>
          <w:color w:val="000000"/>
          <w:sz w:val="24"/>
          <w:szCs w:val="24"/>
        </w:rPr>
        <w:t xml:space="preserve">drologic properties of a highly </w:t>
      </w:r>
      <w:r w:rsidRPr="00A3493F">
        <w:rPr>
          <w:rFonts w:ascii="Times New Roman" w:hAnsi="Times New Roman"/>
          <w:color w:val="000000"/>
          <w:sz w:val="24"/>
          <w:szCs w:val="24"/>
        </w:rPr>
        <w:t>permeable firn aquifer in the Wilkins Ice Shelf, Antarctica</w:t>
      </w:r>
    </w:p>
    <w:p w14:paraId="6FA7E341" w14:textId="7120AE01" w:rsidR="00E30B0C" w:rsidRPr="00F561D0" w:rsidRDefault="00E30B0C" w:rsidP="00E30B0C">
      <w:pPr>
        <w:pStyle w:val="Authors"/>
      </w:pPr>
      <w:r w:rsidRPr="00F561D0">
        <w:rPr>
          <w:color w:val="000000"/>
        </w:rPr>
        <w:t>Lynn Montgomery</w:t>
      </w:r>
      <w:r w:rsidRPr="00F561D0">
        <w:rPr>
          <w:color w:val="000000"/>
          <w:vertAlign w:val="superscript"/>
        </w:rPr>
        <w:t>1*</w:t>
      </w:r>
      <w:r w:rsidRPr="00F561D0">
        <w:rPr>
          <w:color w:val="000000"/>
        </w:rPr>
        <w:t>, Cl</w:t>
      </w:r>
      <w:r w:rsidRPr="00F561D0">
        <w:rPr>
          <w:color w:val="1C1D1E"/>
          <w:shd w:val="clear" w:color="auto" w:fill="FFFFFF"/>
        </w:rPr>
        <w:t>é</w:t>
      </w:r>
      <w:r w:rsidRPr="00F561D0">
        <w:rPr>
          <w:color w:val="000000"/>
        </w:rPr>
        <w:t xml:space="preserve">ment </w:t>
      </w:r>
      <w:r w:rsidRPr="00F561D0">
        <w:rPr>
          <w:color w:val="000000"/>
          <w:shd w:val="clear" w:color="auto" w:fill="FFFFFF"/>
        </w:rPr>
        <w:t>Miège</w:t>
      </w:r>
      <w:r w:rsidRPr="00F561D0">
        <w:rPr>
          <w:color w:val="000000"/>
          <w:vertAlign w:val="superscript"/>
        </w:rPr>
        <w:t>2</w:t>
      </w:r>
      <w:r w:rsidRPr="00F561D0">
        <w:rPr>
          <w:color w:val="000000"/>
        </w:rPr>
        <w:t>, Julie Miller</w:t>
      </w:r>
      <w:r w:rsidRPr="00F561D0">
        <w:rPr>
          <w:color w:val="000000"/>
          <w:vertAlign w:val="superscript"/>
        </w:rPr>
        <w:t>3</w:t>
      </w:r>
      <w:proofErr w:type="gramStart"/>
      <w:r w:rsidRPr="00F561D0">
        <w:rPr>
          <w:color w:val="000000"/>
          <w:vertAlign w:val="superscript"/>
        </w:rPr>
        <w:t>,4</w:t>
      </w:r>
      <w:proofErr w:type="gramEnd"/>
      <w:r w:rsidR="00F907E0">
        <w:rPr>
          <w:color w:val="000000"/>
        </w:rPr>
        <w:t>, Theodo</w:t>
      </w:r>
      <w:r w:rsidR="00A95FFE">
        <w:rPr>
          <w:color w:val="000000"/>
        </w:rPr>
        <w:t>re</w:t>
      </w:r>
      <w:r w:rsidRPr="00F561D0">
        <w:rPr>
          <w:color w:val="000000"/>
        </w:rPr>
        <w:t xml:space="preserve"> Scambos</w:t>
      </w:r>
      <w:r w:rsidRPr="00F561D0">
        <w:rPr>
          <w:color w:val="000000"/>
          <w:vertAlign w:val="superscript"/>
        </w:rPr>
        <w:t>3,4</w:t>
      </w:r>
      <w:r w:rsidRPr="00F561D0">
        <w:rPr>
          <w:color w:val="000000"/>
        </w:rPr>
        <w:t>, Bruce Wallin</w:t>
      </w:r>
      <w:r w:rsidRPr="00F561D0">
        <w:rPr>
          <w:color w:val="000000"/>
          <w:vertAlign w:val="superscript"/>
        </w:rPr>
        <w:t>5</w:t>
      </w:r>
      <w:r w:rsidRPr="00F561D0">
        <w:rPr>
          <w:color w:val="000000"/>
        </w:rPr>
        <w:t>, Olivia Miller</w:t>
      </w:r>
      <w:r w:rsidR="00FA4F35">
        <w:rPr>
          <w:color w:val="000000"/>
          <w:vertAlign w:val="superscript"/>
        </w:rPr>
        <w:t>6</w:t>
      </w:r>
      <w:r w:rsidRPr="00F561D0">
        <w:rPr>
          <w:color w:val="000000"/>
        </w:rPr>
        <w:t xml:space="preserve">, </w:t>
      </w:r>
      <w:r w:rsidR="00737EFF">
        <w:rPr>
          <w:color w:val="000000"/>
        </w:rPr>
        <w:t xml:space="preserve">D. </w:t>
      </w:r>
      <w:r w:rsidRPr="00F561D0">
        <w:rPr>
          <w:color w:val="000000"/>
        </w:rPr>
        <w:t>Kip Solomon</w:t>
      </w:r>
      <w:r w:rsidR="00FA4F35">
        <w:rPr>
          <w:color w:val="000000"/>
          <w:vertAlign w:val="superscript"/>
        </w:rPr>
        <w:t>7</w:t>
      </w:r>
      <w:r w:rsidRPr="00F561D0">
        <w:rPr>
          <w:color w:val="000000"/>
        </w:rPr>
        <w:t>, Richard Forster</w:t>
      </w:r>
      <w:r w:rsidR="00FA4F35">
        <w:rPr>
          <w:color w:val="000000"/>
          <w:vertAlign w:val="superscript"/>
        </w:rPr>
        <w:t>8</w:t>
      </w:r>
      <w:r w:rsidRPr="00F561D0">
        <w:rPr>
          <w:color w:val="000000"/>
        </w:rPr>
        <w:t>, Lora Koenig</w:t>
      </w:r>
      <w:r w:rsidRPr="00F561D0">
        <w:rPr>
          <w:color w:val="000000"/>
          <w:vertAlign w:val="superscript"/>
        </w:rPr>
        <w:t>5</w:t>
      </w:r>
    </w:p>
    <w:p w14:paraId="16C618CC" w14:textId="77777777" w:rsidR="00E30B0C" w:rsidRPr="00F561D0" w:rsidRDefault="00E30B0C" w:rsidP="00E30B0C">
      <w:pPr>
        <w:pStyle w:val="NormalWeb"/>
      </w:pPr>
      <w:proofErr w:type="gramStart"/>
      <w:r w:rsidRPr="00F561D0">
        <w:rPr>
          <w:color w:val="000000"/>
          <w:vertAlign w:val="superscript"/>
        </w:rPr>
        <w:t>1</w:t>
      </w:r>
      <w:proofErr w:type="gramEnd"/>
      <w:r w:rsidRPr="00F561D0">
        <w:rPr>
          <w:color w:val="000000"/>
          <w:vertAlign w:val="superscript"/>
        </w:rPr>
        <w:t xml:space="preserve"> </w:t>
      </w:r>
      <w:r w:rsidRPr="00F561D0">
        <w:rPr>
          <w:color w:val="000000"/>
        </w:rPr>
        <w:t>Department of Atmospheric and Oceanic Sciences, University of Colorado Boulder, Boulder, CO, USA</w:t>
      </w:r>
    </w:p>
    <w:p w14:paraId="48B1F80A" w14:textId="77777777" w:rsidR="00E30B0C" w:rsidRPr="00F561D0" w:rsidRDefault="00E30B0C" w:rsidP="00E30B0C">
      <w:pPr>
        <w:pStyle w:val="NormalWeb"/>
      </w:pPr>
      <w:proofErr w:type="gramStart"/>
      <w:r w:rsidRPr="00F561D0">
        <w:rPr>
          <w:color w:val="000000"/>
          <w:vertAlign w:val="superscript"/>
        </w:rPr>
        <w:t>2</w:t>
      </w:r>
      <w:proofErr w:type="gramEnd"/>
      <w:r w:rsidRPr="00F561D0">
        <w:rPr>
          <w:color w:val="000000"/>
          <w:vertAlign w:val="superscript"/>
        </w:rPr>
        <w:t xml:space="preserve"> </w:t>
      </w:r>
      <w:r w:rsidRPr="00F561D0">
        <w:rPr>
          <w:color w:val="000000"/>
        </w:rPr>
        <w:t>Department of Geography, Rutgers University, Piscataway, New Jersey, USA</w:t>
      </w:r>
    </w:p>
    <w:p w14:paraId="6E857EBB" w14:textId="77777777" w:rsidR="00E30B0C" w:rsidRPr="00F561D0" w:rsidRDefault="00E30B0C" w:rsidP="00E30B0C">
      <w:pPr>
        <w:pStyle w:val="NormalWeb"/>
      </w:pPr>
      <w:proofErr w:type="gramStart"/>
      <w:r w:rsidRPr="00F561D0">
        <w:rPr>
          <w:color w:val="000000"/>
          <w:vertAlign w:val="superscript"/>
        </w:rPr>
        <w:t>3</w:t>
      </w:r>
      <w:proofErr w:type="gramEnd"/>
      <w:r w:rsidRPr="00F561D0">
        <w:rPr>
          <w:color w:val="000000"/>
          <w:vertAlign w:val="superscript"/>
        </w:rPr>
        <w:t xml:space="preserve"> </w:t>
      </w:r>
      <w:r w:rsidRPr="00F561D0">
        <w:rPr>
          <w:color w:val="000000"/>
        </w:rPr>
        <w:t>Cooperative Institute for Research in Environmental Sciences, University of Colorado, Boulder, Colorado, USA</w:t>
      </w:r>
    </w:p>
    <w:p w14:paraId="0DA7A394" w14:textId="77777777" w:rsidR="00FA4F35" w:rsidRPr="006E2C48" w:rsidRDefault="00FA4F35" w:rsidP="00FA4F35">
      <w:pPr>
        <w:pStyle w:val="NormalWeb"/>
      </w:pPr>
      <w:proofErr w:type="gramStart"/>
      <w:r w:rsidRPr="006E2C48">
        <w:rPr>
          <w:color w:val="000000"/>
          <w:vertAlign w:val="superscript"/>
        </w:rPr>
        <w:t>4</w:t>
      </w:r>
      <w:proofErr w:type="gramEnd"/>
      <w:r w:rsidRPr="006E2C48">
        <w:rPr>
          <w:color w:val="000000"/>
          <w:vertAlign w:val="superscript"/>
        </w:rPr>
        <w:t xml:space="preserve"> </w:t>
      </w:r>
      <w:r w:rsidRPr="006E2C48">
        <w:rPr>
          <w:color w:val="000000"/>
        </w:rPr>
        <w:t>Earth Science and Observation Center, University of Colorado, Boulder, Colorado, USA</w:t>
      </w:r>
    </w:p>
    <w:p w14:paraId="733B1671" w14:textId="77777777" w:rsidR="00FA4F35" w:rsidRDefault="00FA4F35" w:rsidP="00FA4F35">
      <w:pPr>
        <w:pStyle w:val="NormalWeb"/>
        <w:rPr>
          <w:color w:val="000000"/>
        </w:rPr>
      </w:pPr>
      <w:proofErr w:type="gramStart"/>
      <w:r w:rsidRPr="006E2C48">
        <w:rPr>
          <w:color w:val="000000"/>
          <w:vertAlign w:val="superscript"/>
        </w:rPr>
        <w:t>5</w:t>
      </w:r>
      <w:proofErr w:type="gramEnd"/>
      <w:r w:rsidRPr="006E2C48">
        <w:rPr>
          <w:color w:val="000000"/>
          <w:vertAlign w:val="superscript"/>
        </w:rPr>
        <w:t xml:space="preserve"> </w:t>
      </w:r>
      <w:r w:rsidRPr="006E2C48">
        <w:rPr>
          <w:color w:val="000000"/>
        </w:rPr>
        <w:t>National Snow and Ice Data Center, Cooperative Institute for Research in Environmental Studies, Boulder, CO, USA</w:t>
      </w:r>
    </w:p>
    <w:p w14:paraId="74C35A40" w14:textId="6759E139" w:rsidR="00173EBE" w:rsidRPr="0079498A" w:rsidRDefault="00FA4F35" w:rsidP="00173EBE">
      <w:pPr>
        <w:pStyle w:val="NormalWeb"/>
        <w:rPr>
          <w:shd w:val="clear" w:color="auto" w:fill="FFFFFF"/>
        </w:rPr>
      </w:pPr>
      <w:proofErr w:type="gramStart"/>
      <w:r w:rsidRPr="006E2C48">
        <w:rPr>
          <w:color w:val="000000"/>
          <w:vertAlign w:val="superscript"/>
        </w:rPr>
        <w:t>6</w:t>
      </w:r>
      <w:proofErr w:type="gramEnd"/>
      <w:r w:rsidRPr="006E2C48">
        <w:rPr>
          <w:color w:val="000000"/>
          <w:vertAlign w:val="superscript"/>
        </w:rPr>
        <w:t xml:space="preserve"> </w:t>
      </w:r>
      <w:r w:rsidR="00173EBE" w:rsidRPr="00822FDC">
        <w:rPr>
          <w:shd w:val="clear" w:color="auto" w:fill="FFFFFF"/>
        </w:rPr>
        <w:t>United States Geological Survey, Utah Water Science Center, Salt Lake City, UT, USA</w:t>
      </w:r>
    </w:p>
    <w:p w14:paraId="65C86E53" w14:textId="77777777" w:rsidR="00FA4F35" w:rsidRPr="006E2C48" w:rsidRDefault="00FA4F35" w:rsidP="00173EBE">
      <w:pPr>
        <w:pStyle w:val="NormalWeb"/>
        <w:rPr>
          <w:color w:val="000000"/>
        </w:rPr>
      </w:pPr>
      <w:proofErr w:type="gramStart"/>
      <w:r>
        <w:rPr>
          <w:color w:val="000000"/>
          <w:vertAlign w:val="superscript"/>
        </w:rPr>
        <w:t>7</w:t>
      </w:r>
      <w:proofErr w:type="gramEnd"/>
      <w:r w:rsidRPr="006E2C48">
        <w:rPr>
          <w:color w:val="000000"/>
          <w:vertAlign w:val="superscript"/>
        </w:rPr>
        <w:t xml:space="preserve"> </w:t>
      </w:r>
      <w:r w:rsidRPr="006E2C48">
        <w:rPr>
          <w:color w:val="000000"/>
        </w:rPr>
        <w:t>Department of Geology and Geophysics, University of Utah, Salt Lake City, UT, USA</w:t>
      </w:r>
    </w:p>
    <w:p w14:paraId="553D5FAF" w14:textId="77777777" w:rsidR="00FA4F35" w:rsidRPr="006E2C48" w:rsidRDefault="00FA4F35" w:rsidP="00FA4F35">
      <w:pPr>
        <w:pStyle w:val="NormalWeb"/>
        <w:shd w:val="clear" w:color="auto" w:fill="FFFFFF"/>
        <w:rPr>
          <w:color w:val="000000"/>
        </w:rPr>
      </w:pPr>
      <w:proofErr w:type="gramStart"/>
      <w:r>
        <w:rPr>
          <w:color w:val="000000"/>
          <w:vertAlign w:val="superscript"/>
        </w:rPr>
        <w:t>8</w:t>
      </w:r>
      <w:proofErr w:type="gramEnd"/>
      <w:r w:rsidRPr="006E2C48">
        <w:rPr>
          <w:color w:val="000000"/>
          <w:vertAlign w:val="superscript"/>
        </w:rPr>
        <w:t xml:space="preserve"> </w:t>
      </w:r>
      <w:r w:rsidRPr="006E2C48">
        <w:rPr>
          <w:color w:val="000000"/>
        </w:rPr>
        <w:t>Geography Department, University of Utah, Salt Lake City, UT, USA</w:t>
      </w:r>
    </w:p>
    <w:p w14:paraId="197970AB" w14:textId="77777777" w:rsidR="00E30B0C" w:rsidRDefault="00E30B0C" w:rsidP="00E30B0C">
      <w:pPr>
        <w:pStyle w:val="Affiliation"/>
      </w:pPr>
      <w:r w:rsidRPr="00F561D0">
        <w:t>*Corresponding author: Lynn Montgomery (</w:t>
      </w:r>
      <w:hyperlink r:id="rId7" w:history="1">
        <w:r w:rsidRPr="00F561D0">
          <w:rPr>
            <w:rStyle w:val="Hyperlink"/>
          </w:rPr>
          <w:t>lynn.montgomery@colorado.edu)</w:t>
        </w:r>
      </w:hyperlink>
      <w:r w:rsidRPr="00F561D0">
        <w:t xml:space="preserve">   </w:t>
      </w:r>
    </w:p>
    <w:p w14:paraId="62E41FC5" w14:textId="77777777" w:rsidR="00A3493F" w:rsidRDefault="00A3493F" w:rsidP="00E30B0C">
      <w:pPr>
        <w:pStyle w:val="Affiliation"/>
      </w:pPr>
    </w:p>
    <w:p w14:paraId="64A3A5A0" w14:textId="77777777" w:rsidR="00A3493F" w:rsidRPr="00A3493F" w:rsidRDefault="00A3493F" w:rsidP="00E30B0C">
      <w:pPr>
        <w:pStyle w:val="Affiliation"/>
        <w:rPr>
          <w:b/>
          <w:sz w:val="28"/>
          <w:szCs w:val="28"/>
        </w:rPr>
      </w:pPr>
      <w:r w:rsidRPr="00A3493F">
        <w:rPr>
          <w:b/>
          <w:sz w:val="28"/>
          <w:szCs w:val="28"/>
        </w:rPr>
        <w:t>Contents of this file</w:t>
      </w:r>
    </w:p>
    <w:p w14:paraId="7515DBE4" w14:textId="77777777" w:rsidR="00A3493F" w:rsidRPr="00A3493F" w:rsidRDefault="00A3493F" w:rsidP="00E30B0C">
      <w:pPr>
        <w:pStyle w:val="Affiliation"/>
        <w:rPr>
          <w:b/>
        </w:rPr>
      </w:pPr>
    </w:p>
    <w:p w14:paraId="62A1A1D4" w14:textId="77777777" w:rsidR="00F561D0" w:rsidRDefault="00A3493F" w:rsidP="00E30B0C">
      <w:pPr>
        <w:pStyle w:val="Affiliation"/>
        <w:rPr>
          <w:b/>
        </w:rPr>
      </w:pPr>
      <w:r w:rsidRPr="00A3493F">
        <w:rPr>
          <w:b/>
        </w:rPr>
        <w:t>Text</w:t>
      </w:r>
      <w:r>
        <w:rPr>
          <w:b/>
        </w:rPr>
        <w:t>:</w:t>
      </w:r>
    </w:p>
    <w:p w14:paraId="6DCA2059" w14:textId="77777777" w:rsidR="00A3493F" w:rsidRPr="00E30B0C" w:rsidRDefault="00A3493F" w:rsidP="00D6530F">
      <w:pPr>
        <w:spacing w:before="120" w:after="120"/>
        <w:rPr>
          <w:b/>
          <w:bCs/>
          <w:color w:val="222222"/>
          <w:szCs w:val="24"/>
          <w:shd w:val="clear" w:color="auto" w:fill="FFFFFF"/>
        </w:rPr>
      </w:pPr>
      <w:r>
        <w:rPr>
          <w:b/>
        </w:rPr>
        <w:tab/>
      </w:r>
      <w:r w:rsidRPr="00F561D0">
        <w:rPr>
          <w:b/>
          <w:bCs/>
          <w:color w:val="222222"/>
          <w:szCs w:val="24"/>
          <w:shd w:val="clear" w:color="auto" w:fill="FFFFFF"/>
        </w:rPr>
        <w:t>Text S1</w:t>
      </w:r>
      <w:r>
        <w:rPr>
          <w:b/>
          <w:bCs/>
          <w:color w:val="222222"/>
          <w:szCs w:val="24"/>
          <w:shd w:val="clear" w:color="auto" w:fill="FFFFFF"/>
        </w:rPr>
        <w:t xml:space="preserve">. </w:t>
      </w:r>
      <w:r w:rsidRPr="00E30B0C">
        <w:rPr>
          <w:bCs/>
          <w:color w:val="222222"/>
          <w:szCs w:val="24"/>
          <w:shd w:val="clear" w:color="auto" w:fill="FFFFFF"/>
        </w:rPr>
        <w:t>De</w:t>
      </w:r>
      <w:r w:rsidRPr="00F561D0">
        <w:rPr>
          <w:bCs/>
          <w:color w:val="222222"/>
          <w:szCs w:val="24"/>
          <w:shd w:val="clear" w:color="auto" w:fill="FFFFFF"/>
        </w:rPr>
        <w:t>tails of Borehole Dilution test</w:t>
      </w:r>
    </w:p>
    <w:p w14:paraId="7E47EA78" w14:textId="77777777" w:rsidR="00A3493F" w:rsidRPr="00E30B0C" w:rsidRDefault="00A3493F" w:rsidP="00D6530F">
      <w:pPr>
        <w:spacing w:before="120" w:after="120"/>
        <w:rPr>
          <w:b/>
          <w:szCs w:val="24"/>
        </w:rPr>
      </w:pPr>
      <w:r>
        <w:rPr>
          <w:b/>
        </w:rPr>
        <w:tab/>
      </w:r>
      <w:r w:rsidRPr="00F561D0">
        <w:rPr>
          <w:b/>
          <w:szCs w:val="24"/>
        </w:rPr>
        <w:t>Text S2</w:t>
      </w:r>
      <w:r>
        <w:rPr>
          <w:b/>
          <w:szCs w:val="24"/>
        </w:rPr>
        <w:t xml:space="preserve">. </w:t>
      </w:r>
      <w:r w:rsidRPr="00F561D0">
        <w:rPr>
          <w:bCs/>
          <w:color w:val="222222"/>
          <w:szCs w:val="24"/>
          <w:shd w:val="clear" w:color="auto" w:fill="FFFFFF"/>
        </w:rPr>
        <w:t>GPR Methods</w:t>
      </w:r>
    </w:p>
    <w:p w14:paraId="27FAEC6A" w14:textId="77777777" w:rsidR="00A3493F" w:rsidRDefault="00A3493F" w:rsidP="00D6530F">
      <w:pPr>
        <w:pStyle w:val="Affiliation"/>
        <w:spacing w:after="120"/>
        <w:ind w:firstLine="720"/>
        <w:rPr>
          <w:bCs/>
          <w:color w:val="222222"/>
          <w:shd w:val="clear" w:color="auto" w:fill="FFFFFF"/>
        </w:rPr>
      </w:pPr>
      <w:r w:rsidRPr="00F561D0">
        <w:rPr>
          <w:b/>
          <w:color w:val="222222"/>
          <w:shd w:val="clear" w:color="auto" w:fill="FFFFFF"/>
        </w:rPr>
        <w:t>Text S3</w:t>
      </w:r>
      <w:r>
        <w:rPr>
          <w:b/>
          <w:color w:val="222222"/>
          <w:shd w:val="clear" w:color="auto" w:fill="FFFFFF"/>
        </w:rPr>
        <w:t xml:space="preserve">. </w:t>
      </w:r>
      <w:r w:rsidRPr="00F77CC9">
        <w:rPr>
          <w:bCs/>
          <w:color w:val="222222"/>
          <w:shd w:val="clear" w:color="auto" w:fill="FFFFFF"/>
        </w:rPr>
        <w:t>SEEP2D Model Setup and Assumptions</w:t>
      </w:r>
    </w:p>
    <w:p w14:paraId="604C6ADC" w14:textId="3CF148C8" w:rsidR="00A3493F" w:rsidRDefault="00A3493F" w:rsidP="00D6530F">
      <w:pPr>
        <w:spacing w:before="120" w:after="120"/>
        <w:ind w:firstLine="720"/>
        <w:rPr>
          <w:bCs/>
          <w:color w:val="222222"/>
          <w:szCs w:val="24"/>
          <w:shd w:val="clear" w:color="auto" w:fill="FFFFFF"/>
        </w:rPr>
      </w:pPr>
      <w:r w:rsidRPr="00E77620">
        <w:rPr>
          <w:b/>
          <w:bCs/>
          <w:color w:val="222222"/>
          <w:szCs w:val="24"/>
          <w:shd w:val="clear" w:color="auto" w:fill="FFFFFF"/>
        </w:rPr>
        <w:t>Text S4.</w:t>
      </w:r>
      <w:r>
        <w:rPr>
          <w:bCs/>
          <w:color w:val="222222"/>
          <w:szCs w:val="24"/>
          <w:shd w:val="clear" w:color="auto" w:fill="FFFFFF"/>
        </w:rPr>
        <w:t xml:space="preserve"> </w:t>
      </w:r>
      <w:r w:rsidRPr="00F561D0">
        <w:rPr>
          <w:bCs/>
          <w:color w:val="222222"/>
          <w:szCs w:val="24"/>
          <w:shd w:val="clear" w:color="auto" w:fill="FFFFFF"/>
        </w:rPr>
        <w:t>Definition of Specifi</w:t>
      </w:r>
      <w:r w:rsidRPr="008B4261">
        <w:rPr>
          <w:bCs/>
          <w:color w:val="222222"/>
          <w:szCs w:val="24"/>
          <w:shd w:val="clear" w:color="auto" w:fill="FFFFFF"/>
        </w:rPr>
        <w:t>c Discharge and Linear Velocity</w:t>
      </w:r>
    </w:p>
    <w:p w14:paraId="0F820570" w14:textId="066B01A3" w:rsidR="004C6393" w:rsidRPr="0079498A" w:rsidRDefault="004C6393" w:rsidP="00D6530F">
      <w:pPr>
        <w:spacing w:before="120" w:after="120"/>
        <w:ind w:firstLine="720"/>
        <w:rPr>
          <w:b/>
          <w:szCs w:val="24"/>
        </w:rPr>
      </w:pPr>
      <w:r w:rsidRPr="0079498A">
        <w:rPr>
          <w:b/>
          <w:bCs/>
          <w:color w:val="222222"/>
          <w:szCs w:val="24"/>
          <w:shd w:val="clear" w:color="auto" w:fill="FFFFFF"/>
        </w:rPr>
        <w:t>Text S5.</w:t>
      </w:r>
      <w:r w:rsidRPr="004C6393">
        <w:rPr>
          <w:szCs w:val="24"/>
        </w:rPr>
        <w:t xml:space="preserve"> </w:t>
      </w:r>
      <w:r>
        <w:rPr>
          <w:szCs w:val="24"/>
        </w:rPr>
        <w:t>Uncertainty of Density Measurements</w:t>
      </w:r>
    </w:p>
    <w:p w14:paraId="6EAC5748" w14:textId="0139369A" w:rsidR="00A3493F" w:rsidRDefault="00A3493F" w:rsidP="00A3493F">
      <w:pPr>
        <w:pStyle w:val="Affiliation"/>
        <w:spacing w:before="240" w:after="240"/>
        <w:rPr>
          <w:b/>
        </w:rPr>
      </w:pPr>
      <w:r>
        <w:rPr>
          <w:b/>
        </w:rPr>
        <w:t>Figures:</w:t>
      </w:r>
    </w:p>
    <w:p w14:paraId="0AF05BAF" w14:textId="190DC634" w:rsidR="000F15EB" w:rsidRPr="00AE7CA3" w:rsidRDefault="000F15EB" w:rsidP="000F15EB">
      <w:pPr>
        <w:spacing w:before="120" w:after="120"/>
        <w:rPr>
          <w:color w:val="000000"/>
          <w:szCs w:val="24"/>
        </w:rPr>
      </w:pPr>
      <w:r>
        <w:rPr>
          <w:b/>
        </w:rPr>
        <w:tab/>
      </w:r>
      <w:r w:rsidR="00AE7CA3" w:rsidRPr="00AE7CA3">
        <w:rPr>
          <w:b/>
        </w:rPr>
        <w:t xml:space="preserve">Figure S1. </w:t>
      </w:r>
      <w:r w:rsidR="00AE7CA3" w:rsidRPr="00AE7CA3">
        <w:t xml:space="preserve">Airborne </w:t>
      </w:r>
      <w:proofErr w:type="spellStart"/>
      <w:r w:rsidR="00AE7CA3" w:rsidRPr="00AE7CA3">
        <w:t>MCoRDS</w:t>
      </w:r>
      <w:proofErr w:type="spellEnd"/>
      <w:r w:rsidR="00AE7CA3" w:rsidRPr="00AE7CA3">
        <w:t xml:space="preserve"> pro</w:t>
      </w:r>
      <w:bookmarkStart w:id="0" w:name="_GoBack"/>
      <w:bookmarkEnd w:id="0"/>
      <w:r w:rsidR="00AE7CA3" w:rsidRPr="00AE7CA3">
        <w:t>file taken on November 16, 2014.</w:t>
      </w:r>
    </w:p>
    <w:p w14:paraId="649D4B6E" w14:textId="28D84EE4" w:rsidR="00A3493F" w:rsidRDefault="00A3493F" w:rsidP="00D6530F">
      <w:pPr>
        <w:spacing w:before="120" w:after="120"/>
        <w:rPr>
          <w:szCs w:val="24"/>
        </w:rPr>
      </w:pPr>
      <w:r>
        <w:rPr>
          <w:b/>
        </w:rPr>
        <w:tab/>
      </w:r>
      <w:r w:rsidR="000F15EB">
        <w:rPr>
          <w:b/>
          <w:szCs w:val="24"/>
        </w:rPr>
        <w:t>Figure S2</w:t>
      </w:r>
      <w:r w:rsidRPr="00F561D0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Firn density and stratigraphy for all three boreholes drilled at the field site.</w:t>
      </w:r>
    </w:p>
    <w:p w14:paraId="0163B8EB" w14:textId="438D273B" w:rsidR="00D6530F" w:rsidRDefault="00D6530F" w:rsidP="00D6530F">
      <w:pPr>
        <w:spacing w:before="120" w:after="120"/>
        <w:rPr>
          <w:color w:val="222222"/>
          <w:szCs w:val="24"/>
          <w:shd w:val="clear" w:color="auto" w:fill="FFFFFF"/>
        </w:rPr>
      </w:pPr>
      <w:r>
        <w:rPr>
          <w:szCs w:val="24"/>
        </w:rPr>
        <w:tab/>
      </w:r>
      <w:r w:rsidR="000F15EB">
        <w:rPr>
          <w:b/>
          <w:color w:val="222222"/>
          <w:szCs w:val="24"/>
          <w:shd w:val="clear" w:color="auto" w:fill="FFFFFF"/>
        </w:rPr>
        <w:t>Figure S3</w:t>
      </w:r>
      <w:r w:rsidRPr="00F561D0">
        <w:rPr>
          <w:b/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Slug test set-up and water level change data.</w:t>
      </w:r>
    </w:p>
    <w:p w14:paraId="69B9CFCF" w14:textId="48E92B19" w:rsidR="00D6530F" w:rsidRDefault="00D6530F" w:rsidP="00D6530F">
      <w:pPr>
        <w:spacing w:before="120" w:after="12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ab/>
      </w:r>
      <w:r w:rsidR="000F15EB">
        <w:rPr>
          <w:b/>
          <w:color w:val="222222"/>
          <w:szCs w:val="24"/>
          <w:shd w:val="clear" w:color="auto" w:fill="FFFFFF"/>
        </w:rPr>
        <w:t>Figure S4</w:t>
      </w:r>
      <w:r w:rsidRPr="00D6530F">
        <w:rPr>
          <w:b/>
          <w:color w:val="222222"/>
          <w:szCs w:val="24"/>
          <w:shd w:val="clear" w:color="auto" w:fill="FFFFFF"/>
        </w:rPr>
        <w:t xml:space="preserve">. </w:t>
      </w:r>
      <w:r>
        <w:rPr>
          <w:color w:val="222222"/>
          <w:szCs w:val="24"/>
          <w:shd w:val="clear" w:color="auto" w:fill="FFFFFF"/>
        </w:rPr>
        <w:t>Borehole dilution test set-up and h</w:t>
      </w:r>
      <w:r w:rsidRPr="00E30B0C">
        <w:rPr>
          <w:color w:val="222222"/>
          <w:szCs w:val="24"/>
          <w:shd w:val="clear" w:color="auto" w:fill="FFFFFF"/>
        </w:rPr>
        <w:t>omogenization</w:t>
      </w:r>
      <w:r>
        <w:rPr>
          <w:color w:val="222222"/>
          <w:szCs w:val="24"/>
          <w:shd w:val="clear" w:color="auto" w:fill="FFFFFF"/>
        </w:rPr>
        <w:t xml:space="preserve"> of salt concentration.</w:t>
      </w:r>
    </w:p>
    <w:p w14:paraId="17A1D9BD" w14:textId="08D693C9" w:rsidR="00D6530F" w:rsidRDefault="00D6530F" w:rsidP="000F15EB">
      <w:pPr>
        <w:spacing w:before="120" w:after="120"/>
        <w:rPr>
          <w:color w:val="000000"/>
          <w:szCs w:val="24"/>
        </w:rPr>
      </w:pPr>
      <w:r>
        <w:rPr>
          <w:color w:val="222222"/>
          <w:szCs w:val="24"/>
          <w:shd w:val="clear" w:color="auto" w:fill="FFFFFF"/>
        </w:rPr>
        <w:lastRenderedPageBreak/>
        <w:tab/>
      </w:r>
      <w:r w:rsidR="000F15EB">
        <w:rPr>
          <w:b/>
          <w:color w:val="222222"/>
          <w:szCs w:val="24"/>
          <w:shd w:val="clear" w:color="auto" w:fill="FFFFFF"/>
        </w:rPr>
        <w:t>Figure S</w:t>
      </w:r>
      <w:r w:rsidR="004869FA">
        <w:rPr>
          <w:b/>
          <w:color w:val="222222"/>
          <w:szCs w:val="24"/>
          <w:shd w:val="clear" w:color="auto" w:fill="FFFFFF"/>
        </w:rPr>
        <w:t>5</w:t>
      </w:r>
      <w:r w:rsidRPr="00D6530F">
        <w:rPr>
          <w:b/>
          <w:color w:val="222222"/>
          <w:szCs w:val="24"/>
          <w:shd w:val="clear" w:color="auto" w:fill="FFFFFF"/>
        </w:rPr>
        <w:t xml:space="preserve">. </w:t>
      </w:r>
      <w:r w:rsidRPr="00F561D0">
        <w:rPr>
          <w:color w:val="222222"/>
          <w:szCs w:val="24"/>
          <w:shd w:val="clear" w:color="auto" w:fill="FFFFFF"/>
        </w:rPr>
        <w:t>8-day continuous stationary GPS survey</w:t>
      </w:r>
      <w:r w:rsidRPr="00F561D0">
        <w:rPr>
          <w:color w:val="000000"/>
          <w:szCs w:val="24"/>
        </w:rPr>
        <w:t xml:space="preserve"> at the drill site</w:t>
      </w:r>
      <w:r>
        <w:rPr>
          <w:color w:val="000000"/>
          <w:szCs w:val="24"/>
        </w:rPr>
        <w:t>.</w:t>
      </w:r>
    </w:p>
    <w:p w14:paraId="372AF19E" w14:textId="77777777" w:rsidR="00D6530F" w:rsidRDefault="00D6530F" w:rsidP="00D6530F">
      <w:pPr>
        <w:spacing w:before="240" w:after="240"/>
        <w:rPr>
          <w:b/>
          <w:color w:val="000000"/>
          <w:szCs w:val="24"/>
        </w:rPr>
      </w:pPr>
      <w:r w:rsidRPr="00D6530F">
        <w:rPr>
          <w:b/>
          <w:color w:val="000000"/>
          <w:szCs w:val="24"/>
        </w:rPr>
        <w:t>Tables:</w:t>
      </w:r>
    </w:p>
    <w:p w14:paraId="0583F898" w14:textId="34DCA94A" w:rsidR="00D6530F" w:rsidRPr="00D6530F" w:rsidRDefault="00D6530F" w:rsidP="00D6530F">
      <w:pPr>
        <w:spacing w:before="120" w:after="120"/>
        <w:ind w:left="72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Table S1. </w:t>
      </w:r>
      <w:r>
        <w:rPr>
          <w:color w:val="000000"/>
          <w:szCs w:val="24"/>
        </w:rPr>
        <w:t>Model output from regional climate models,</w:t>
      </w:r>
      <w:r w:rsidR="0071491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RACMO2 and MAR, of snowfall and melt at the closest matched grid point to the field site. </w:t>
      </w:r>
    </w:p>
    <w:p w14:paraId="047DD81E" w14:textId="25E2E276" w:rsidR="00B31D4B" w:rsidRDefault="00D6530F" w:rsidP="00D6530F">
      <w:pPr>
        <w:spacing w:before="120" w:after="120"/>
        <w:rPr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Table S2. </w:t>
      </w:r>
      <w:r>
        <w:rPr>
          <w:color w:val="000000"/>
          <w:szCs w:val="24"/>
        </w:rPr>
        <w:t>SEEP2D model input and output of variables in Darcy’s Law.</w:t>
      </w:r>
    </w:p>
    <w:p w14:paraId="6AD8ADF8" w14:textId="77777777" w:rsidR="00D6530F" w:rsidRDefault="00B31D4B" w:rsidP="00D6530F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1596F058" w14:textId="77777777" w:rsidR="00B31D4B" w:rsidRDefault="00B31D4B" w:rsidP="00D6530F">
      <w:pPr>
        <w:spacing w:before="120" w:after="120"/>
        <w:rPr>
          <w:szCs w:val="24"/>
        </w:rPr>
      </w:pPr>
      <w:r>
        <w:rPr>
          <w:szCs w:val="24"/>
        </w:rPr>
        <w:t>The supplementary material here provides:</w:t>
      </w:r>
    </w:p>
    <w:p w14:paraId="5A8F0D26" w14:textId="77777777" w:rsidR="00B31D4B" w:rsidRDefault="00B31D4B" w:rsidP="00B31D4B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Text supplementing geophysical and model methods and concepts.</w:t>
      </w:r>
    </w:p>
    <w:p w14:paraId="3CF858F3" w14:textId="77777777" w:rsidR="00B31D4B" w:rsidRDefault="00B31D4B" w:rsidP="00B31D4B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Figures supplementing geophysical methods and data.</w:t>
      </w:r>
    </w:p>
    <w:p w14:paraId="1E793C91" w14:textId="77777777" w:rsidR="00B31D4B" w:rsidRPr="00B31D4B" w:rsidRDefault="00B31D4B" w:rsidP="00B31D4B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Tabular data summarizing model and field data.</w:t>
      </w:r>
    </w:p>
    <w:p w14:paraId="2C155BCC" w14:textId="77777777" w:rsidR="00F561D0" w:rsidRPr="00E30B0C" w:rsidRDefault="00F561D0" w:rsidP="00F561D0">
      <w:pPr>
        <w:spacing w:before="240" w:after="240"/>
        <w:rPr>
          <w:b/>
          <w:bCs/>
          <w:color w:val="222222"/>
          <w:szCs w:val="24"/>
          <w:shd w:val="clear" w:color="auto" w:fill="FFFFFF"/>
        </w:rPr>
      </w:pPr>
      <w:r w:rsidRPr="00F561D0">
        <w:rPr>
          <w:b/>
          <w:bCs/>
          <w:color w:val="222222"/>
          <w:szCs w:val="24"/>
          <w:shd w:val="clear" w:color="auto" w:fill="FFFFFF"/>
        </w:rPr>
        <w:t>Text S1</w:t>
      </w:r>
      <w:r>
        <w:rPr>
          <w:b/>
          <w:bCs/>
          <w:color w:val="222222"/>
          <w:szCs w:val="24"/>
          <w:shd w:val="clear" w:color="auto" w:fill="FFFFFF"/>
        </w:rPr>
        <w:t xml:space="preserve">. </w:t>
      </w:r>
      <w:r w:rsidRPr="00E30B0C">
        <w:rPr>
          <w:bCs/>
          <w:color w:val="222222"/>
          <w:szCs w:val="24"/>
          <w:shd w:val="clear" w:color="auto" w:fill="FFFFFF"/>
        </w:rPr>
        <w:t>De</w:t>
      </w:r>
      <w:r w:rsidRPr="00F561D0">
        <w:rPr>
          <w:bCs/>
          <w:color w:val="222222"/>
          <w:szCs w:val="24"/>
          <w:shd w:val="clear" w:color="auto" w:fill="FFFFFF"/>
        </w:rPr>
        <w:t>tails of Borehole Dilution test</w:t>
      </w:r>
    </w:p>
    <w:p w14:paraId="4A6F61C6" w14:textId="7DF1FFA6" w:rsidR="00F561D0" w:rsidRDefault="00F561D0" w:rsidP="00F561D0">
      <w:pPr>
        <w:rPr>
          <w:color w:val="222222"/>
          <w:szCs w:val="24"/>
          <w:shd w:val="clear" w:color="auto" w:fill="FFFFFF"/>
        </w:rPr>
      </w:pPr>
      <w:r w:rsidRPr="00F561D0">
        <w:rPr>
          <w:color w:val="222222"/>
          <w:szCs w:val="24"/>
          <w:shd w:val="clear" w:color="auto" w:fill="FFFFFF"/>
        </w:rPr>
        <w:t xml:space="preserve">We prepared a solution of 11500 </w:t>
      </w:r>
      <w:proofErr w:type="spellStart"/>
      <w:r w:rsidRPr="00F561D0">
        <w:rPr>
          <w:color w:val="222222"/>
          <w:szCs w:val="24"/>
          <w:shd w:val="clear" w:color="auto" w:fill="FFFFFF"/>
        </w:rPr>
        <w:t>uS</w:t>
      </w:r>
      <w:proofErr w:type="spellEnd"/>
      <w:r w:rsidRPr="00F561D0">
        <w:rPr>
          <w:color w:val="222222"/>
          <w:szCs w:val="24"/>
          <w:shd w:val="clear" w:color="auto" w:fill="FFFFFF"/>
        </w:rPr>
        <w:t>/cm by adding 20 g of salt to 1 L of water (melted snow) tar</w:t>
      </w:r>
      <w:r w:rsidR="00F222F2">
        <w:rPr>
          <w:color w:val="222222"/>
          <w:szCs w:val="24"/>
          <w:shd w:val="clear" w:color="auto" w:fill="FFFFFF"/>
        </w:rPr>
        <w:t>geting a resulting conductivity</w:t>
      </w:r>
      <w:r w:rsidRPr="00F561D0">
        <w:rPr>
          <w:color w:val="222222"/>
          <w:szCs w:val="24"/>
          <w:shd w:val="clear" w:color="auto" w:fill="FFFFFF"/>
        </w:rPr>
        <w:t xml:space="preserve"> of 200 </w:t>
      </w:r>
      <w:proofErr w:type="spellStart"/>
      <w:r w:rsidRPr="00F561D0">
        <w:rPr>
          <w:color w:val="222222"/>
          <w:szCs w:val="24"/>
          <w:shd w:val="clear" w:color="auto" w:fill="FFFFFF"/>
        </w:rPr>
        <w:t>uS</w:t>
      </w:r>
      <w:proofErr w:type="spellEnd"/>
      <w:r w:rsidRPr="00F561D0">
        <w:rPr>
          <w:color w:val="222222"/>
          <w:szCs w:val="24"/>
          <w:shd w:val="clear" w:color="auto" w:fill="FFFFFF"/>
        </w:rPr>
        <w:t xml:space="preserve">/cm once mixed in the </w:t>
      </w:r>
      <w:proofErr w:type="gramStart"/>
      <w:r w:rsidR="00D73B33">
        <w:rPr>
          <w:color w:val="222222"/>
          <w:szCs w:val="24"/>
          <w:shd w:val="clear" w:color="auto" w:fill="FFFFFF"/>
        </w:rPr>
        <w:t>water filled</w:t>
      </w:r>
      <w:proofErr w:type="gramEnd"/>
      <w:r w:rsidR="00D73B33">
        <w:rPr>
          <w:color w:val="222222"/>
          <w:szCs w:val="24"/>
          <w:shd w:val="clear" w:color="auto" w:fill="FFFFFF"/>
        </w:rPr>
        <w:t xml:space="preserve"> borehole (Figure S4a</w:t>
      </w:r>
      <w:r w:rsidRPr="00F561D0">
        <w:rPr>
          <w:color w:val="222222"/>
          <w:szCs w:val="24"/>
          <w:shd w:val="clear" w:color="auto" w:fill="FFFFFF"/>
        </w:rPr>
        <w:t>). Prior to injecting the solution, we ran an initial conductivity vertical profile to record the background specific conduct</w:t>
      </w:r>
      <w:r w:rsidR="00C81B57">
        <w:rPr>
          <w:color w:val="222222"/>
          <w:szCs w:val="24"/>
          <w:shd w:val="clear" w:color="auto" w:fill="FFFFFF"/>
        </w:rPr>
        <w:t>ivity</w:t>
      </w:r>
      <w:r w:rsidRPr="00F561D0">
        <w:rPr>
          <w:color w:val="222222"/>
          <w:szCs w:val="24"/>
          <w:shd w:val="clear" w:color="auto" w:fill="FFFFFF"/>
        </w:rPr>
        <w:t xml:space="preserve"> with depth in the water-filled part of the borehole. We then placed a conductivity probe (HOBO Onset</w:t>
      </w:r>
      <w:r w:rsidRPr="00F561D0">
        <w:rPr>
          <w:color w:val="4D5156"/>
          <w:szCs w:val="24"/>
          <w:shd w:val="clear" w:color="auto" w:fill="FFFFFF"/>
        </w:rPr>
        <w:t>©</w:t>
      </w:r>
      <w:r w:rsidRPr="00F561D0">
        <w:rPr>
          <w:color w:val="222222"/>
          <w:szCs w:val="24"/>
          <w:shd w:val="clear" w:color="auto" w:fill="FFFFFF"/>
        </w:rPr>
        <w:t xml:space="preserve"> U24-002-C) operating </w:t>
      </w:r>
      <w:proofErr w:type="gramStart"/>
      <w:r w:rsidRPr="00F561D0">
        <w:rPr>
          <w:color w:val="222222"/>
          <w:szCs w:val="24"/>
          <w:shd w:val="clear" w:color="auto" w:fill="FFFFFF"/>
        </w:rPr>
        <w:t xml:space="preserve">in its low range between 100 and 10000 </w:t>
      </w:r>
      <w:proofErr w:type="spellStart"/>
      <w:r w:rsidRPr="00F561D0">
        <w:rPr>
          <w:color w:val="222222"/>
          <w:szCs w:val="24"/>
          <w:shd w:val="clear" w:color="auto" w:fill="FFFFFF"/>
        </w:rPr>
        <w:t>uS</w:t>
      </w:r>
      <w:proofErr w:type="spellEnd"/>
      <w:r w:rsidRPr="00F561D0">
        <w:rPr>
          <w:color w:val="222222"/>
          <w:szCs w:val="24"/>
          <w:shd w:val="clear" w:color="auto" w:fill="FFFFFF"/>
        </w:rPr>
        <w:t>/cm at the mid-point of the water-filled borehole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and monitored the water conductivity for an hour as the water and salt were being </w:t>
      </w:r>
      <w:r w:rsidR="00D85B94">
        <w:rPr>
          <w:color w:val="222222"/>
          <w:szCs w:val="24"/>
          <w:shd w:val="clear" w:color="auto" w:fill="FFFFFF"/>
        </w:rPr>
        <w:t>mixed in the borehole (Figure S4</w:t>
      </w:r>
      <w:r w:rsidRPr="00F561D0">
        <w:rPr>
          <w:color w:val="222222"/>
          <w:szCs w:val="24"/>
          <w:shd w:val="clear" w:color="auto" w:fill="FFFFFF"/>
        </w:rPr>
        <w:t xml:space="preserve">). </w:t>
      </w:r>
      <w:r w:rsidR="00A57371" w:rsidRPr="0079498A">
        <w:rPr>
          <w:color w:val="212121"/>
          <w:szCs w:val="24"/>
        </w:rPr>
        <w:t>Any use of trade, firm, or product names is for descriptive purposes only and does not imply endorsement by the U.S. Government.</w:t>
      </w:r>
      <w:r w:rsidR="00A57371">
        <w:rPr>
          <w:color w:val="212121"/>
          <w:sz w:val="23"/>
          <w:szCs w:val="23"/>
        </w:rPr>
        <w:t xml:space="preserve"> </w:t>
      </w:r>
      <w:r w:rsidR="00FD70B8" w:rsidRPr="00F561D0">
        <w:rPr>
          <w:color w:val="222222"/>
          <w:szCs w:val="24"/>
          <w:shd w:val="clear" w:color="auto" w:fill="FFFFFF"/>
        </w:rPr>
        <w:t>For mixing the saline solution within the water-filled borehole,</w:t>
      </w:r>
      <w:r w:rsidR="00FD70B8">
        <w:rPr>
          <w:color w:val="222222"/>
          <w:szCs w:val="24"/>
          <w:shd w:val="clear" w:color="auto" w:fill="FFFFFF"/>
        </w:rPr>
        <w:t xml:space="preserve"> we lowered a small submersible</w:t>
      </w:r>
      <w:r w:rsidR="00FD70B8">
        <w:rPr>
          <w:szCs w:val="24"/>
        </w:rPr>
        <w:t xml:space="preserve"> </w:t>
      </w:r>
      <w:r w:rsidRPr="00F561D0">
        <w:rPr>
          <w:color w:val="222222"/>
          <w:szCs w:val="24"/>
          <w:shd w:val="clear" w:color="auto" w:fill="FFFFFF"/>
        </w:rPr>
        <w:t xml:space="preserve">pump (Proactive 12-V Tornado pump) and positioned it about one meter above the borehole base. The water pumped at the base of the borehole </w:t>
      </w:r>
      <w:proofErr w:type="gramStart"/>
      <w:r w:rsidRPr="00F561D0">
        <w:rPr>
          <w:color w:val="222222"/>
          <w:szCs w:val="24"/>
          <w:shd w:val="clear" w:color="auto" w:fill="FFFFFF"/>
        </w:rPr>
        <w:t>was released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just above the water table via a 1.27-cm diameter plastic tubing to create a vertical water movement. We injected the saline solution from the surface using a 0.635-cm diameter plastic tube and flushed the solution using fresh water to make sure all saline water </w:t>
      </w:r>
      <w:proofErr w:type="gramStart"/>
      <w:r w:rsidRPr="00F561D0">
        <w:rPr>
          <w:color w:val="222222"/>
          <w:szCs w:val="24"/>
          <w:shd w:val="clear" w:color="auto" w:fill="FFFFFF"/>
        </w:rPr>
        <w:t>was injected</w:t>
      </w:r>
      <w:proofErr w:type="gramEnd"/>
      <w:r w:rsidRPr="00F561D0">
        <w:rPr>
          <w:color w:val="222222"/>
          <w:szCs w:val="24"/>
          <w:shd w:val="clear" w:color="auto" w:fill="FFFFFF"/>
        </w:rPr>
        <w:t>. After injection, we turned the pump on and mixed the saline solution in the borehole for an hour until the column had a homogeneous cond</w:t>
      </w:r>
      <w:r w:rsidR="00D73B33">
        <w:rPr>
          <w:color w:val="222222"/>
          <w:szCs w:val="24"/>
          <w:shd w:val="clear" w:color="auto" w:fill="FFFFFF"/>
        </w:rPr>
        <w:t xml:space="preserve">uctivity of 200 </w:t>
      </w:r>
      <w:proofErr w:type="spellStart"/>
      <w:r w:rsidR="00D73B33">
        <w:rPr>
          <w:color w:val="222222"/>
          <w:szCs w:val="24"/>
          <w:shd w:val="clear" w:color="auto" w:fill="FFFFFF"/>
        </w:rPr>
        <w:t>uS</w:t>
      </w:r>
      <w:proofErr w:type="spellEnd"/>
      <w:r w:rsidR="00D73B33">
        <w:rPr>
          <w:color w:val="222222"/>
          <w:szCs w:val="24"/>
          <w:shd w:val="clear" w:color="auto" w:fill="FFFFFF"/>
        </w:rPr>
        <w:t>/cm (Figure S4</w:t>
      </w:r>
      <w:r w:rsidRPr="00F561D0">
        <w:rPr>
          <w:color w:val="222222"/>
          <w:szCs w:val="24"/>
          <w:shd w:val="clear" w:color="auto" w:fill="FFFFFF"/>
        </w:rPr>
        <w:t>b).</w:t>
      </w:r>
    </w:p>
    <w:p w14:paraId="2E06B967" w14:textId="77777777" w:rsidR="00E77620" w:rsidRDefault="00E77620" w:rsidP="00F561D0">
      <w:pPr>
        <w:rPr>
          <w:bCs/>
          <w:color w:val="222222"/>
          <w:szCs w:val="24"/>
          <w:shd w:val="clear" w:color="auto" w:fill="FFFFFF"/>
        </w:rPr>
      </w:pPr>
    </w:p>
    <w:p w14:paraId="53038167" w14:textId="77777777" w:rsidR="00F561D0" w:rsidRPr="00E30B0C" w:rsidRDefault="00F561D0" w:rsidP="00F561D0">
      <w:pPr>
        <w:rPr>
          <w:b/>
          <w:szCs w:val="24"/>
        </w:rPr>
      </w:pPr>
      <w:r w:rsidRPr="00F561D0">
        <w:rPr>
          <w:b/>
          <w:szCs w:val="24"/>
        </w:rPr>
        <w:t>Text S2</w:t>
      </w:r>
      <w:r>
        <w:rPr>
          <w:b/>
          <w:szCs w:val="24"/>
        </w:rPr>
        <w:t xml:space="preserve">. </w:t>
      </w:r>
      <w:r w:rsidRPr="00F561D0">
        <w:rPr>
          <w:bCs/>
          <w:color w:val="222222"/>
          <w:szCs w:val="24"/>
          <w:shd w:val="clear" w:color="auto" w:fill="FFFFFF"/>
        </w:rPr>
        <w:t>GPR Methods</w:t>
      </w:r>
    </w:p>
    <w:p w14:paraId="5731CD8F" w14:textId="2925BE99" w:rsidR="00D73B33" w:rsidRPr="00692A36" w:rsidRDefault="00D73B33" w:rsidP="00D73B33">
      <w:pPr>
        <w:rPr>
          <w:color w:val="222222"/>
          <w:szCs w:val="24"/>
          <w:shd w:val="clear" w:color="auto" w:fill="FFFFFF"/>
        </w:rPr>
      </w:pPr>
      <w:r w:rsidRPr="00F561D0">
        <w:rPr>
          <w:color w:val="222222"/>
          <w:szCs w:val="24"/>
          <w:shd w:val="clear" w:color="auto" w:fill="FFFFFF"/>
        </w:rPr>
        <w:t xml:space="preserve">The control unit, manufactured by </w:t>
      </w:r>
      <w:proofErr w:type="spellStart"/>
      <w:r w:rsidRPr="00F561D0">
        <w:rPr>
          <w:color w:val="222222"/>
          <w:szCs w:val="24"/>
          <w:shd w:val="clear" w:color="auto" w:fill="FFFFFF"/>
        </w:rPr>
        <w:t>Malå</w:t>
      </w:r>
      <w:proofErr w:type="spellEnd"/>
      <w:r w:rsidRPr="00F561D0">
        <w:rPr>
          <w:color w:val="222222"/>
          <w:szCs w:val="24"/>
          <w:shd w:val="clear" w:color="auto" w:fill="FFFFFF"/>
        </w:rPr>
        <w:t xml:space="preserve"> (a RAMAC system), is operated with a 250-MHz antenna. The antenna </w:t>
      </w:r>
      <w:proofErr w:type="gramStart"/>
      <w:r w:rsidR="00BA16AF">
        <w:rPr>
          <w:color w:val="222222"/>
          <w:szCs w:val="24"/>
          <w:shd w:val="clear" w:color="auto" w:fill="FFFFFF"/>
        </w:rPr>
        <w:t>was</w:t>
      </w:r>
      <w:r w:rsidRPr="00F561D0">
        <w:rPr>
          <w:color w:val="222222"/>
          <w:szCs w:val="24"/>
          <w:shd w:val="clear" w:color="auto" w:fill="FFFFFF"/>
        </w:rPr>
        <w:t xml:space="preserve"> towed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on a sled </w:t>
      </w:r>
      <w:r w:rsidR="00D85B94">
        <w:rPr>
          <w:color w:val="222222"/>
          <w:szCs w:val="24"/>
          <w:shd w:val="clear" w:color="auto" w:fill="FFFFFF"/>
        </w:rPr>
        <w:t>behind the snowmobile (Figure S5</w:t>
      </w:r>
      <w:r w:rsidRPr="00F561D0">
        <w:rPr>
          <w:color w:val="222222"/>
          <w:szCs w:val="24"/>
          <w:shd w:val="clear" w:color="auto" w:fill="FFFFFF"/>
        </w:rPr>
        <w:t xml:space="preserve">). The average travel speed </w:t>
      </w:r>
      <w:r w:rsidR="00BA16AF">
        <w:rPr>
          <w:color w:val="222222"/>
          <w:szCs w:val="24"/>
          <w:shd w:val="clear" w:color="auto" w:fill="FFFFFF"/>
        </w:rPr>
        <w:t>wa</w:t>
      </w:r>
      <w:r w:rsidRPr="00F561D0">
        <w:rPr>
          <w:color w:val="222222"/>
          <w:szCs w:val="24"/>
          <w:shd w:val="clear" w:color="auto" w:fill="FFFFFF"/>
        </w:rPr>
        <w:t>s 1.5 - 2.5 ms</w:t>
      </w:r>
      <w:r w:rsidRPr="00F561D0">
        <w:rPr>
          <w:color w:val="222222"/>
          <w:szCs w:val="24"/>
          <w:shd w:val="clear" w:color="auto" w:fill="FFFFFF"/>
          <w:vertAlign w:val="superscript"/>
        </w:rPr>
        <w:t>-1</w:t>
      </w:r>
      <w:r w:rsidRPr="00F561D0">
        <w:rPr>
          <w:color w:val="222222"/>
          <w:szCs w:val="24"/>
          <w:shd w:val="clear" w:color="auto" w:fill="FFFFFF"/>
        </w:rPr>
        <w:t xml:space="preserve"> with a scanning rate of </w:t>
      </w:r>
      <w:r>
        <w:rPr>
          <w:color w:val="222222"/>
          <w:szCs w:val="24"/>
          <w:shd w:val="clear" w:color="auto" w:fill="FFFFFF"/>
        </w:rPr>
        <w:t>1 second</w:t>
      </w:r>
      <w:r w:rsidRPr="00F561D0">
        <w:rPr>
          <w:color w:val="222222"/>
          <w:szCs w:val="24"/>
          <w:shd w:val="clear" w:color="auto" w:fill="FFFFFF"/>
        </w:rPr>
        <w:t xml:space="preserve"> and a depth range set </w:t>
      </w:r>
      <w:r>
        <w:rPr>
          <w:color w:val="222222"/>
          <w:szCs w:val="24"/>
          <w:shd w:val="clear" w:color="auto" w:fill="FFFFFF"/>
        </w:rPr>
        <w:t>around 500</w:t>
      </w:r>
      <w:r w:rsidRPr="00F561D0">
        <w:rPr>
          <w:color w:val="222222"/>
          <w:szCs w:val="24"/>
          <w:shd w:val="clear" w:color="auto" w:fill="FFFFFF"/>
        </w:rPr>
        <w:t xml:space="preserve"> ns. This result</w:t>
      </w:r>
      <w:r w:rsidR="00BA16AF">
        <w:rPr>
          <w:color w:val="222222"/>
          <w:szCs w:val="24"/>
          <w:shd w:val="clear" w:color="auto" w:fill="FFFFFF"/>
        </w:rPr>
        <w:t>ed</w:t>
      </w:r>
      <w:r w:rsidRPr="00F561D0">
        <w:rPr>
          <w:color w:val="222222"/>
          <w:szCs w:val="24"/>
          <w:shd w:val="clear" w:color="auto" w:fill="FFFFFF"/>
        </w:rPr>
        <w:t xml:space="preserve"> in a stacked, or averaged, GPR trace </w:t>
      </w:r>
      <w:proofErr w:type="gramStart"/>
      <w:r w:rsidRPr="00F561D0">
        <w:rPr>
          <w:color w:val="222222"/>
          <w:szCs w:val="24"/>
          <w:shd w:val="clear" w:color="auto" w:fill="FFFFFF"/>
        </w:rPr>
        <w:t>being collected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every</w:t>
      </w:r>
      <w:r>
        <w:rPr>
          <w:color w:val="222222"/>
          <w:szCs w:val="24"/>
          <w:shd w:val="clear" w:color="auto" w:fill="FFFFFF"/>
        </w:rPr>
        <w:t xml:space="preserve"> 2 </w:t>
      </w:r>
      <w:r w:rsidRPr="00F561D0">
        <w:rPr>
          <w:color w:val="222222"/>
          <w:szCs w:val="24"/>
          <w:shd w:val="clear" w:color="auto" w:fill="FFFFFF"/>
        </w:rPr>
        <w:t>m</w:t>
      </w:r>
      <w:r>
        <w:rPr>
          <w:color w:val="222222"/>
          <w:szCs w:val="24"/>
          <w:shd w:val="clear" w:color="auto" w:fill="FFFFFF"/>
        </w:rPr>
        <w:t xml:space="preserve"> on average</w:t>
      </w:r>
      <w:r w:rsidRPr="00F561D0">
        <w:rPr>
          <w:color w:val="222222"/>
          <w:szCs w:val="24"/>
          <w:shd w:val="clear" w:color="auto" w:fill="FFFFFF"/>
        </w:rPr>
        <w:t xml:space="preserve">. For </w:t>
      </w:r>
      <w:r w:rsidR="0098467F">
        <w:rPr>
          <w:color w:val="222222"/>
          <w:szCs w:val="24"/>
          <w:shd w:val="clear" w:color="auto" w:fill="FFFFFF"/>
        </w:rPr>
        <w:t>simultaneous</w:t>
      </w:r>
      <w:r w:rsidRPr="00F561D0">
        <w:rPr>
          <w:color w:val="222222"/>
          <w:szCs w:val="24"/>
          <w:shd w:val="clear" w:color="auto" w:fill="FFFFFF"/>
        </w:rPr>
        <w:t xml:space="preserve"> geolocation of the GPR traces, we used a dual-frequency Trimble© R7 GPS receiver in kinematic mode with a sampling interval </w:t>
      </w:r>
      <w:r>
        <w:rPr>
          <w:color w:val="222222"/>
          <w:szCs w:val="24"/>
          <w:shd w:val="clear" w:color="auto" w:fill="FFFFFF"/>
        </w:rPr>
        <w:t xml:space="preserve">of </w:t>
      </w:r>
      <w:proofErr w:type="gramStart"/>
      <w:r>
        <w:rPr>
          <w:color w:val="222222"/>
          <w:szCs w:val="24"/>
          <w:shd w:val="clear" w:color="auto" w:fill="FFFFFF"/>
        </w:rPr>
        <w:t>1</w:t>
      </w:r>
      <w:proofErr w:type="gramEnd"/>
      <w:r>
        <w:rPr>
          <w:color w:val="222222"/>
          <w:szCs w:val="24"/>
          <w:shd w:val="clear" w:color="auto" w:fill="FFFFFF"/>
        </w:rPr>
        <w:t xml:space="preserve"> seconds (~1.5-2.5 m). A </w:t>
      </w:r>
      <w:r w:rsidRPr="00F561D0">
        <w:rPr>
          <w:color w:val="222222"/>
          <w:szCs w:val="24"/>
          <w:shd w:val="clear" w:color="auto" w:fill="FFFFFF"/>
        </w:rPr>
        <w:t xml:space="preserve">GPS Zephyr </w:t>
      </w:r>
      <w:proofErr w:type="spellStart"/>
      <w:r w:rsidRPr="00F561D0">
        <w:rPr>
          <w:color w:val="222222"/>
          <w:szCs w:val="24"/>
          <w:shd w:val="clear" w:color="auto" w:fill="FFFFFF"/>
        </w:rPr>
        <w:t>GeodeticTM</w:t>
      </w:r>
      <w:proofErr w:type="spellEnd"/>
      <w:r w:rsidRPr="00F561D0">
        <w:rPr>
          <w:color w:val="222222"/>
          <w:szCs w:val="24"/>
          <w:shd w:val="clear" w:color="auto" w:fill="FFFFFF"/>
        </w:rPr>
        <w:t xml:space="preserve"> antenna </w:t>
      </w:r>
      <w:proofErr w:type="gramStart"/>
      <w:r w:rsidRPr="00F561D0">
        <w:rPr>
          <w:color w:val="222222"/>
          <w:szCs w:val="24"/>
          <w:shd w:val="clear" w:color="auto" w:fill="FFFFFF"/>
        </w:rPr>
        <w:t>was installed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on a metal mast located at the back of the snowmobile, </w:t>
      </w:r>
      <w:r>
        <w:rPr>
          <w:color w:val="222222"/>
          <w:szCs w:val="24"/>
          <w:shd w:val="clear" w:color="auto" w:fill="FFFFFF"/>
        </w:rPr>
        <w:t>1</w:t>
      </w:r>
      <w:r w:rsidRPr="00F561D0">
        <w:rPr>
          <w:color w:val="222222"/>
          <w:szCs w:val="24"/>
          <w:shd w:val="clear" w:color="auto" w:fill="FFFFFF"/>
        </w:rPr>
        <w:t xml:space="preserve"> m above the snow surface. For gaining positioning accuracy, we processed the GPS data using the precise point positioning (PPP) web-based processor hosted by the Canadian Spatial Reference Service (CSRS - https://webapp.geod.nrcan.gc.ca/geod/tools-outils/ppp.php). </w:t>
      </w:r>
      <w:r w:rsidR="00FB7087" w:rsidRPr="00F561D0">
        <w:rPr>
          <w:color w:val="222222"/>
          <w:szCs w:val="24"/>
          <w:shd w:val="clear" w:color="auto" w:fill="FFFFFF"/>
        </w:rPr>
        <w:t>The travel time to depth conversion</w:t>
      </w:r>
      <w:r w:rsidR="00FB7087">
        <w:rPr>
          <w:color w:val="222222"/>
          <w:szCs w:val="24"/>
          <w:shd w:val="clear" w:color="auto" w:fill="FFFFFF"/>
        </w:rPr>
        <w:t xml:space="preserve"> was done using a permittivity value of 2.32 which corresponds to an average density of 620 kg/m3 observed above the water table (upper 13.4 meters) using an</w:t>
      </w:r>
      <w:r w:rsidR="00FB7087" w:rsidRPr="00692A36">
        <w:rPr>
          <w:color w:val="222222"/>
          <w:szCs w:val="24"/>
          <w:shd w:val="clear" w:color="auto" w:fill="FFFFFF"/>
        </w:rPr>
        <w:t xml:space="preserve"> empirical </w:t>
      </w:r>
      <w:r w:rsidR="00FB7087" w:rsidRPr="00692A36">
        <w:rPr>
          <w:color w:val="222222"/>
          <w:szCs w:val="24"/>
          <w:shd w:val="clear" w:color="auto" w:fill="FFFFFF"/>
        </w:rPr>
        <w:lastRenderedPageBreak/>
        <w:t xml:space="preserve">relationship from Kovacs et al., 1995. Using the nearest GPR trace to the three core sites, the depth of the high-reflective layer in the GPR profile was in good agreement </w:t>
      </w:r>
      <w:proofErr w:type="gramStart"/>
      <w:r w:rsidR="00FB7087" w:rsidRPr="00692A36">
        <w:rPr>
          <w:color w:val="222222"/>
          <w:szCs w:val="24"/>
          <w:shd w:val="clear" w:color="auto" w:fill="FFFFFF"/>
        </w:rPr>
        <w:t>( +</w:t>
      </w:r>
      <w:proofErr w:type="gramEnd"/>
      <w:r w:rsidR="00FB7087" w:rsidRPr="00692A36">
        <w:rPr>
          <w:color w:val="222222"/>
          <w:szCs w:val="24"/>
          <w:shd w:val="clear" w:color="auto" w:fill="FFFFFF"/>
        </w:rPr>
        <w:t>/- 20 cm) with the water table measured directly at the borehole site.</w:t>
      </w:r>
      <w:r w:rsidR="00FB7087" w:rsidRPr="00230ED8">
        <w:rPr>
          <w:color w:val="222222"/>
          <w:szCs w:val="24"/>
          <w:shd w:val="clear" w:color="auto" w:fill="FFFFFF"/>
        </w:rPr>
        <w:t xml:space="preserve"> </w:t>
      </w:r>
    </w:p>
    <w:p w14:paraId="4C55E413" w14:textId="77777777" w:rsidR="00D85B94" w:rsidRPr="00F561D0" w:rsidRDefault="00D85B94" w:rsidP="00D73B33">
      <w:pPr>
        <w:rPr>
          <w:color w:val="222222"/>
          <w:szCs w:val="24"/>
          <w:shd w:val="clear" w:color="auto" w:fill="FFFFFF"/>
        </w:rPr>
      </w:pPr>
    </w:p>
    <w:p w14:paraId="2C94C81A" w14:textId="77777777" w:rsidR="00F561D0" w:rsidRDefault="00F561D0" w:rsidP="00F561D0">
      <w:pPr>
        <w:rPr>
          <w:color w:val="222222"/>
          <w:szCs w:val="24"/>
          <w:shd w:val="clear" w:color="auto" w:fill="FFFFFF"/>
        </w:rPr>
      </w:pPr>
    </w:p>
    <w:p w14:paraId="62CD6B67" w14:textId="77777777" w:rsidR="00F561D0" w:rsidRPr="00227834" w:rsidRDefault="00F561D0" w:rsidP="00F561D0">
      <w:pPr>
        <w:rPr>
          <w:b/>
          <w:color w:val="222222"/>
          <w:szCs w:val="24"/>
          <w:shd w:val="clear" w:color="auto" w:fill="FFFFFF"/>
        </w:rPr>
      </w:pPr>
      <w:r w:rsidRPr="00F561D0">
        <w:rPr>
          <w:b/>
          <w:color w:val="222222"/>
          <w:szCs w:val="24"/>
          <w:shd w:val="clear" w:color="auto" w:fill="FFFFFF"/>
        </w:rPr>
        <w:t>Text S3</w:t>
      </w:r>
      <w:r>
        <w:rPr>
          <w:b/>
          <w:color w:val="222222"/>
          <w:szCs w:val="24"/>
          <w:shd w:val="clear" w:color="auto" w:fill="FFFFFF"/>
        </w:rPr>
        <w:t xml:space="preserve">. </w:t>
      </w:r>
      <w:r w:rsidR="00F77CC9" w:rsidRPr="00F77CC9">
        <w:rPr>
          <w:bCs/>
          <w:color w:val="222222"/>
          <w:szCs w:val="24"/>
          <w:shd w:val="clear" w:color="auto" w:fill="FFFFFF"/>
        </w:rPr>
        <w:t xml:space="preserve">SEEP2D Model Setup and </w:t>
      </w:r>
      <w:r w:rsidRPr="00F77CC9">
        <w:rPr>
          <w:bCs/>
          <w:color w:val="222222"/>
          <w:szCs w:val="24"/>
          <w:shd w:val="clear" w:color="auto" w:fill="FFFFFF"/>
        </w:rPr>
        <w:t>Assumptions</w:t>
      </w:r>
    </w:p>
    <w:p w14:paraId="7D9E4613" w14:textId="23DE795B" w:rsidR="00F561D0" w:rsidRPr="00227834" w:rsidRDefault="00F561D0" w:rsidP="00F561D0">
      <w:pPr>
        <w:spacing w:before="240"/>
        <w:rPr>
          <w:szCs w:val="24"/>
        </w:rPr>
      </w:pPr>
      <w:r w:rsidRPr="00227834">
        <w:rPr>
          <w:color w:val="222222"/>
          <w:szCs w:val="24"/>
          <w:shd w:val="clear" w:color="auto" w:fill="FFFFFF"/>
        </w:rPr>
        <w:t>We simulated flow along a 2D vertical cross section 3800 meters long</w:t>
      </w:r>
      <w:r w:rsidR="00D73B33">
        <w:rPr>
          <w:color w:val="222222"/>
          <w:szCs w:val="24"/>
          <w:shd w:val="clear" w:color="auto" w:fill="FFFFFF"/>
        </w:rPr>
        <w:t xml:space="preserve"> with nodal spacing</w:t>
      </w:r>
      <w:r w:rsidRPr="00227834">
        <w:rPr>
          <w:color w:val="222222"/>
          <w:szCs w:val="24"/>
          <w:shd w:val="clear" w:color="auto" w:fill="FFFFFF"/>
        </w:rPr>
        <w:t xml:space="preserve"> of approximately 6 meters horizontally and 4 meters vertically.</w:t>
      </w:r>
      <w:r w:rsidR="00D77507">
        <w:rPr>
          <w:color w:val="222222"/>
          <w:szCs w:val="24"/>
          <w:shd w:val="clear" w:color="auto" w:fill="FFFFFF"/>
        </w:rPr>
        <w:t xml:space="preserve"> </w:t>
      </w:r>
      <w:r w:rsidRPr="00227834">
        <w:rPr>
          <w:color w:val="222222"/>
          <w:szCs w:val="24"/>
          <w:shd w:val="clear" w:color="auto" w:fill="FFFFFF"/>
        </w:rPr>
        <w:t xml:space="preserve">The </w:t>
      </w:r>
      <w:r w:rsidR="00D77507">
        <w:rPr>
          <w:color w:val="222222"/>
          <w:szCs w:val="24"/>
          <w:shd w:val="clear" w:color="auto" w:fill="FFFFFF"/>
        </w:rPr>
        <w:t>thickness (A)</w:t>
      </w:r>
      <w:r w:rsidRPr="00227834">
        <w:rPr>
          <w:color w:val="222222"/>
          <w:szCs w:val="24"/>
          <w:shd w:val="clear" w:color="auto" w:fill="FFFFFF"/>
        </w:rPr>
        <w:t xml:space="preserve"> of the aquifer </w:t>
      </w:r>
      <w:r w:rsidR="00D77507">
        <w:rPr>
          <w:color w:val="222222"/>
          <w:szCs w:val="24"/>
          <w:shd w:val="clear" w:color="auto" w:fill="FFFFFF"/>
        </w:rPr>
        <w:t xml:space="preserve">varied in space and </w:t>
      </w:r>
      <w:proofErr w:type="gramStart"/>
      <w:r w:rsidRPr="00227834">
        <w:rPr>
          <w:color w:val="222222"/>
          <w:szCs w:val="24"/>
          <w:shd w:val="clear" w:color="auto" w:fill="FFFFFF"/>
        </w:rPr>
        <w:t>was delineated</w:t>
      </w:r>
      <w:proofErr w:type="gramEnd"/>
      <w:r w:rsidRPr="00227834">
        <w:rPr>
          <w:color w:val="222222"/>
          <w:szCs w:val="24"/>
          <w:shd w:val="clear" w:color="auto" w:fill="FFFFFF"/>
        </w:rPr>
        <w:t xml:space="preserve"> by our GPR measurements of the water table, and observations of the firn-ice transition for core samples (Figure 3b</w:t>
      </w:r>
      <w:r w:rsidR="00EC6449">
        <w:rPr>
          <w:color w:val="222222"/>
          <w:szCs w:val="24"/>
          <w:shd w:val="clear" w:color="auto" w:fill="FFFFFF"/>
        </w:rPr>
        <w:t>).</w:t>
      </w:r>
      <w:r w:rsidRPr="00227834">
        <w:rPr>
          <w:color w:val="222222"/>
          <w:szCs w:val="24"/>
          <w:shd w:val="clear" w:color="auto" w:fill="FFFFFF"/>
        </w:rPr>
        <w:t> </w:t>
      </w:r>
      <w:r w:rsidR="00F369A9">
        <w:rPr>
          <w:color w:val="222222"/>
          <w:szCs w:val="24"/>
          <w:shd w:val="clear" w:color="auto" w:fill="FFFFFF"/>
        </w:rPr>
        <w:t>We derived</w:t>
      </w:r>
      <w:r w:rsidRPr="00227834">
        <w:rPr>
          <w:color w:val="222222"/>
          <w:szCs w:val="24"/>
          <w:shd w:val="clear" w:color="auto" w:fill="FFFFFF"/>
        </w:rPr>
        <w:t xml:space="preserve"> specified recharge flux</w:t>
      </w:r>
      <w:r w:rsidR="00F369A9">
        <w:rPr>
          <w:color w:val="222222"/>
          <w:szCs w:val="24"/>
          <w:shd w:val="clear" w:color="auto" w:fill="FFFFFF"/>
        </w:rPr>
        <w:t>es</w:t>
      </w:r>
      <w:r w:rsidR="00F222F2">
        <w:rPr>
          <w:color w:val="222222"/>
          <w:szCs w:val="24"/>
          <w:shd w:val="clear" w:color="auto" w:fill="FFFFFF"/>
        </w:rPr>
        <w:t xml:space="preserve"> (Table S2)</w:t>
      </w:r>
      <w:r w:rsidR="00F369A9">
        <w:rPr>
          <w:color w:val="222222"/>
          <w:szCs w:val="24"/>
          <w:shd w:val="clear" w:color="auto" w:fill="FFFFFF"/>
        </w:rPr>
        <w:t xml:space="preserve"> </w:t>
      </w:r>
      <w:r w:rsidRPr="00227834">
        <w:rPr>
          <w:color w:val="222222"/>
          <w:szCs w:val="24"/>
          <w:shd w:val="clear" w:color="auto" w:fill="FFFFFF"/>
        </w:rPr>
        <w:t>from melt estimates</w:t>
      </w:r>
      <w:r w:rsidR="00F369A9">
        <w:rPr>
          <w:color w:val="222222"/>
          <w:szCs w:val="24"/>
          <w:shd w:val="clear" w:color="auto" w:fill="FFFFFF"/>
        </w:rPr>
        <w:t xml:space="preserve"> from </w:t>
      </w:r>
      <w:r w:rsidRPr="00227834">
        <w:rPr>
          <w:color w:val="222222"/>
          <w:szCs w:val="24"/>
          <w:shd w:val="clear" w:color="auto" w:fill="FFFFFF"/>
        </w:rPr>
        <w:t>MAR3.9 (7.5 km resolution) or RACMO2.3p2 (5.5km resolution) 2010-2017 averaged surface melt at our field site</w:t>
      </w:r>
      <w:r w:rsidR="00F369A9">
        <w:rPr>
          <w:color w:val="222222"/>
          <w:szCs w:val="24"/>
          <w:shd w:val="clear" w:color="auto" w:fill="FFFFFF"/>
        </w:rPr>
        <w:t>.</w:t>
      </w:r>
      <w:r w:rsidRPr="00227834">
        <w:rPr>
          <w:color w:val="222222"/>
          <w:szCs w:val="24"/>
          <w:shd w:val="clear" w:color="auto" w:fill="FFFFFF"/>
        </w:rPr>
        <w:t xml:space="preserve"> No flow boundaries </w:t>
      </w:r>
      <w:proofErr w:type="gramStart"/>
      <w:r w:rsidRPr="00227834">
        <w:rPr>
          <w:color w:val="222222"/>
          <w:szCs w:val="24"/>
          <w:shd w:val="clear" w:color="auto" w:fill="FFFFFF"/>
        </w:rPr>
        <w:t>were used</w:t>
      </w:r>
      <w:proofErr w:type="gramEnd"/>
      <w:r w:rsidRPr="00227834">
        <w:rPr>
          <w:color w:val="222222"/>
          <w:szCs w:val="24"/>
          <w:shd w:val="clear" w:color="auto" w:fill="FFFFFF"/>
        </w:rPr>
        <w:t xml:space="preserve"> for the bottom an</w:t>
      </w:r>
      <w:r w:rsidR="009A72D5">
        <w:rPr>
          <w:color w:val="222222"/>
          <w:szCs w:val="24"/>
          <w:shd w:val="clear" w:color="auto" w:fill="FFFFFF"/>
        </w:rPr>
        <w:t>d upstream side of the domain. </w:t>
      </w:r>
      <w:r w:rsidRPr="00227834">
        <w:rPr>
          <w:color w:val="222222"/>
          <w:szCs w:val="24"/>
          <w:shd w:val="clear" w:color="auto" w:fill="FFFFFF"/>
        </w:rPr>
        <w:t>Along the downstream boundary, where discharge occurs, we used a no flow boundary below sea level to approximate the presumed occurrence of a fr</w:t>
      </w:r>
      <w:r w:rsidR="009A72D5">
        <w:rPr>
          <w:color w:val="222222"/>
          <w:szCs w:val="24"/>
          <w:shd w:val="clear" w:color="auto" w:fill="FFFFFF"/>
        </w:rPr>
        <w:t>eshwater-salt water interface. </w:t>
      </w:r>
      <w:r w:rsidRPr="00227834">
        <w:rPr>
          <w:color w:val="222222"/>
          <w:szCs w:val="24"/>
          <w:shd w:val="clear" w:color="auto" w:fill="FFFFFF"/>
        </w:rPr>
        <w:t xml:space="preserve">A specified head </w:t>
      </w:r>
      <w:r w:rsidR="00B558A4">
        <w:rPr>
          <w:color w:val="222222"/>
          <w:szCs w:val="24"/>
          <w:shd w:val="clear" w:color="auto" w:fill="FFFFFF"/>
        </w:rPr>
        <w:t>(-0.28 meters ellipsoid height, Figure 3</w:t>
      </w:r>
      <w:r w:rsidR="00EC6449">
        <w:rPr>
          <w:color w:val="222222"/>
          <w:szCs w:val="24"/>
          <w:shd w:val="clear" w:color="auto" w:fill="FFFFFF"/>
        </w:rPr>
        <w:t>b</w:t>
      </w:r>
      <w:r w:rsidR="00B558A4">
        <w:rPr>
          <w:color w:val="222222"/>
          <w:szCs w:val="24"/>
          <w:shd w:val="clear" w:color="auto" w:fill="FFFFFF"/>
        </w:rPr>
        <w:t xml:space="preserve">) </w:t>
      </w:r>
      <w:r w:rsidRPr="00227834">
        <w:rPr>
          <w:color w:val="222222"/>
          <w:szCs w:val="24"/>
          <w:shd w:val="clear" w:color="auto" w:fill="FFFFFF"/>
        </w:rPr>
        <w:t xml:space="preserve">was used </w:t>
      </w:r>
      <w:r w:rsidR="00B558A4">
        <w:rPr>
          <w:color w:val="222222"/>
          <w:szCs w:val="24"/>
          <w:shd w:val="clear" w:color="auto" w:fill="FFFFFF"/>
        </w:rPr>
        <w:t xml:space="preserve">based on the water table height </w:t>
      </w:r>
      <w:r w:rsidRPr="00227834">
        <w:rPr>
          <w:color w:val="222222"/>
          <w:szCs w:val="24"/>
          <w:shd w:val="clear" w:color="auto" w:fill="FFFFFF"/>
        </w:rPr>
        <w:t>on the downstream boundary above sea level.</w:t>
      </w:r>
      <w:r w:rsidR="00990D1C">
        <w:rPr>
          <w:color w:val="222222"/>
          <w:szCs w:val="24"/>
          <w:shd w:val="clear" w:color="auto" w:fill="FFFFFF"/>
        </w:rPr>
        <w:t xml:space="preserve"> </w:t>
      </w:r>
      <w:r w:rsidR="00990D1C" w:rsidRPr="0000174D">
        <w:rPr>
          <w:color w:val="000000"/>
        </w:rPr>
        <w:t>Although aquifer properties may vary along the cross section, a heterogeneous simulation is not justified given the limited available field data.</w:t>
      </w:r>
    </w:p>
    <w:p w14:paraId="3BF34A2D" w14:textId="77777777" w:rsidR="00F561D0" w:rsidRPr="00227834" w:rsidRDefault="00F561D0" w:rsidP="00F561D0">
      <w:pPr>
        <w:spacing w:before="240"/>
        <w:rPr>
          <w:szCs w:val="24"/>
        </w:rPr>
      </w:pPr>
      <w:r w:rsidRPr="00227834">
        <w:rPr>
          <w:color w:val="222222"/>
          <w:szCs w:val="24"/>
          <w:shd w:val="clear" w:color="auto" w:fill="FFFFFF"/>
        </w:rPr>
        <w:t>Our simulations utilized the following assumptions: </w:t>
      </w:r>
    </w:p>
    <w:p w14:paraId="7F71832D" w14:textId="77777777" w:rsidR="00F561D0" w:rsidRPr="00227834" w:rsidRDefault="00F561D0" w:rsidP="00F561D0">
      <w:pPr>
        <w:spacing w:before="240"/>
        <w:rPr>
          <w:szCs w:val="24"/>
        </w:rPr>
      </w:pPr>
      <w:r w:rsidRPr="00227834">
        <w:rPr>
          <w:i/>
          <w:iCs/>
          <w:color w:val="222222"/>
          <w:szCs w:val="24"/>
          <w:shd w:val="clear" w:color="auto" w:fill="FFFFFF"/>
        </w:rPr>
        <w:t xml:space="preserve">1) </w:t>
      </w:r>
      <w:proofErr w:type="gramStart"/>
      <w:r w:rsidRPr="00227834">
        <w:rPr>
          <w:i/>
          <w:iCs/>
          <w:color w:val="222222"/>
          <w:szCs w:val="24"/>
          <w:shd w:val="clear" w:color="auto" w:fill="FFFFFF"/>
        </w:rPr>
        <w:t>the</w:t>
      </w:r>
      <w:proofErr w:type="gramEnd"/>
      <w:r w:rsidRPr="00227834">
        <w:rPr>
          <w:i/>
          <w:iCs/>
          <w:color w:val="222222"/>
          <w:szCs w:val="24"/>
          <w:shd w:val="clear" w:color="auto" w:fill="FFFFFF"/>
        </w:rPr>
        <w:t xml:space="preserve"> hydraulic conductivity is uniform throughout our study region </w:t>
      </w:r>
    </w:p>
    <w:p w14:paraId="40C24597" w14:textId="77777777" w:rsidR="00F561D0" w:rsidRPr="00227834" w:rsidRDefault="00F561D0" w:rsidP="00F561D0">
      <w:pPr>
        <w:rPr>
          <w:szCs w:val="24"/>
        </w:rPr>
      </w:pPr>
      <w:r w:rsidRPr="00227834">
        <w:rPr>
          <w:i/>
          <w:iCs/>
          <w:color w:val="222222"/>
          <w:szCs w:val="24"/>
          <w:shd w:val="clear" w:color="auto" w:fill="FFFFFF"/>
        </w:rPr>
        <w:t xml:space="preserve">2) </w:t>
      </w:r>
      <w:proofErr w:type="gramStart"/>
      <w:r w:rsidRPr="00227834">
        <w:rPr>
          <w:i/>
          <w:iCs/>
          <w:color w:val="222222"/>
          <w:szCs w:val="24"/>
          <w:shd w:val="clear" w:color="auto" w:fill="FFFFFF"/>
        </w:rPr>
        <w:t>the</w:t>
      </w:r>
      <w:proofErr w:type="gramEnd"/>
      <w:r w:rsidRPr="00227834">
        <w:rPr>
          <w:i/>
          <w:iCs/>
          <w:color w:val="222222"/>
          <w:szCs w:val="24"/>
          <w:shd w:val="clear" w:color="auto" w:fill="FFFFFF"/>
        </w:rPr>
        <w:t xml:space="preserve"> bottom elevation of the aquifer is homogeneous, </w:t>
      </w:r>
    </w:p>
    <w:p w14:paraId="77F48F96" w14:textId="77777777" w:rsidR="00F561D0" w:rsidRPr="00227834" w:rsidRDefault="00F561D0" w:rsidP="00F561D0">
      <w:pPr>
        <w:rPr>
          <w:szCs w:val="24"/>
        </w:rPr>
      </w:pPr>
      <w:r w:rsidRPr="00227834">
        <w:rPr>
          <w:i/>
          <w:iCs/>
          <w:color w:val="222222"/>
          <w:szCs w:val="24"/>
          <w:shd w:val="clear" w:color="auto" w:fill="FFFFFF"/>
        </w:rPr>
        <w:t xml:space="preserve">3) </w:t>
      </w:r>
      <w:proofErr w:type="gramStart"/>
      <w:r w:rsidRPr="00227834">
        <w:rPr>
          <w:i/>
          <w:iCs/>
          <w:color w:val="222222"/>
          <w:szCs w:val="24"/>
          <w:shd w:val="clear" w:color="auto" w:fill="FFFFFF"/>
        </w:rPr>
        <w:t>any</w:t>
      </w:r>
      <w:proofErr w:type="gramEnd"/>
      <w:r w:rsidRPr="00227834">
        <w:rPr>
          <w:i/>
          <w:iCs/>
          <w:color w:val="222222"/>
          <w:szCs w:val="24"/>
          <w:shd w:val="clear" w:color="auto" w:fill="FFFFFF"/>
        </w:rPr>
        <w:t xml:space="preserve"> melt water that is not recharged to the aquifer is refrozen in the unsaturated zone overlying the aquifer. (</w:t>
      </w:r>
      <w:proofErr w:type="gramStart"/>
      <w:r w:rsidRPr="00227834">
        <w:rPr>
          <w:i/>
          <w:iCs/>
          <w:color w:val="222222"/>
          <w:szCs w:val="24"/>
          <w:shd w:val="clear" w:color="auto" w:fill="FFFFFF"/>
        </w:rPr>
        <w:t>i.e</w:t>
      </w:r>
      <w:proofErr w:type="gramEnd"/>
      <w:r w:rsidRPr="00227834">
        <w:rPr>
          <w:i/>
          <w:iCs/>
          <w:color w:val="222222"/>
          <w:szCs w:val="24"/>
          <w:shd w:val="clear" w:color="auto" w:fill="FFFFFF"/>
        </w:rPr>
        <w:t>. we assume sublimation and evaporation of the melt water to be negligible).</w:t>
      </w:r>
    </w:p>
    <w:p w14:paraId="7C35769C" w14:textId="77777777" w:rsidR="00F561D0" w:rsidRPr="00227834" w:rsidRDefault="00F561D0" w:rsidP="00F561D0">
      <w:pPr>
        <w:rPr>
          <w:szCs w:val="24"/>
        </w:rPr>
      </w:pPr>
      <w:r w:rsidRPr="00227834">
        <w:rPr>
          <w:i/>
          <w:iCs/>
          <w:color w:val="222222"/>
          <w:szCs w:val="24"/>
          <w:shd w:val="clear" w:color="auto" w:fill="FFFFFF"/>
        </w:rPr>
        <w:t xml:space="preserve">4) The rift </w:t>
      </w:r>
      <w:proofErr w:type="gramStart"/>
      <w:r w:rsidRPr="00227834">
        <w:rPr>
          <w:i/>
          <w:iCs/>
          <w:color w:val="222222"/>
          <w:szCs w:val="24"/>
          <w:shd w:val="clear" w:color="auto" w:fill="FFFFFF"/>
        </w:rPr>
        <w:t>is partially filled</w:t>
      </w:r>
      <w:proofErr w:type="gramEnd"/>
      <w:r w:rsidRPr="00227834">
        <w:rPr>
          <w:i/>
          <w:iCs/>
          <w:color w:val="222222"/>
          <w:szCs w:val="24"/>
          <w:shd w:val="clear" w:color="auto" w:fill="FFFFFF"/>
        </w:rPr>
        <w:t xml:space="preserve"> with seawater (to the geoid height) and the density gradient between the freshwater of the aquifer and seawater in the rift causes a hydraulic barrier where no discharge can occur.</w:t>
      </w:r>
    </w:p>
    <w:p w14:paraId="584A0B56" w14:textId="7488509C" w:rsidR="00181054" w:rsidRDefault="00181054" w:rsidP="00F561D0">
      <w:pPr>
        <w:spacing w:before="24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Assumption 1 is justified based on homogeneous hydraulic conductivity in a firn aquifer in Greenland (Miller et al., 2017). </w:t>
      </w:r>
    </w:p>
    <w:p w14:paraId="2A142819" w14:textId="5C197929" w:rsidR="00F561D0" w:rsidRDefault="00F561D0" w:rsidP="00F561D0">
      <w:pPr>
        <w:spacing w:before="240"/>
        <w:rPr>
          <w:color w:val="222222"/>
          <w:szCs w:val="24"/>
          <w:shd w:val="clear" w:color="auto" w:fill="FFFFFF"/>
        </w:rPr>
      </w:pPr>
      <w:r w:rsidRPr="00227834">
        <w:rPr>
          <w:color w:val="222222"/>
          <w:szCs w:val="24"/>
          <w:shd w:val="clear" w:color="auto" w:fill="FFFFFF"/>
        </w:rPr>
        <w:t xml:space="preserve">Note: Assumption 4) is implemented in SEEP2D by only allowing </w:t>
      </w:r>
      <w:proofErr w:type="gramStart"/>
      <w:r w:rsidRPr="00227834">
        <w:rPr>
          <w:color w:val="222222"/>
          <w:szCs w:val="24"/>
          <w:shd w:val="clear" w:color="auto" w:fill="FFFFFF"/>
        </w:rPr>
        <w:t>for water</w:t>
      </w:r>
      <w:proofErr w:type="gramEnd"/>
      <w:r w:rsidRPr="00227834">
        <w:rPr>
          <w:color w:val="222222"/>
          <w:szCs w:val="24"/>
          <w:shd w:val="clear" w:color="auto" w:fill="FFFFFF"/>
        </w:rPr>
        <w:t xml:space="preserve"> to discharge above the geoid height (Figure 3b). In reality, there may be diffuse flow into </w:t>
      </w:r>
      <w:proofErr w:type="gramStart"/>
      <w:r w:rsidRPr="00227834">
        <w:rPr>
          <w:color w:val="222222"/>
          <w:szCs w:val="24"/>
          <w:shd w:val="clear" w:color="auto" w:fill="FFFFFF"/>
        </w:rPr>
        <w:t>seawater,</w:t>
      </w:r>
      <w:proofErr w:type="gramEnd"/>
      <w:r w:rsidRPr="00227834">
        <w:rPr>
          <w:color w:val="222222"/>
          <w:szCs w:val="24"/>
          <w:shd w:val="clear" w:color="auto" w:fill="FFFFFF"/>
        </w:rPr>
        <w:t xml:space="preserve"> however a more complex boundary is not currently warranted due to a lack of direct observations. </w:t>
      </w:r>
    </w:p>
    <w:p w14:paraId="6253106F" w14:textId="77777777" w:rsidR="00E77620" w:rsidRPr="00F561D0" w:rsidRDefault="00E77620" w:rsidP="00E77620">
      <w:pPr>
        <w:spacing w:before="240" w:after="240"/>
        <w:rPr>
          <w:szCs w:val="24"/>
        </w:rPr>
      </w:pPr>
      <w:r w:rsidRPr="00E77620">
        <w:rPr>
          <w:b/>
          <w:bCs/>
          <w:color w:val="222222"/>
          <w:szCs w:val="24"/>
          <w:shd w:val="clear" w:color="auto" w:fill="FFFFFF"/>
        </w:rPr>
        <w:t>Text S4.</w:t>
      </w:r>
      <w:r>
        <w:rPr>
          <w:bCs/>
          <w:color w:val="222222"/>
          <w:szCs w:val="24"/>
          <w:shd w:val="clear" w:color="auto" w:fill="FFFFFF"/>
        </w:rPr>
        <w:t xml:space="preserve"> </w:t>
      </w:r>
      <w:r w:rsidRPr="00F561D0">
        <w:rPr>
          <w:bCs/>
          <w:color w:val="222222"/>
          <w:szCs w:val="24"/>
          <w:shd w:val="clear" w:color="auto" w:fill="FFFFFF"/>
        </w:rPr>
        <w:t>Definition of Specifi</w:t>
      </w:r>
      <w:r w:rsidRPr="008B4261">
        <w:rPr>
          <w:bCs/>
          <w:color w:val="222222"/>
          <w:szCs w:val="24"/>
          <w:shd w:val="clear" w:color="auto" w:fill="FFFFFF"/>
        </w:rPr>
        <w:t>c Discharge and Linear Velocity</w:t>
      </w:r>
    </w:p>
    <w:p w14:paraId="27AA6BDC" w14:textId="18B420F4" w:rsidR="00E77620" w:rsidRDefault="00E77620" w:rsidP="00E77620">
      <w:pPr>
        <w:spacing w:before="240" w:after="240"/>
        <w:rPr>
          <w:color w:val="222222"/>
          <w:szCs w:val="24"/>
          <w:shd w:val="clear" w:color="auto" w:fill="FFFFFF"/>
        </w:rPr>
      </w:pPr>
      <w:r w:rsidRPr="00F561D0">
        <w:rPr>
          <w:color w:val="222222"/>
          <w:szCs w:val="24"/>
          <w:shd w:val="clear" w:color="auto" w:fill="FFFFFF"/>
        </w:rPr>
        <w:t>The specific discharge, representing the flow of water per unit area of porous media (m</w:t>
      </w:r>
      <w:r w:rsidRPr="0079498A">
        <w:rPr>
          <w:color w:val="222222"/>
          <w:szCs w:val="24"/>
          <w:shd w:val="clear" w:color="auto" w:fill="FFFFFF"/>
          <w:vertAlign w:val="superscript"/>
        </w:rPr>
        <w:t>3</w:t>
      </w:r>
      <w:r w:rsidRPr="00F561D0">
        <w:rPr>
          <w:color w:val="222222"/>
          <w:szCs w:val="24"/>
          <w:shd w:val="clear" w:color="auto" w:fill="FFFFFF"/>
        </w:rPr>
        <w:t>/m</w:t>
      </w:r>
      <w:r w:rsidRPr="0079498A">
        <w:rPr>
          <w:color w:val="222222"/>
          <w:szCs w:val="24"/>
          <w:shd w:val="clear" w:color="auto" w:fill="FFFFFF"/>
          <w:vertAlign w:val="superscript"/>
        </w:rPr>
        <w:t>2</w:t>
      </w:r>
      <w:r w:rsidRPr="00F561D0">
        <w:rPr>
          <w:color w:val="222222"/>
          <w:szCs w:val="24"/>
          <w:shd w:val="clear" w:color="auto" w:fill="FFFFFF"/>
        </w:rPr>
        <w:t xml:space="preserve"> s), is calculated </w:t>
      </w:r>
      <w:r w:rsidR="00F03D77">
        <w:rPr>
          <w:color w:val="222222"/>
          <w:szCs w:val="24"/>
          <w:shd w:val="clear" w:color="auto" w:fill="FFFFFF"/>
        </w:rPr>
        <w:t xml:space="preserve">at each depth </w:t>
      </w:r>
      <w:r w:rsidRPr="00F561D0">
        <w:rPr>
          <w:color w:val="222222"/>
          <w:szCs w:val="24"/>
          <w:shd w:val="clear" w:color="auto" w:fill="FFFFFF"/>
        </w:rPr>
        <w:t>using the specific conduct</w:t>
      </w:r>
      <w:r w:rsidR="00C81B57">
        <w:rPr>
          <w:color w:val="222222"/>
          <w:szCs w:val="24"/>
          <w:shd w:val="clear" w:color="auto" w:fill="FFFFFF"/>
        </w:rPr>
        <w:t>ivity</w:t>
      </w:r>
      <w:r w:rsidRPr="00F561D0">
        <w:rPr>
          <w:color w:val="222222"/>
          <w:szCs w:val="24"/>
          <w:shd w:val="clear" w:color="auto" w:fill="FFFFFF"/>
        </w:rPr>
        <w:t xml:space="preserve"> measurements from the borehole dilution test (derived from Darcy’s Law)</w:t>
      </w:r>
    </w:p>
    <w:p w14:paraId="4FF8A239" w14:textId="77777777" w:rsidR="00E77620" w:rsidRPr="00F561D0" w:rsidRDefault="00E77620" w:rsidP="00E77620">
      <w:pPr>
        <w:spacing w:before="240" w:after="24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πr</m:t>
              </m:r>
            </m:num>
            <m:den>
              <m:r>
                <w:rPr>
                  <w:rFonts w:ascii="Cambria Math" w:hAnsi="Cambria Math"/>
                  <w:szCs w:val="24"/>
                </w:rPr>
                <m:t>2tα</m:t>
              </m:r>
            </m:den>
          </m:f>
          <m:r>
            <m:rPr>
              <m:sty m:val="p"/>
            </m:rPr>
            <w:rPr>
              <w:rFonts w:ascii="Cambria Math" w:hAnsi="Cambria Math"/>
              <w:szCs w:val="24"/>
            </w:rPr>
            <m:t>ln⁡</m:t>
          </m:r>
          <m:r>
            <w:rPr>
              <w:rFonts w:ascii="Cambria Math" w:hAnsi="Cambria Math"/>
              <w:szCs w:val="24"/>
            </w:rPr>
            <m:t>(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Cs w:val="24"/>
            </w:rPr>
            <m:t>)</m:t>
          </m:r>
        </m:oMath>
      </m:oMathPara>
    </w:p>
    <w:p w14:paraId="1074539B" w14:textId="77777777" w:rsidR="00E77620" w:rsidRPr="00F561D0" w:rsidRDefault="00E77620" w:rsidP="00E77620">
      <w:pPr>
        <w:spacing w:before="240" w:after="240"/>
        <w:rPr>
          <w:szCs w:val="24"/>
        </w:rPr>
      </w:pPr>
      <w:r w:rsidRPr="00F561D0">
        <w:rPr>
          <w:color w:val="222222"/>
          <w:szCs w:val="24"/>
          <w:shd w:val="clear" w:color="auto" w:fill="FFFFFF"/>
        </w:rPr>
        <w:lastRenderedPageBreak/>
        <w:t xml:space="preserve">where q is the specific discharge (length/time), </w:t>
      </w:r>
      <w:proofErr w:type="spellStart"/>
      <w:r w:rsidRPr="00F561D0">
        <w:rPr>
          <w:color w:val="222222"/>
          <w:szCs w:val="24"/>
          <w:shd w:val="clear" w:color="auto" w:fill="FFFFFF"/>
        </w:rPr>
        <w:t>r</w:t>
      </w:r>
      <w:proofErr w:type="spellEnd"/>
      <w:r w:rsidRPr="00F561D0">
        <w:rPr>
          <w:color w:val="222222"/>
          <w:szCs w:val="24"/>
          <w:shd w:val="clear" w:color="auto" w:fill="FFFFFF"/>
        </w:rPr>
        <w:t xml:space="preserve"> is the borehole radius (length), t is time, α is a formation factor accounting for the amplification of the velocity field by the borehole, commonly taken to be equal to 2 (</w:t>
      </w:r>
      <w:proofErr w:type="spellStart"/>
      <w:r w:rsidRPr="00F561D0">
        <w:rPr>
          <w:color w:val="222222"/>
          <w:szCs w:val="24"/>
          <w:shd w:val="clear" w:color="auto" w:fill="FFFFFF"/>
        </w:rPr>
        <w:t>Pitrak</w:t>
      </w:r>
      <w:proofErr w:type="spellEnd"/>
      <w:r w:rsidRPr="00F561D0">
        <w:rPr>
          <w:color w:val="222222"/>
          <w:szCs w:val="24"/>
          <w:shd w:val="clear" w:color="auto" w:fill="FFFFFF"/>
        </w:rPr>
        <w:t xml:space="preserve"> et al., 2007), and C/C</w:t>
      </w:r>
      <w:r w:rsidRPr="00F561D0">
        <w:rPr>
          <w:color w:val="222222"/>
          <w:szCs w:val="24"/>
          <w:shd w:val="clear" w:color="auto" w:fill="FFFFFF"/>
          <w:vertAlign w:val="subscript"/>
        </w:rPr>
        <w:t>0</w:t>
      </w:r>
      <w:r w:rsidRPr="00F561D0">
        <w:rPr>
          <w:color w:val="222222"/>
          <w:szCs w:val="24"/>
          <w:shd w:val="clear" w:color="auto" w:fill="FFFFFF"/>
        </w:rPr>
        <w:t xml:space="preserve"> is the relative concentration at a given time. </w:t>
      </w:r>
    </w:p>
    <w:p w14:paraId="59B80E30" w14:textId="68D0E51B" w:rsidR="00E77620" w:rsidRDefault="00E77620" w:rsidP="00E77620">
      <w:pPr>
        <w:spacing w:before="240" w:after="240"/>
        <w:rPr>
          <w:color w:val="222222"/>
          <w:szCs w:val="24"/>
          <w:shd w:val="clear" w:color="auto" w:fill="FFFFFF"/>
        </w:rPr>
      </w:pPr>
      <w:r w:rsidRPr="00F561D0">
        <w:rPr>
          <w:color w:val="222222"/>
          <w:szCs w:val="24"/>
          <w:shd w:val="clear" w:color="auto" w:fill="FFFFFF"/>
        </w:rPr>
        <w:t>Additionally, the linear velocity (</w:t>
      </w:r>
      <w:r>
        <w:rPr>
          <w:color w:val="222222"/>
          <w:szCs w:val="24"/>
          <w:shd w:val="clear" w:color="auto" w:fill="FFFFFF"/>
        </w:rPr>
        <w:t xml:space="preserve">V, </w:t>
      </w:r>
      <w:r w:rsidRPr="00F561D0">
        <w:rPr>
          <w:color w:val="222222"/>
          <w:szCs w:val="24"/>
          <w:shd w:val="clear" w:color="auto" w:fill="FFFFFF"/>
        </w:rPr>
        <w:t>the v</w:t>
      </w:r>
      <w:r>
        <w:rPr>
          <w:color w:val="222222"/>
          <w:szCs w:val="24"/>
          <w:shd w:val="clear" w:color="auto" w:fill="FFFFFF"/>
        </w:rPr>
        <w:t>elocity through connected pores</w:t>
      </w:r>
      <w:r w:rsidRPr="00F561D0">
        <w:rPr>
          <w:color w:val="222222"/>
          <w:szCs w:val="24"/>
          <w:shd w:val="clear" w:color="auto" w:fill="FFFFFF"/>
        </w:rPr>
        <w:t xml:space="preserve">), is calculated </w:t>
      </w:r>
      <w:r w:rsidR="00DE5B7B">
        <w:rPr>
          <w:color w:val="222222"/>
          <w:szCs w:val="24"/>
          <w:shd w:val="clear" w:color="auto" w:fill="FFFFFF"/>
        </w:rPr>
        <w:t xml:space="preserve">by </w:t>
      </w:r>
    </w:p>
    <w:p w14:paraId="05054013" w14:textId="278562B2" w:rsidR="00E77620" w:rsidRPr="008B4261" w:rsidRDefault="00E77620" w:rsidP="00E77620">
      <w:pPr>
        <w:spacing w:before="240" w:after="24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q</m:t>
              </m:r>
            </m:num>
            <m:den>
              <m:r>
                <w:rPr>
                  <w:rFonts w:ascii="Cambria Math" w:hAnsi="Cambria Math"/>
                  <w:szCs w:val="24"/>
                </w:rPr>
                <m:t>n</m:t>
              </m:r>
            </m:den>
          </m:f>
        </m:oMath>
      </m:oMathPara>
    </w:p>
    <w:p w14:paraId="3577DD50" w14:textId="2DA60161" w:rsidR="00F561D0" w:rsidRDefault="00DE5B7B" w:rsidP="00E77620">
      <w:pPr>
        <w:spacing w:before="240" w:after="240"/>
        <w:rPr>
          <w:szCs w:val="24"/>
        </w:rPr>
      </w:pPr>
      <w:proofErr w:type="gramStart"/>
      <w:r w:rsidRPr="00F561D0">
        <w:rPr>
          <w:color w:val="222222"/>
          <w:szCs w:val="24"/>
          <w:shd w:val="clear" w:color="auto" w:fill="FFFFFF"/>
        </w:rPr>
        <w:t>using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three porosi</w:t>
      </w:r>
      <w:r>
        <w:rPr>
          <w:color w:val="222222"/>
          <w:szCs w:val="24"/>
          <w:shd w:val="clear" w:color="auto" w:fill="FFFFFF"/>
        </w:rPr>
        <w:t>ty estimates from Koenig et al (</w:t>
      </w:r>
      <w:r w:rsidRPr="00F561D0">
        <w:rPr>
          <w:color w:val="222222"/>
          <w:szCs w:val="24"/>
          <w:shd w:val="clear" w:color="auto" w:fill="FFFFFF"/>
        </w:rPr>
        <w:t>2014</w:t>
      </w:r>
      <w:r>
        <w:rPr>
          <w:color w:val="222222"/>
          <w:szCs w:val="24"/>
          <w:shd w:val="clear" w:color="auto" w:fill="FFFFFF"/>
        </w:rPr>
        <w:t xml:space="preserve">), </w:t>
      </w:r>
      <w:r>
        <w:rPr>
          <w:szCs w:val="24"/>
        </w:rPr>
        <w:t>w</w:t>
      </w:r>
      <w:r w:rsidR="00E77620">
        <w:rPr>
          <w:szCs w:val="24"/>
        </w:rPr>
        <w:t xml:space="preserve">here q is the specific discharge and </w:t>
      </w:r>
      <m:oMath>
        <m:r>
          <w:rPr>
            <w:rFonts w:ascii="Cambria Math" w:hAnsi="Cambria Math"/>
            <w:szCs w:val="24"/>
          </w:rPr>
          <m:t>n</m:t>
        </m:r>
      </m:oMath>
      <w:r w:rsidR="00E77620">
        <w:rPr>
          <w:szCs w:val="24"/>
        </w:rPr>
        <w:t xml:space="preserve"> is the porosity</w:t>
      </w:r>
      <w:r w:rsidR="006958AC">
        <w:rPr>
          <w:szCs w:val="24"/>
        </w:rPr>
        <w:t xml:space="preserve"> (</w:t>
      </w:r>
      <w:r w:rsidR="00BF7594">
        <w:rPr>
          <w:szCs w:val="24"/>
        </w:rPr>
        <w:t>Cherry and Freeze</w:t>
      </w:r>
      <w:r w:rsidR="006958AC">
        <w:rPr>
          <w:szCs w:val="24"/>
        </w:rPr>
        <w:t>, 1979)</w:t>
      </w:r>
      <w:r w:rsidR="00E77620">
        <w:rPr>
          <w:szCs w:val="24"/>
        </w:rPr>
        <w:t>.</w:t>
      </w:r>
      <w:r w:rsidR="00F03D77">
        <w:rPr>
          <w:szCs w:val="24"/>
        </w:rPr>
        <w:t xml:space="preserve"> </w:t>
      </w:r>
    </w:p>
    <w:p w14:paraId="0902F860" w14:textId="2279B755" w:rsidR="00D77687" w:rsidRDefault="00D77687" w:rsidP="00E77620">
      <w:pPr>
        <w:spacing w:before="240" w:after="240"/>
        <w:rPr>
          <w:szCs w:val="24"/>
        </w:rPr>
      </w:pPr>
      <w:r w:rsidRPr="0079498A">
        <w:rPr>
          <w:b/>
          <w:szCs w:val="24"/>
        </w:rPr>
        <w:t xml:space="preserve">Text S5. </w:t>
      </w:r>
      <w:r>
        <w:rPr>
          <w:szCs w:val="24"/>
        </w:rPr>
        <w:t>Uncertainty of Density Measurements</w:t>
      </w:r>
    </w:p>
    <w:p w14:paraId="327B0CA0" w14:textId="71273303" w:rsidR="00D77687" w:rsidRPr="0079498A" w:rsidRDefault="00D77687" w:rsidP="00E77620">
      <w:pPr>
        <w:spacing w:before="240" w:after="240"/>
        <w:rPr>
          <w:color w:val="222222"/>
          <w:szCs w:val="24"/>
          <w:shd w:val="clear" w:color="auto" w:fill="FFFFFF"/>
        </w:rPr>
      </w:pPr>
      <w:r>
        <w:rPr>
          <w:szCs w:val="24"/>
        </w:rPr>
        <w:t xml:space="preserve">Average uncertainty of density measurements </w:t>
      </w:r>
      <w:r w:rsidR="004C6393">
        <w:rPr>
          <w:szCs w:val="24"/>
        </w:rPr>
        <w:t xml:space="preserve">for all three cores </w:t>
      </w:r>
      <w:r>
        <w:rPr>
          <w:szCs w:val="24"/>
        </w:rPr>
        <w:t xml:space="preserve">was calculated using an error propagation formula for products and division based on </w:t>
      </w:r>
      <w:proofErr w:type="spellStart"/>
      <w:r w:rsidR="003B5253">
        <w:rPr>
          <w:szCs w:val="24"/>
        </w:rPr>
        <w:t>Fornasini</w:t>
      </w:r>
      <w:proofErr w:type="spellEnd"/>
      <w:r>
        <w:rPr>
          <w:szCs w:val="24"/>
        </w:rPr>
        <w:t xml:space="preserve"> (</w:t>
      </w:r>
      <w:r w:rsidR="003B5253">
        <w:rPr>
          <w:szCs w:val="24"/>
        </w:rPr>
        <w:t>2008</w:t>
      </w:r>
      <w:r>
        <w:rPr>
          <w:szCs w:val="24"/>
        </w:rPr>
        <w:t xml:space="preserve">) using an uncertainty of </w:t>
      </w:r>
      <w:r w:rsidRPr="00B27D12">
        <w:rPr>
          <w:szCs w:val="24"/>
        </w:rPr>
        <w:t>±</w:t>
      </w:r>
      <w:r>
        <w:rPr>
          <w:szCs w:val="24"/>
        </w:rPr>
        <w:t xml:space="preserve"> 0.002 m for length measurements,  </w:t>
      </w:r>
      <w:r w:rsidRPr="00B27D12">
        <w:rPr>
          <w:szCs w:val="24"/>
        </w:rPr>
        <w:t>±</w:t>
      </w:r>
      <w:r>
        <w:rPr>
          <w:szCs w:val="24"/>
        </w:rPr>
        <w:t xml:space="preserve"> 0.003 g for weight measurements, </w:t>
      </w:r>
      <w:r w:rsidRPr="00B27D12">
        <w:rPr>
          <w:szCs w:val="24"/>
        </w:rPr>
        <w:t>±</w:t>
      </w:r>
      <w:r>
        <w:rPr>
          <w:szCs w:val="24"/>
        </w:rPr>
        <w:t xml:space="preserve"> 0.002 m for diameter measurements, and an error of </w:t>
      </w:r>
      <w:r w:rsidRPr="00B27D12">
        <w:rPr>
          <w:szCs w:val="24"/>
        </w:rPr>
        <w:t>±</w:t>
      </w:r>
      <w:r>
        <w:rPr>
          <w:szCs w:val="24"/>
        </w:rPr>
        <w:t xml:space="preserve"> 1% for intactness. </w:t>
      </w:r>
      <w:r w:rsidR="004C6393">
        <w:rPr>
          <w:szCs w:val="24"/>
        </w:rPr>
        <w:t xml:space="preserve">There is additional uncertainty </w:t>
      </w:r>
      <w:proofErr w:type="gramStart"/>
      <w:r w:rsidR="004C6393">
        <w:rPr>
          <w:szCs w:val="24"/>
        </w:rPr>
        <w:t>in the water-saturated aquifer layer (~13-29 m) from water drainage from cores on the way up the borehole</w:t>
      </w:r>
      <w:proofErr w:type="gramEnd"/>
      <w:r w:rsidR="004C6393">
        <w:rPr>
          <w:szCs w:val="24"/>
        </w:rPr>
        <w:t xml:space="preserve"> or while taking the measurements of length, diameter, weight, and intactness, however we are unable to quantify the mass loss. </w:t>
      </w:r>
    </w:p>
    <w:p w14:paraId="76B05F29" w14:textId="2D873619" w:rsidR="000F15EB" w:rsidRDefault="000F15EB" w:rsidP="00E77620">
      <w:pPr>
        <w:spacing w:before="240" w:after="240"/>
        <w:rPr>
          <w:szCs w:val="24"/>
        </w:rPr>
      </w:pPr>
    </w:p>
    <w:p w14:paraId="37333400" w14:textId="7BD1CDB8" w:rsidR="000F15EB" w:rsidRDefault="000F15EB" w:rsidP="00E77620">
      <w:pPr>
        <w:spacing w:before="240" w:after="240"/>
        <w:rPr>
          <w:szCs w:val="24"/>
        </w:rPr>
      </w:pPr>
    </w:p>
    <w:p w14:paraId="273A3EA8" w14:textId="77777777" w:rsidR="000F15EB" w:rsidRDefault="000F15EB" w:rsidP="00E77620">
      <w:pPr>
        <w:spacing w:before="240" w:after="240"/>
        <w:rPr>
          <w:szCs w:val="24"/>
        </w:rPr>
      </w:pPr>
    </w:p>
    <w:p w14:paraId="785B7C75" w14:textId="472217F4" w:rsidR="00095220" w:rsidRDefault="00D85B94" w:rsidP="00095220">
      <w:pPr>
        <w:rPr>
          <w:color w:val="222222"/>
          <w:szCs w:val="24"/>
          <w:shd w:val="clear" w:color="auto" w:fill="FFFFFF"/>
        </w:rPr>
      </w:pPr>
      <w:r>
        <w:rPr>
          <w:noProof/>
          <w:color w:val="222222"/>
          <w:szCs w:val="24"/>
          <w:shd w:val="clear" w:color="auto" w:fill="FFFFFF"/>
        </w:rPr>
        <w:drawing>
          <wp:inline distT="0" distB="0" distL="0" distR="0" wp14:anchorId="01FDCCFA" wp14:editId="1226C685">
            <wp:extent cx="5683008" cy="32613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_v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08" cy="32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CD0A" w14:textId="0C27D3E7" w:rsidR="00D73B33" w:rsidRPr="00F55A23" w:rsidRDefault="00D73B33" w:rsidP="00D73B33">
      <w:pPr>
        <w:rPr>
          <w:color w:val="222222"/>
          <w:szCs w:val="24"/>
          <w:shd w:val="clear" w:color="auto" w:fill="FFFFFF"/>
        </w:rPr>
      </w:pPr>
      <w:r w:rsidRPr="00F55A23">
        <w:rPr>
          <w:b/>
          <w:color w:val="222222"/>
          <w:szCs w:val="24"/>
          <w:shd w:val="clear" w:color="auto" w:fill="FFFFFF"/>
        </w:rPr>
        <w:lastRenderedPageBreak/>
        <w:t>Figure S</w:t>
      </w:r>
      <w:r>
        <w:rPr>
          <w:b/>
          <w:color w:val="222222"/>
          <w:szCs w:val="24"/>
          <w:shd w:val="clear" w:color="auto" w:fill="FFFFFF"/>
        </w:rPr>
        <w:t>1</w:t>
      </w:r>
      <w:r w:rsidRPr="00F55A23">
        <w:rPr>
          <w:b/>
          <w:color w:val="222222"/>
          <w:szCs w:val="24"/>
          <w:shd w:val="clear" w:color="auto" w:fill="FFFFFF"/>
        </w:rPr>
        <w:t>.</w:t>
      </w:r>
      <w:r w:rsidRPr="00F55A23">
        <w:rPr>
          <w:color w:val="222222"/>
          <w:szCs w:val="24"/>
          <w:shd w:val="clear" w:color="auto" w:fill="FFFFFF"/>
        </w:rPr>
        <w:t xml:space="preserve"> Inset a. shows the elevation profile (Ellipsoid height) for the OIB flight trajectory </w:t>
      </w:r>
      <w:proofErr w:type="gramStart"/>
      <w:r w:rsidRPr="00F55A23">
        <w:rPr>
          <w:color w:val="222222"/>
          <w:szCs w:val="24"/>
          <w:shd w:val="clear" w:color="auto" w:fill="FFFFFF"/>
        </w:rPr>
        <w:t>in the vicinity of</w:t>
      </w:r>
      <w:proofErr w:type="gramEnd"/>
      <w:r w:rsidRPr="00F55A23">
        <w:rPr>
          <w:color w:val="222222"/>
          <w:szCs w:val="24"/>
          <w:shd w:val="clear" w:color="auto" w:fill="FFFFFF"/>
        </w:rPr>
        <w:t xml:space="preserve"> our field site, using the A</w:t>
      </w:r>
      <w:r w:rsidR="004A5D26">
        <w:rPr>
          <w:color w:val="222222"/>
          <w:szCs w:val="24"/>
          <w:shd w:val="clear" w:color="auto" w:fill="FFFFFF"/>
        </w:rPr>
        <w:t>irborne Topographic Mapper</w:t>
      </w:r>
      <w:r w:rsidRPr="00F55A23">
        <w:rPr>
          <w:color w:val="222222"/>
          <w:szCs w:val="24"/>
          <w:shd w:val="clear" w:color="auto" w:fill="FFFFFF"/>
        </w:rPr>
        <w:t xml:space="preserve"> data (</w:t>
      </w:r>
      <w:proofErr w:type="spellStart"/>
      <w:r w:rsidRPr="00404A71">
        <w:rPr>
          <w:color w:val="222222"/>
          <w:szCs w:val="24"/>
          <w:shd w:val="clear" w:color="auto" w:fill="FFFFFF"/>
        </w:rPr>
        <w:t>Studinger</w:t>
      </w:r>
      <w:proofErr w:type="spellEnd"/>
      <w:r w:rsidRPr="00404A71">
        <w:rPr>
          <w:color w:val="222222"/>
          <w:szCs w:val="24"/>
          <w:shd w:val="clear" w:color="auto" w:fill="FFFFFF"/>
        </w:rPr>
        <w:t>, 2014</w:t>
      </w:r>
      <w:r w:rsidRPr="00F55A23">
        <w:rPr>
          <w:color w:val="222222"/>
          <w:szCs w:val="24"/>
          <w:shd w:val="clear" w:color="auto" w:fill="FFFFFF"/>
        </w:rPr>
        <w:t xml:space="preserve">). Inset b. represents the </w:t>
      </w:r>
      <w:proofErr w:type="spellStart"/>
      <w:r w:rsidRPr="00F55A23">
        <w:rPr>
          <w:color w:val="222222"/>
          <w:szCs w:val="24"/>
          <w:shd w:val="clear" w:color="auto" w:fill="FFFFFF"/>
        </w:rPr>
        <w:t>MCoRDS</w:t>
      </w:r>
      <w:proofErr w:type="spellEnd"/>
      <w:r w:rsidRPr="00F55A23">
        <w:rPr>
          <w:color w:val="222222"/>
          <w:szCs w:val="24"/>
          <w:shd w:val="clear" w:color="auto" w:fill="FFFFFF"/>
        </w:rPr>
        <w:t xml:space="preserve"> radar data collected simultaneously to the ATM data. </w:t>
      </w:r>
      <w:r w:rsidR="0098467F">
        <w:rPr>
          <w:color w:val="222222"/>
          <w:szCs w:val="24"/>
          <w:shd w:val="clear" w:color="auto" w:fill="FFFFFF"/>
        </w:rPr>
        <w:t>We interpret t</w:t>
      </w:r>
      <w:r w:rsidRPr="00F55A23">
        <w:rPr>
          <w:color w:val="222222"/>
          <w:szCs w:val="24"/>
          <w:shd w:val="clear" w:color="auto" w:fill="FFFFFF"/>
        </w:rPr>
        <w:t>he bright reflector</w:t>
      </w:r>
      <w:r w:rsidR="0098467F">
        <w:rPr>
          <w:color w:val="222222"/>
          <w:szCs w:val="24"/>
          <w:shd w:val="clear" w:color="auto" w:fill="FFFFFF"/>
        </w:rPr>
        <w:t>,</w:t>
      </w:r>
      <w:r w:rsidRPr="00F55A23">
        <w:rPr>
          <w:color w:val="222222"/>
          <w:szCs w:val="24"/>
          <w:shd w:val="clear" w:color="auto" w:fill="FFFFFF"/>
        </w:rPr>
        <w:t xml:space="preserve"> (dash red line) found between 10 and 25 meters</w:t>
      </w:r>
      <w:r w:rsidR="0098467F">
        <w:rPr>
          <w:color w:val="222222"/>
          <w:szCs w:val="24"/>
          <w:shd w:val="clear" w:color="auto" w:fill="FFFFFF"/>
        </w:rPr>
        <w:t>, to be</w:t>
      </w:r>
      <w:r>
        <w:rPr>
          <w:color w:val="222222"/>
          <w:szCs w:val="24"/>
          <w:shd w:val="clear" w:color="auto" w:fill="FFFFFF"/>
        </w:rPr>
        <w:t xml:space="preserve"> the water table. The purple</w:t>
      </w:r>
      <w:r w:rsidRPr="00F55A23">
        <w:rPr>
          <w:color w:val="222222"/>
          <w:szCs w:val="24"/>
          <w:shd w:val="clear" w:color="auto" w:fill="FFFFFF"/>
        </w:rPr>
        <w:t xml:space="preserve"> vertical bar represents the closest location to our field site</w:t>
      </w:r>
      <w:r>
        <w:rPr>
          <w:color w:val="222222"/>
          <w:szCs w:val="24"/>
          <w:shd w:val="clear" w:color="auto" w:fill="FFFFFF"/>
        </w:rPr>
        <w:t xml:space="preserve"> (1.8 km apart)</w:t>
      </w:r>
      <w:r w:rsidRPr="00F55A23">
        <w:rPr>
          <w:color w:val="222222"/>
          <w:szCs w:val="24"/>
          <w:shd w:val="clear" w:color="auto" w:fill="FFFFFF"/>
        </w:rPr>
        <w:t>.</w:t>
      </w:r>
      <w:r w:rsidR="00692A36">
        <w:rPr>
          <w:color w:val="222222"/>
          <w:szCs w:val="24"/>
          <w:shd w:val="clear" w:color="auto" w:fill="FFFFFF"/>
        </w:rPr>
        <w:t xml:space="preserve"> </w:t>
      </w:r>
      <w:r w:rsidR="002515A1">
        <w:rPr>
          <w:color w:val="000000"/>
          <w:szCs w:val="24"/>
        </w:rPr>
        <w:t>The vertical precision of depth is limited to</w:t>
      </w:r>
      <w:r w:rsidR="002515A1" w:rsidRPr="0000174D">
        <w:rPr>
          <w:color w:val="000000"/>
          <w:szCs w:val="24"/>
        </w:rPr>
        <w:t xml:space="preserve"> </w:t>
      </w:r>
      <w:r w:rsidR="002515A1">
        <w:rPr>
          <w:color w:val="000000"/>
          <w:szCs w:val="24"/>
        </w:rPr>
        <w:t xml:space="preserve">the vertical sample interval (also referred to as bin size) of ~1.9 m for a </w:t>
      </w:r>
      <w:proofErr w:type="spellStart"/>
      <w:r w:rsidR="002515A1">
        <w:rPr>
          <w:color w:val="000000"/>
          <w:szCs w:val="24"/>
        </w:rPr>
        <w:t>bandwith</w:t>
      </w:r>
      <w:proofErr w:type="spellEnd"/>
      <w:r w:rsidR="002515A1">
        <w:rPr>
          <w:color w:val="000000"/>
          <w:szCs w:val="24"/>
        </w:rPr>
        <w:t xml:space="preserve"> of 180-230 MHz, when converting from two-way travel time to depth using a permittivity value of 2.4 (corresponding to an average density of ~650 kg m</w:t>
      </w:r>
      <w:r w:rsidR="002515A1">
        <w:rPr>
          <w:color w:val="000000"/>
          <w:szCs w:val="24"/>
          <w:vertAlign w:val="superscript"/>
        </w:rPr>
        <w:t>-3</w:t>
      </w:r>
      <w:r w:rsidR="002515A1">
        <w:rPr>
          <w:color w:val="000000"/>
          <w:szCs w:val="24"/>
        </w:rPr>
        <w:t xml:space="preserve">). </w:t>
      </w:r>
      <w:r w:rsidR="00230ED8" w:rsidRPr="009A5BFD">
        <w:rPr>
          <w:iCs/>
          <w:color w:val="000000"/>
          <w:szCs w:val="24"/>
        </w:rPr>
        <w:t xml:space="preserve">The </w:t>
      </w:r>
      <w:proofErr w:type="spellStart"/>
      <w:r w:rsidR="00230ED8" w:rsidRPr="009A5BFD">
        <w:rPr>
          <w:iCs/>
          <w:color w:val="000000"/>
          <w:szCs w:val="24"/>
        </w:rPr>
        <w:t>MCoRDS</w:t>
      </w:r>
      <w:proofErr w:type="spellEnd"/>
      <w:r w:rsidR="00230ED8" w:rsidRPr="009A5BFD">
        <w:rPr>
          <w:iCs/>
          <w:color w:val="000000"/>
          <w:szCs w:val="24"/>
        </w:rPr>
        <w:t xml:space="preserve"> and GPR trajectories intersect at two locations: 71.7543</w:t>
      </w:r>
      <w:r w:rsidR="00230ED8" w:rsidRPr="009A5BFD">
        <w:rPr>
          <w:iCs/>
          <w:color w:val="4D5156"/>
          <w:szCs w:val="24"/>
          <w:shd w:val="clear" w:color="auto" w:fill="FFFFFF"/>
        </w:rPr>
        <w:t>°</w:t>
      </w:r>
      <w:r w:rsidR="00230ED8" w:rsidRPr="009A5BFD">
        <w:rPr>
          <w:iCs/>
          <w:color w:val="000000"/>
          <w:szCs w:val="24"/>
        </w:rPr>
        <w:t>W&amp;70.8162</w:t>
      </w:r>
      <w:r w:rsidR="00230ED8" w:rsidRPr="009A5BFD">
        <w:rPr>
          <w:iCs/>
          <w:color w:val="4D5156"/>
          <w:szCs w:val="24"/>
          <w:shd w:val="clear" w:color="auto" w:fill="FFFFFF"/>
        </w:rPr>
        <w:t>°</w:t>
      </w:r>
      <w:r w:rsidR="00230ED8" w:rsidRPr="009A5BFD">
        <w:rPr>
          <w:iCs/>
          <w:color w:val="000000"/>
          <w:szCs w:val="24"/>
        </w:rPr>
        <w:t>S and 71.7701</w:t>
      </w:r>
      <w:r w:rsidR="00230ED8" w:rsidRPr="009A5BFD">
        <w:rPr>
          <w:iCs/>
          <w:color w:val="4D5156"/>
          <w:szCs w:val="24"/>
          <w:shd w:val="clear" w:color="auto" w:fill="FFFFFF"/>
        </w:rPr>
        <w:t>°</w:t>
      </w:r>
      <w:r w:rsidR="00230ED8" w:rsidRPr="009A5BFD">
        <w:rPr>
          <w:iCs/>
          <w:color w:val="000000"/>
          <w:szCs w:val="24"/>
        </w:rPr>
        <w:t>W&amp;70.7944</w:t>
      </w:r>
      <w:r w:rsidR="00230ED8" w:rsidRPr="009A5BFD">
        <w:rPr>
          <w:iCs/>
          <w:color w:val="4D5156"/>
          <w:szCs w:val="24"/>
          <w:shd w:val="clear" w:color="auto" w:fill="FFFFFF"/>
        </w:rPr>
        <w:t>°</w:t>
      </w:r>
      <w:r w:rsidR="00230ED8" w:rsidRPr="009A5BFD">
        <w:rPr>
          <w:iCs/>
          <w:color w:val="000000"/>
          <w:szCs w:val="24"/>
        </w:rPr>
        <w:t>S (see Figure 1b) with absolute depth-to-water differences of 0.6 and 1.2 meters, respectively.</w:t>
      </w:r>
    </w:p>
    <w:p w14:paraId="11686C3F" w14:textId="77777777" w:rsidR="00095220" w:rsidRPr="00E77620" w:rsidRDefault="00095220" w:rsidP="00E77620">
      <w:pPr>
        <w:spacing w:before="240" w:after="240"/>
        <w:rPr>
          <w:szCs w:val="24"/>
        </w:rPr>
      </w:pPr>
    </w:p>
    <w:p w14:paraId="527219AF" w14:textId="77777777" w:rsidR="00F561D0" w:rsidRPr="00F561D0" w:rsidRDefault="00F561D0" w:rsidP="00E30B0C">
      <w:pPr>
        <w:pStyle w:val="Affiliation"/>
      </w:pPr>
    </w:p>
    <w:p w14:paraId="7E501D52" w14:textId="2DE8C317" w:rsidR="00E30B0C" w:rsidRPr="00F561D0" w:rsidRDefault="00D85B94" w:rsidP="000F15EB">
      <w:pPr>
        <w:pStyle w:val="Affiliation"/>
        <w:jc w:val="center"/>
      </w:pPr>
      <w:r>
        <w:rPr>
          <w:noProof/>
        </w:rPr>
        <w:drawing>
          <wp:inline distT="0" distB="0" distL="0" distR="0" wp14:anchorId="55910692" wp14:editId="53D84E1E">
            <wp:extent cx="3211075" cy="379629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S2_v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075" cy="379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C754" w14:textId="6EF8FA6A" w:rsidR="00D73B33" w:rsidRPr="00F561D0" w:rsidRDefault="00D73B33" w:rsidP="00D73B33">
      <w:pPr>
        <w:rPr>
          <w:b/>
          <w:szCs w:val="24"/>
        </w:rPr>
      </w:pPr>
      <w:r>
        <w:rPr>
          <w:b/>
          <w:szCs w:val="24"/>
        </w:rPr>
        <w:t>Figure S2</w:t>
      </w:r>
      <w:r w:rsidRPr="00F561D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5E205F">
        <w:rPr>
          <w:szCs w:val="24"/>
        </w:rPr>
        <w:t>Density (blue line</w:t>
      </w:r>
      <w:r>
        <w:rPr>
          <w:szCs w:val="24"/>
        </w:rPr>
        <w:t xml:space="preserve"> from coring, red line from pit</w:t>
      </w:r>
      <w:r w:rsidRPr="005E205F">
        <w:rPr>
          <w:szCs w:val="24"/>
        </w:rPr>
        <w:t xml:space="preserve">) and stratigraphy (blue = ice lens, white = firn) for the three cores collected at our field site, the horizontal spacing between each core location is about 1 meter. </w:t>
      </w:r>
      <w:proofErr w:type="gramStart"/>
      <w:r w:rsidRPr="005E205F">
        <w:rPr>
          <w:szCs w:val="24"/>
        </w:rPr>
        <w:t>The water table is represented by a green horizontal line</w:t>
      </w:r>
      <w:proofErr w:type="gramEnd"/>
      <w:r w:rsidRPr="005E205F">
        <w:rPr>
          <w:szCs w:val="24"/>
        </w:rPr>
        <w:t xml:space="preserve">. The light gray rectangle at W1 indicates that only the density </w:t>
      </w:r>
      <w:proofErr w:type="gramStart"/>
      <w:r w:rsidRPr="005E205F">
        <w:rPr>
          <w:szCs w:val="24"/>
        </w:rPr>
        <w:t>was recorded</w:t>
      </w:r>
      <w:proofErr w:type="gramEnd"/>
      <w:r w:rsidRPr="005E205F">
        <w:rPr>
          <w:szCs w:val="24"/>
        </w:rPr>
        <w:t xml:space="preserve">. The dark gray rectangles at W1 and W2 indicate no measurements </w:t>
      </w:r>
      <w:proofErr w:type="gramStart"/>
      <w:r w:rsidRPr="005E205F">
        <w:rPr>
          <w:szCs w:val="24"/>
        </w:rPr>
        <w:t>were taken</w:t>
      </w:r>
      <w:proofErr w:type="gramEnd"/>
      <w:r w:rsidRPr="005E205F">
        <w:rPr>
          <w:szCs w:val="24"/>
        </w:rPr>
        <w:t>.</w:t>
      </w:r>
    </w:p>
    <w:p w14:paraId="28FB526F" w14:textId="77777777" w:rsidR="00F561D0" w:rsidRPr="00F561D0" w:rsidRDefault="00F561D0">
      <w:pPr>
        <w:rPr>
          <w:szCs w:val="24"/>
        </w:rPr>
      </w:pPr>
    </w:p>
    <w:p w14:paraId="4C963767" w14:textId="77777777" w:rsidR="00F561D0" w:rsidRPr="00F561D0" w:rsidRDefault="00F561D0">
      <w:pPr>
        <w:rPr>
          <w:szCs w:val="24"/>
        </w:rPr>
      </w:pPr>
    </w:p>
    <w:p w14:paraId="39D84468" w14:textId="208BEB28" w:rsidR="00F561D0" w:rsidRPr="00F561D0" w:rsidRDefault="00D85B94" w:rsidP="000F15EB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32C928C3" wp14:editId="1B8970EB">
            <wp:extent cx="5230379" cy="3503683"/>
            <wp:effectExtent l="0" t="0" r="889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S3_v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79" cy="35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2964" w14:textId="6440875B" w:rsidR="00F561D0" w:rsidRPr="00F561D0" w:rsidRDefault="000F15EB">
      <w:pPr>
        <w:rPr>
          <w:szCs w:val="24"/>
        </w:rPr>
      </w:pPr>
      <w:r>
        <w:rPr>
          <w:b/>
          <w:color w:val="222222"/>
          <w:szCs w:val="24"/>
          <w:shd w:val="clear" w:color="auto" w:fill="FFFFFF"/>
        </w:rPr>
        <w:t>Figure S3</w:t>
      </w:r>
      <w:r w:rsidR="00F561D0" w:rsidRPr="00F561D0">
        <w:rPr>
          <w:b/>
          <w:color w:val="222222"/>
          <w:szCs w:val="24"/>
          <w:shd w:val="clear" w:color="auto" w:fill="FFFFFF"/>
        </w:rPr>
        <w:t>.</w:t>
      </w:r>
      <w:r w:rsidR="00F561D0" w:rsidRPr="00F561D0">
        <w:rPr>
          <w:color w:val="222222"/>
          <w:szCs w:val="24"/>
          <w:shd w:val="clear" w:color="auto" w:fill="FFFFFF"/>
        </w:rPr>
        <w:t xml:space="preserve"> a) Slug test set-up</w:t>
      </w:r>
      <w:r w:rsidR="00854A3D">
        <w:rPr>
          <w:color w:val="222222"/>
          <w:szCs w:val="24"/>
          <w:shd w:val="clear" w:color="auto" w:fill="FFFFFF"/>
        </w:rPr>
        <w:t xml:space="preserve"> (not at scale</w:t>
      </w:r>
      <w:r w:rsidR="0067390E">
        <w:rPr>
          <w:color w:val="222222"/>
          <w:szCs w:val="24"/>
          <w:shd w:val="clear" w:color="auto" w:fill="FFFFFF"/>
        </w:rPr>
        <w:t>)</w:t>
      </w:r>
      <w:r w:rsidR="00F561D0" w:rsidRPr="00F561D0">
        <w:rPr>
          <w:color w:val="222222"/>
          <w:szCs w:val="24"/>
          <w:shd w:val="clear" w:color="auto" w:fill="FFFFFF"/>
        </w:rPr>
        <w:t xml:space="preserve">. b) Illustration of the water-level changes over time as the slug </w:t>
      </w:r>
      <w:proofErr w:type="gramStart"/>
      <w:r w:rsidR="00F561D0" w:rsidRPr="00F561D0">
        <w:rPr>
          <w:color w:val="222222"/>
          <w:szCs w:val="24"/>
          <w:shd w:val="clear" w:color="auto" w:fill="FFFFFF"/>
        </w:rPr>
        <w:t>is inserted and removed from the borehole</w:t>
      </w:r>
      <w:proofErr w:type="gramEnd"/>
      <w:r w:rsidR="00F561D0" w:rsidRPr="00F561D0">
        <w:rPr>
          <w:color w:val="222222"/>
          <w:szCs w:val="24"/>
          <w:shd w:val="clear" w:color="auto" w:fill="FFFFFF"/>
        </w:rPr>
        <w:t>.  c) Close up within the water-level time-series showing one the drawdown and recovery of the water table when removing the slug.</w:t>
      </w:r>
    </w:p>
    <w:p w14:paraId="7ED1B279" w14:textId="33455D14" w:rsidR="00F561D0" w:rsidRDefault="00F561D0" w:rsidP="00E30B0C">
      <w:pPr>
        <w:spacing w:before="240" w:after="240"/>
        <w:rPr>
          <w:b/>
          <w:bCs/>
          <w:color w:val="222222"/>
          <w:szCs w:val="24"/>
          <w:shd w:val="clear" w:color="auto" w:fill="FFFFFF"/>
        </w:rPr>
      </w:pPr>
    </w:p>
    <w:p w14:paraId="0710A64E" w14:textId="1176C9C5" w:rsidR="000F15EB" w:rsidRDefault="000F15EB" w:rsidP="00E30B0C">
      <w:pPr>
        <w:spacing w:before="240" w:after="240"/>
        <w:rPr>
          <w:b/>
          <w:bCs/>
          <w:color w:val="222222"/>
          <w:szCs w:val="24"/>
          <w:shd w:val="clear" w:color="auto" w:fill="FFFFFF"/>
        </w:rPr>
      </w:pPr>
    </w:p>
    <w:p w14:paraId="15275666" w14:textId="114F7282" w:rsidR="000F15EB" w:rsidRDefault="000F15EB" w:rsidP="00E30B0C">
      <w:pPr>
        <w:spacing w:before="240" w:after="240"/>
        <w:rPr>
          <w:b/>
          <w:bCs/>
          <w:color w:val="222222"/>
          <w:szCs w:val="24"/>
          <w:shd w:val="clear" w:color="auto" w:fill="FFFFFF"/>
        </w:rPr>
      </w:pPr>
    </w:p>
    <w:p w14:paraId="2FE8A0CC" w14:textId="77777777" w:rsidR="000F15EB" w:rsidRPr="00F561D0" w:rsidRDefault="000F15EB" w:rsidP="00E30B0C">
      <w:pPr>
        <w:spacing w:before="240" w:after="240"/>
        <w:rPr>
          <w:b/>
          <w:bCs/>
          <w:color w:val="222222"/>
          <w:szCs w:val="24"/>
          <w:shd w:val="clear" w:color="auto" w:fill="FFFFFF"/>
        </w:rPr>
      </w:pPr>
    </w:p>
    <w:p w14:paraId="4DB8C14B" w14:textId="60ABA8DF" w:rsidR="00E30B0C" w:rsidRPr="00E30B0C" w:rsidRDefault="006129D7" w:rsidP="000F15EB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30BDF151" wp14:editId="775249AD">
            <wp:extent cx="5643383" cy="33771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4_vf_re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383" cy="337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4578" w14:textId="18A842AC" w:rsidR="00E30B0C" w:rsidRDefault="000F15EB" w:rsidP="00E30B0C">
      <w:pPr>
        <w:rPr>
          <w:color w:val="222222"/>
          <w:szCs w:val="24"/>
          <w:shd w:val="clear" w:color="auto" w:fill="FFFFFF"/>
        </w:rPr>
      </w:pPr>
      <w:r>
        <w:rPr>
          <w:b/>
          <w:color w:val="222222"/>
          <w:szCs w:val="24"/>
          <w:shd w:val="clear" w:color="auto" w:fill="FFFFFF"/>
        </w:rPr>
        <w:t>Figure S4</w:t>
      </w:r>
      <w:r w:rsidR="00F561D0" w:rsidRPr="00F561D0">
        <w:rPr>
          <w:b/>
          <w:color w:val="222222"/>
          <w:szCs w:val="24"/>
          <w:shd w:val="clear" w:color="auto" w:fill="FFFFFF"/>
        </w:rPr>
        <w:t>.</w:t>
      </w:r>
      <w:r w:rsidR="00854A3D">
        <w:rPr>
          <w:color w:val="222222"/>
          <w:szCs w:val="24"/>
          <w:shd w:val="clear" w:color="auto" w:fill="FFFFFF"/>
        </w:rPr>
        <w:t>  a) D</w:t>
      </w:r>
      <w:r w:rsidR="00E30B0C" w:rsidRPr="00E30B0C">
        <w:rPr>
          <w:color w:val="222222"/>
          <w:szCs w:val="24"/>
          <w:shd w:val="clear" w:color="auto" w:fill="FFFFFF"/>
        </w:rPr>
        <w:t>ilution test setup</w:t>
      </w:r>
      <w:r w:rsidR="00854A3D">
        <w:rPr>
          <w:color w:val="222222"/>
          <w:szCs w:val="24"/>
          <w:shd w:val="clear" w:color="auto" w:fill="FFFFFF"/>
        </w:rPr>
        <w:t xml:space="preserve"> (not at scale</w:t>
      </w:r>
      <w:r w:rsidR="006559EF">
        <w:rPr>
          <w:color w:val="222222"/>
          <w:szCs w:val="24"/>
          <w:shd w:val="clear" w:color="auto" w:fill="FFFFFF"/>
        </w:rPr>
        <w:t>)</w:t>
      </w:r>
      <w:r w:rsidR="00E30B0C" w:rsidRPr="00E30B0C">
        <w:rPr>
          <w:color w:val="222222"/>
          <w:szCs w:val="24"/>
          <w:shd w:val="clear" w:color="auto" w:fill="FFFFFF"/>
        </w:rPr>
        <w:t>. b) Homogenization of salt concentration in the borehole water column after injection at the surface, using a pump placed at the bottom. This step happened prior to logging the evolution of the salt concentration of the water column</w:t>
      </w:r>
      <w:r w:rsidR="00F222F2">
        <w:rPr>
          <w:color w:val="222222"/>
          <w:szCs w:val="24"/>
          <w:shd w:val="clear" w:color="auto" w:fill="FFFFFF"/>
        </w:rPr>
        <w:t>.</w:t>
      </w:r>
    </w:p>
    <w:p w14:paraId="2B2CBD77" w14:textId="77777777" w:rsidR="000F15EB" w:rsidRPr="00E30B0C" w:rsidRDefault="000F15EB" w:rsidP="00E30B0C">
      <w:pPr>
        <w:rPr>
          <w:szCs w:val="24"/>
        </w:rPr>
      </w:pPr>
    </w:p>
    <w:p w14:paraId="7461E3A8" w14:textId="77777777" w:rsidR="00E30B0C" w:rsidRPr="00F561D0" w:rsidRDefault="00E30B0C" w:rsidP="00E30B0C">
      <w:pPr>
        <w:rPr>
          <w:color w:val="222222"/>
          <w:szCs w:val="24"/>
          <w:shd w:val="clear" w:color="auto" w:fill="FFFFFF"/>
        </w:rPr>
      </w:pPr>
    </w:p>
    <w:p w14:paraId="6A67A6C7" w14:textId="3980D3C1" w:rsidR="00E30B0C" w:rsidRPr="00E30B0C" w:rsidRDefault="00E30B0C" w:rsidP="00E30B0C">
      <w:pPr>
        <w:rPr>
          <w:szCs w:val="24"/>
        </w:rPr>
      </w:pPr>
    </w:p>
    <w:p w14:paraId="3CC1E37B" w14:textId="0860C7AF" w:rsidR="000F15EB" w:rsidRDefault="000F15EB" w:rsidP="00E30B0C">
      <w:pPr>
        <w:rPr>
          <w:color w:val="222222"/>
          <w:szCs w:val="24"/>
          <w:shd w:val="clear" w:color="auto" w:fill="FFFFFF"/>
        </w:rPr>
      </w:pPr>
    </w:p>
    <w:p w14:paraId="03D94983" w14:textId="1567A584" w:rsidR="000F15EB" w:rsidRDefault="000F15EB" w:rsidP="00E30B0C">
      <w:pPr>
        <w:rPr>
          <w:color w:val="222222"/>
          <w:szCs w:val="24"/>
          <w:shd w:val="clear" w:color="auto" w:fill="FFFFFF"/>
        </w:rPr>
      </w:pPr>
    </w:p>
    <w:p w14:paraId="44457D70" w14:textId="4602F686" w:rsidR="000F15EB" w:rsidRDefault="000F15EB" w:rsidP="00E30B0C">
      <w:pPr>
        <w:rPr>
          <w:color w:val="222222"/>
          <w:szCs w:val="24"/>
          <w:shd w:val="clear" w:color="auto" w:fill="FFFFFF"/>
        </w:rPr>
      </w:pPr>
    </w:p>
    <w:p w14:paraId="7AB8544F" w14:textId="5D8C0213" w:rsidR="000F15EB" w:rsidRDefault="000F15EB" w:rsidP="00E30B0C">
      <w:pPr>
        <w:rPr>
          <w:color w:val="222222"/>
          <w:szCs w:val="24"/>
          <w:shd w:val="clear" w:color="auto" w:fill="FFFFFF"/>
        </w:rPr>
      </w:pPr>
    </w:p>
    <w:p w14:paraId="5F3872A9" w14:textId="2665E908" w:rsidR="000F15EB" w:rsidRDefault="000F15EB" w:rsidP="00E30B0C">
      <w:pPr>
        <w:rPr>
          <w:color w:val="222222"/>
          <w:szCs w:val="24"/>
          <w:shd w:val="clear" w:color="auto" w:fill="FFFFFF"/>
        </w:rPr>
      </w:pPr>
    </w:p>
    <w:p w14:paraId="2EA99ECA" w14:textId="77777777" w:rsidR="000F15EB" w:rsidRPr="00F561D0" w:rsidRDefault="000F15EB" w:rsidP="00E30B0C">
      <w:pPr>
        <w:rPr>
          <w:szCs w:val="24"/>
        </w:rPr>
      </w:pPr>
    </w:p>
    <w:p w14:paraId="3F95BC23" w14:textId="2A4715BF" w:rsidR="00227834" w:rsidRPr="00227834" w:rsidRDefault="00D85B94" w:rsidP="00227834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041A0E9E" wp14:editId="25C67F75">
            <wp:extent cx="5943600" cy="41554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S6_v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618E" w14:textId="5199B990" w:rsidR="00227834" w:rsidRDefault="000F15EB" w:rsidP="00227834">
      <w:pPr>
        <w:rPr>
          <w:color w:val="222222"/>
          <w:szCs w:val="24"/>
          <w:shd w:val="clear" w:color="auto" w:fill="FFFFFF"/>
        </w:rPr>
      </w:pPr>
      <w:r>
        <w:rPr>
          <w:b/>
          <w:color w:val="222222"/>
          <w:szCs w:val="24"/>
          <w:shd w:val="clear" w:color="auto" w:fill="FFFFFF"/>
        </w:rPr>
        <w:t>Figure S</w:t>
      </w:r>
      <w:r w:rsidR="006F325B">
        <w:rPr>
          <w:b/>
          <w:color w:val="222222"/>
          <w:szCs w:val="24"/>
          <w:shd w:val="clear" w:color="auto" w:fill="FFFFFF"/>
        </w:rPr>
        <w:t>5</w:t>
      </w:r>
      <w:r w:rsidR="00F561D0">
        <w:rPr>
          <w:b/>
          <w:color w:val="222222"/>
          <w:szCs w:val="24"/>
          <w:shd w:val="clear" w:color="auto" w:fill="FFFFFF"/>
        </w:rPr>
        <w:t>.</w:t>
      </w:r>
      <w:r w:rsidR="00227834" w:rsidRPr="00F561D0">
        <w:rPr>
          <w:color w:val="222222"/>
          <w:szCs w:val="24"/>
          <w:shd w:val="clear" w:color="auto" w:fill="FFFFFF"/>
        </w:rPr>
        <w:t xml:space="preserve"> An 8-day continuous stationary GPS survey</w:t>
      </w:r>
      <w:r w:rsidR="00227834" w:rsidRPr="00F561D0">
        <w:rPr>
          <w:color w:val="000000"/>
          <w:szCs w:val="24"/>
        </w:rPr>
        <w:t xml:space="preserve"> at the drill site to determine a short-term ice flow vector and the tidal range for part of the tidal cycle </w:t>
      </w:r>
      <w:r w:rsidR="00227834" w:rsidRPr="00F561D0">
        <w:rPr>
          <w:color w:val="222222"/>
          <w:szCs w:val="24"/>
          <w:shd w:val="clear" w:color="auto" w:fill="FFFFFF"/>
        </w:rPr>
        <w:t>after processing the GPS data using with PPP online processor hosted by the Canadian Spatial Reference Service.</w:t>
      </w:r>
    </w:p>
    <w:p w14:paraId="7E95C118" w14:textId="55626E74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3C3438E0" w14:textId="76A2F8E5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65336831" w14:textId="3B7C7E4E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32063C2C" w14:textId="066074BC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3D6AF696" w14:textId="48FD583A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3A2E8130" w14:textId="4B5D684D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59773ED8" w14:textId="66B2D75C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75FCE0A6" w14:textId="2E626D88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1110C5A3" w14:textId="636FD646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547C2FB8" w14:textId="4E8CCC6C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0A8B2E98" w14:textId="27A5ED18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2385686B" w14:textId="4F982D8F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1C18A4D6" w14:textId="7EA34FE9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5A3DA231" w14:textId="3BF4D987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3B49F1E6" w14:textId="702DC42C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26CBAE71" w14:textId="13FE8772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269ED564" w14:textId="4D485961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6B99BB4C" w14:textId="6241AF02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0CE3B85F" w14:textId="16FE189C" w:rsidR="000F15EB" w:rsidRDefault="000F15EB" w:rsidP="00227834">
      <w:pPr>
        <w:rPr>
          <w:color w:val="222222"/>
          <w:szCs w:val="24"/>
          <w:shd w:val="clear" w:color="auto" w:fill="FFFFFF"/>
        </w:rPr>
      </w:pPr>
    </w:p>
    <w:p w14:paraId="092DB675" w14:textId="77777777" w:rsidR="00F561D0" w:rsidRDefault="00F561D0" w:rsidP="00227834">
      <w:pPr>
        <w:rPr>
          <w:color w:val="222222"/>
          <w:szCs w:val="24"/>
          <w:shd w:val="clear" w:color="auto" w:fill="FFFFFF"/>
        </w:rPr>
      </w:pPr>
    </w:p>
    <w:p w14:paraId="39BD6059" w14:textId="77777777" w:rsidR="00F561D0" w:rsidRPr="00F561D0" w:rsidRDefault="00F561D0" w:rsidP="00F561D0">
      <w:pPr>
        <w:pStyle w:val="Affiliation"/>
        <w:rPr>
          <w:b/>
        </w:rPr>
      </w:pPr>
      <w:r w:rsidRPr="00F561D0">
        <w:rPr>
          <w:b/>
        </w:rPr>
        <w:lastRenderedPageBreak/>
        <w:t>Table S1.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561D0" w:rsidRPr="00F561D0" w14:paraId="49B78EF6" w14:textId="77777777" w:rsidTr="00F369A9">
        <w:tc>
          <w:tcPr>
            <w:tcW w:w="1870" w:type="dxa"/>
          </w:tcPr>
          <w:p w14:paraId="312618DD" w14:textId="77777777" w:rsidR="00F561D0" w:rsidRPr="00F561D0" w:rsidRDefault="00F561D0" w:rsidP="008774DD">
            <w:pPr>
              <w:pStyle w:val="Affiliation"/>
              <w:jc w:val="center"/>
            </w:pPr>
          </w:p>
        </w:tc>
        <w:tc>
          <w:tcPr>
            <w:tcW w:w="1870" w:type="dxa"/>
          </w:tcPr>
          <w:p w14:paraId="1D94AAA8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MAR SF</w:t>
            </w:r>
          </w:p>
        </w:tc>
        <w:tc>
          <w:tcPr>
            <w:tcW w:w="1870" w:type="dxa"/>
          </w:tcPr>
          <w:p w14:paraId="6B63B6BC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MAR ME</w:t>
            </w:r>
          </w:p>
        </w:tc>
        <w:tc>
          <w:tcPr>
            <w:tcW w:w="1870" w:type="dxa"/>
          </w:tcPr>
          <w:p w14:paraId="6B6643FA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RACMO2 SF</w:t>
            </w:r>
          </w:p>
        </w:tc>
        <w:tc>
          <w:tcPr>
            <w:tcW w:w="1870" w:type="dxa"/>
          </w:tcPr>
          <w:p w14:paraId="4D4ACD6C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RACMO2 ME</w:t>
            </w:r>
          </w:p>
        </w:tc>
      </w:tr>
      <w:tr w:rsidR="00F561D0" w:rsidRPr="00F561D0" w14:paraId="62412689" w14:textId="77777777" w:rsidTr="00F369A9">
        <w:tc>
          <w:tcPr>
            <w:tcW w:w="1870" w:type="dxa"/>
          </w:tcPr>
          <w:p w14:paraId="21F44E55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2010</w:t>
            </w:r>
          </w:p>
        </w:tc>
        <w:tc>
          <w:tcPr>
            <w:tcW w:w="1870" w:type="dxa"/>
          </w:tcPr>
          <w:p w14:paraId="346DD9FD" w14:textId="77777777" w:rsidR="00F561D0" w:rsidRPr="00F561D0" w:rsidRDefault="005162FB" w:rsidP="005162FB">
            <w:pPr>
              <w:pStyle w:val="Affiliation"/>
              <w:jc w:val="center"/>
            </w:pPr>
            <w:r>
              <w:t>559.74</w:t>
            </w:r>
          </w:p>
        </w:tc>
        <w:tc>
          <w:tcPr>
            <w:tcW w:w="1870" w:type="dxa"/>
          </w:tcPr>
          <w:p w14:paraId="755080D8" w14:textId="77777777" w:rsidR="00F561D0" w:rsidRPr="00F561D0" w:rsidRDefault="005162FB" w:rsidP="005162FB">
            <w:pPr>
              <w:pStyle w:val="Affiliation"/>
              <w:jc w:val="center"/>
            </w:pPr>
            <w:r>
              <w:t>424.35</w:t>
            </w:r>
          </w:p>
        </w:tc>
        <w:tc>
          <w:tcPr>
            <w:tcW w:w="1870" w:type="dxa"/>
          </w:tcPr>
          <w:p w14:paraId="2C6BD8AE" w14:textId="77777777" w:rsidR="00F561D0" w:rsidRPr="00F561D0" w:rsidRDefault="008774DD" w:rsidP="008774DD">
            <w:pPr>
              <w:pStyle w:val="Affiliation"/>
              <w:jc w:val="center"/>
            </w:pPr>
            <w:r>
              <w:t>563.79</w:t>
            </w:r>
          </w:p>
        </w:tc>
        <w:tc>
          <w:tcPr>
            <w:tcW w:w="1870" w:type="dxa"/>
          </w:tcPr>
          <w:p w14:paraId="40644894" w14:textId="77777777" w:rsidR="00F561D0" w:rsidRPr="00F561D0" w:rsidRDefault="008774DD" w:rsidP="008774DD">
            <w:pPr>
              <w:pStyle w:val="Affiliation"/>
              <w:jc w:val="center"/>
            </w:pPr>
            <w:r>
              <w:t>230.49</w:t>
            </w:r>
          </w:p>
        </w:tc>
      </w:tr>
      <w:tr w:rsidR="00F561D0" w:rsidRPr="00F561D0" w14:paraId="4D96CBB1" w14:textId="77777777" w:rsidTr="00F369A9">
        <w:tc>
          <w:tcPr>
            <w:tcW w:w="1870" w:type="dxa"/>
          </w:tcPr>
          <w:p w14:paraId="78704EA0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2011</w:t>
            </w:r>
          </w:p>
        </w:tc>
        <w:tc>
          <w:tcPr>
            <w:tcW w:w="1870" w:type="dxa"/>
          </w:tcPr>
          <w:p w14:paraId="07854FCE" w14:textId="77777777" w:rsidR="00F561D0" w:rsidRPr="00F561D0" w:rsidRDefault="005162FB" w:rsidP="005162FB">
            <w:pPr>
              <w:pStyle w:val="Affiliation"/>
              <w:jc w:val="center"/>
            </w:pPr>
            <w:r>
              <w:t>432.88</w:t>
            </w:r>
          </w:p>
        </w:tc>
        <w:tc>
          <w:tcPr>
            <w:tcW w:w="1870" w:type="dxa"/>
          </w:tcPr>
          <w:p w14:paraId="20535918" w14:textId="77777777" w:rsidR="00F561D0" w:rsidRPr="00F561D0" w:rsidRDefault="005162FB" w:rsidP="005162FB">
            <w:pPr>
              <w:pStyle w:val="Affiliation"/>
              <w:jc w:val="center"/>
            </w:pPr>
            <w:r>
              <w:t>440.23</w:t>
            </w:r>
          </w:p>
        </w:tc>
        <w:tc>
          <w:tcPr>
            <w:tcW w:w="1870" w:type="dxa"/>
          </w:tcPr>
          <w:p w14:paraId="388DBD98" w14:textId="77777777" w:rsidR="00F561D0" w:rsidRPr="00F561D0" w:rsidRDefault="008774DD" w:rsidP="008774DD">
            <w:pPr>
              <w:pStyle w:val="Affiliation"/>
              <w:jc w:val="center"/>
            </w:pPr>
            <w:r>
              <w:t>822.64</w:t>
            </w:r>
          </w:p>
        </w:tc>
        <w:tc>
          <w:tcPr>
            <w:tcW w:w="1870" w:type="dxa"/>
          </w:tcPr>
          <w:p w14:paraId="30AF3BD3" w14:textId="77777777" w:rsidR="00F561D0" w:rsidRPr="00F561D0" w:rsidRDefault="008774DD" w:rsidP="008774DD">
            <w:pPr>
              <w:pStyle w:val="Affiliation"/>
              <w:jc w:val="center"/>
            </w:pPr>
            <w:r>
              <w:t>195.90</w:t>
            </w:r>
          </w:p>
        </w:tc>
      </w:tr>
      <w:tr w:rsidR="00F561D0" w:rsidRPr="00F561D0" w14:paraId="29098A40" w14:textId="77777777" w:rsidTr="00F369A9">
        <w:tc>
          <w:tcPr>
            <w:tcW w:w="1870" w:type="dxa"/>
          </w:tcPr>
          <w:p w14:paraId="2D112E6D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2012</w:t>
            </w:r>
          </w:p>
        </w:tc>
        <w:tc>
          <w:tcPr>
            <w:tcW w:w="1870" w:type="dxa"/>
          </w:tcPr>
          <w:p w14:paraId="072EDF5F" w14:textId="77777777" w:rsidR="00F561D0" w:rsidRPr="00F561D0" w:rsidRDefault="005162FB" w:rsidP="005162FB">
            <w:pPr>
              <w:pStyle w:val="Affiliation"/>
              <w:jc w:val="center"/>
            </w:pPr>
            <w:r>
              <w:t>503.48</w:t>
            </w:r>
          </w:p>
        </w:tc>
        <w:tc>
          <w:tcPr>
            <w:tcW w:w="1870" w:type="dxa"/>
          </w:tcPr>
          <w:p w14:paraId="2C3BF5D6" w14:textId="77777777" w:rsidR="00F561D0" w:rsidRPr="00F561D0" w:rsidRDefault="005162FB" w:rsidP="005162FB">
            <w:pPr>
              <w:pStyle w:val="Affiliation"/>
              <w:jc w:val="center"/>
            </w:pPr>
            <w:r>
              <w:t>228.02</w:t>
            </w:r>
          </w:p>
        </w:tc>
        <w:tc>
          <w:tcPr>
            <w:tcW w:w="1870" w:type="dxa"/>
          </w:tcPr>
          <w:p w14:paraId="1352E0AC" w14:textId="77777777" w:rsidR="00F561D0" w:rsidRPr="00F561D0" w:rsidRDefault="008774DD" w:rsidP="008774DD">
            <w:pPr>
              <w:pStyle w:val="Affiliation"/>
              <w:jc w:val="center"/>
            </w:pPr>
            <w:r>
              <w:t>590.23</w:t>
            </w:r>
          </w:p>
        </w:tc>
        <w:tc>
          <w:tcPr>
            <w:tcW w:w="1870" w:type="dxa"/>
          </w:tcPr>
          <w:p w14:paraId="6D81D65C" w14:textId="77777777" w:rsidR="00F561D0" w:rsidRPr="00F561D0" w:rsidRDefault="008774DD" w:rsidP="008774DD">
            <w:pPr>
              <w:pStyle w:val="Affiliation"/>
              <w:jc w:val="center"/>
            </w:pPr>
            <w:r>
              <w:t>222.07</w:t>
            </w:r>
          </w:p>
        </w:tc>
      </w:tr>
      <w:tr w:rsidR="00F561D0" w:rsidRPr="00F561D0" w14:paraId="3B951C63" w14:textId="77777777" w:rsidTr="00F369A9">
        <w:tc>
          <w:tcPr>
            <w:tcW w:w="1870" w:type="dxa"/>
          </w:tcPr>
          <w:p w14:paraId="6E09726B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2013</w:t>
            </w:r>
          </w:p>
        </w:tc>
        <w:tc>
          <w:tcPr>
            <w:tcW w:w="1870" w:type="dxa"/>
          </w:tcPr>
          <w:p w14:paraId="7B776369" w14:textId="77777777" w:rsidR="00F561D0" w:rsidRPr="00F561D0" w:rsidRDefault="005162FB" w:rsidP="005162FB">
            <w:pPr>
              <w:pStyle w:val="Affiliation"/>
              <w:jc w:val="center"/>
            </w:pPr>
            <w:r>
              <w:t>502.34</w:t>
            </w:r>
          </w:p>
        </w:tc>
        <w:tc>
          <w:tcPr>
            <w:tcW w:w="1870" w:type="dxa"/>
          </w:tcPr>
          <w:p w14:paraId="2E2DACC1" w14:textId="77777777" w:rsidR="00F561D0" w:rsidRPr="00F561D0" w:rsidRDefault="005162FB" w:rsidP="005162FB">
            <w:pPr>
              <w:pStyle w:val="Affiliation"/>
              <w:jc w:val="center"/>
            </w:pPr>
            <w:r>
              <w:t>417.50</w:t>
            </w:r>
          </w:p>
        </w:tc>
        <w:tc>
          <w:tcPr>
            <w:tcW w:w="1870" w:type="dxa"/>
          </w:tcPr>
          <w:p w14:paraId="29493A76" w14:textId="77777777" w:rsidR="00F561D0" w:rsidRPr="00F561D0" w:rsidRDefault="008774DD" w:rsidP="008774DD">
            <w:pPr>
              <w:pStyle w:val="Affiliation"/>
              <w:jc w:val="center"/>
            </w:pPr>
            <w:r>
              <w:t>678.66</w:t>
            </w:r>
          </w:p>
        </w:tc>
        <w:tc>
          <w:tcPr>
            <w:tcW w:w="1870" w:type="dxa"/>
          </w:tcPr>
          <w:p w14:paraId="79548C3E" w14:textId="77777777" w:rsidR="00F561D0" w:rsidRPr="00F561D0" w:rsidRDefault="008774DD" w:rsidP="008774DD">
            <w:pPr>
              <w:pStyle w:val="Affiliation"/>
              <w:jc w:val="center"/>
            </w:pPr>
            <w:r>
              <w:t>264.36</w:t>
            </w:r>
          </w:p>
        </w:tc>
      </w:tr>
      <w:tr w:rsidR="00F561D0" w:rsidRPr="00F561D0" w14:paraId="72B39E00" w14:textId="77777777" w:rsidTr="00F369A9">
        <w:tc>
          <w:tcPr>
            <w:tcW w:w="1870" w:type="dxa"/>
          </w:tcPr>
          <w:p w14:paraId="626ED12A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2014</w:t>
            </w:r>
          </w:p>
        </w:tc>
        <w:tc>
          <w:tcPr>
            <w:tcW w:w="1870" w:type="dxa"/>
          </w:tcPr>
          <w:p w14:paraId="505B11DF" w14:textId="77777777" w:rsidR="00F561D0" w:rsidRPr="00F561D0" w:rsidRDefault="005162FB" w:rsidP="005162FB">
            <w:pPr>
              <w:pStyle w:val="Affiliation"/>
              <w:jc w:val="center"/>
            </w:pPr>
            <w:r>
              <w:t>597.04</w:t>
            </w:r>
          </w:p>
        </w:tc>
        <w:tc>
          <w:tcPr>
            <w:tcW w:w="1870" w:type="dxa"/>
          </w:tcPr>
          <w:p w14:paraId="50C97B24" w14:textId="77777777" w:rsidR="00F561D0" w:rsidRPr="00F561D0" w:rsidRDefault="005162FB" w:rsidP="005162FB">
            <w:pPr>
              <w:pStyle w:val="Affiliation"/>
              <w:jc w:val="center"/>
            </w:pPr>
            <w:r>
              <w:t>215.68</w:t>
            </w:r>
          </w:p>
        </w:tc>
        <w:tc>
          <w:tcPr>
            <w:tcW w:w="1870" w:type="dxa"/>
          </w:tcPr>
          <w:p w14:paraId="5C85F9D4" w14:textId="77777777" w:rsidR="00F561D0" w:rsidRPr="00F561D0" w:rsidRDefault="008774DD" w:rsidP="008774DD">
            <w:pPr>
              <w:pStyle w:val="Affiliation"/>
              <w:jc w:val="center"/>
            </w:pPr>
            <w:r>
              <w:t>755.65</w:t>
            </w:r>
          </w:p>
        </w:tc>
        <w:tc>
          <w:tcPr>
            <w:tcW w:w="1870" w:type="dxa"/>
          </w:tcPr>
          <w:p w14:paraId="1ACE2D7C" w14:textId="77777777" w:rsidR="00F561D0" w:rsidRPr="00F561D0" w:rsidRDefault="008774DD" w:rsidP="008774DD">
            <w:pPr>
              <w:pStyle w:val="Affiliation"/>
              <w:jc w:val="center"/>
            </w:pPr>
            <w:r>
              <w:t>105.64</w:t>
            </w:r>
          </w:p>
        </w:tc>
      </w:tr>
      <w:tr w:rsidR="00F561D0" w:rsidRPr="00F561D0" w14:paraId="76568EA4" w14:textId="77777777" w:rsidTr="00F369A9">
        <w:tc>
          <w:tcPr>
            <w:tcW w:w="1870" w:type="dxa"/>
          </w:tcPr>
          <w:p w14:paraId="6FC1496D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2015</w:t>
            </w:r>
          </w:p>
        </w:tc>
        <w:tc>
          <w:tcPr>
            <w:tcW w:w="1870" w:type="dxa"/>
          </w:tcPr>
          <w:p w14:paraId="652ADC4C" w14:textId="77777777" w:rsidR="00F561D0" w:rsidRPr="00F561D0" w:rsidRDefault="005162FB" w:rsidP="005162FB">
            <w:pPr>
              <w:pStyle w:val="Affiliation"/>
              <w:jc w:val="center"/>
            </w:pPr>
            <w:r>
              <w:t>699.45</w:t>
            </w:r>
          </w:p>
        </w:tc>
        <w:tc>
          <w:tcPr>
            <w:tcW w:w="1870" w:type="dxa"/>
          </w:tcPr>
          <w:p w14:paraId="385239A2" w14:textId="77777777" w:rsidR="00F561D0" w:rsidRPr="00F561D0" w:rsidRDefault="005162FB" w:rsidP="005162FB">
            <w:pPr>
              <w:pStyle w:val="Affiliation"/>
              <w:jc w:val="center"/>
            </w:pPr>
            <w:r>
              <w:t>356.39</w:t>
            </w:r>
          </w:p>
        </w:tc>
        <w:tc>
          <w:tcPr>
            <w:tcW w:w="1870" w:type="dxa"/>
          </w:tcPr>
          <w:p w14:paraId="4579D684" w14:textId="77777777" w:rsidR="00F561D0" w:rsidRPr="00F561D0" w:rsidRDefault="008774DD" w:rsidP="008774DD">
            <w:pPr>
              <w:pStyle w:val="Affiliation"/>
              <w:jc w:val="center"/>
            </w:pPr>
            <w:r>
              <w:t>850.20</w:t>
            </w:r>
          </w:p>
        </w:tc>
        <w:tc>
          <w:tcPr>
            <w:tcW w:w="1870" w:type="dxa"/>
          </w:tcPr>
          <w:p w14:paraId="6E27578C" w14:textId="77777777" w:rsidR="00F561D0" w:rsidRPr="00F561D0" w:rsidRDefault="008774DD" w:rsidP="008774DD">
            <w:pPr>
              <w:pStyle w:val="Affiliation"/>
              <w:jc w:val="center"/>
            </w:pPr>
            <w:r>
              <w:t>231.27</w:t>
            </w:r>
          </w:p>
        </w:tc>
      </w:tr>
      <w:tr w:rsidR="00F561D0" w:rsidRPr="00F561D0" w14:paraId="3B7147D5" w14:textId="77777777" w:rsidTr="00F369A9">
        <w:tc>
          <w:tcPr>
            <w:tcW w:w="1870" w:type="dxa"/>
          </w:tcPr>
          <w:p w14:paraId="71AB2249" w14:textId="77777777" w:rsidR="00F561D0" w:rsidRPr="00F561D0" w:rsidRDefault="00F561D0" w:rsidP="008774DD">
            <w:pPr>
              <w:pStyle w:val="Affiliation"/>
              <w:jc w:val="center"/>
            </w:pPr>
            <w:r w:rsidRPr="00F561D0">
              <w:t>2016</w:t>
            </w:r>
          </w:p>
        </w:tc>
        <w:tc>
          <w:tcPr>
            <w:tcW w:w="1870" w:type="dxa"/>
          </w:tcPr>
          <w:p w14:paraId="4D4F3C56" w14:textId="77777777" w:rsidR="00F561D0" w:rsidRPr="00F561D0" w:rsidRDefault="005162FB" w:rsidP="005162FB">
            <w:pPr>
              <w:pStyle w:val="Affiliation"/>
              <w:jc w:val="center"/>
            </w:pPr>
            <w:r>
              <w:t>912.56</w:t>
            </w:r>
          </w:p>
        </w:tc>
        <w:tc>
          <w:tcPr>
            <w:tcW w:w="1870" w:type="dxa"/>
          </w:tcPr>
          <w:p w14:paraId="73CA85C8" w14:textId="77777777" w:rsidR="00F561D0" w:rsidRPr="00F561D0" w:rsidRDefault="005162FB" w:rsidP="005162FB">
            <w:pPr>
              <w:pStyle w:val="Affiliation"/>
              <w:jc w:val="center"/>
            </w:pPr>
            <w:r>
              <w:t>495.76</w:t>
            </w:r>
          </w:p>
        </w:tc>
        <w:tc>
          <w:tcPr>
            <w:tcW w:w="1870" w:type="dxa"/>
          </w:tcPr>
          <w:p w14:paraId="3B7B41FE" w14:textId="77777777" w:rsidR="00F561D0" w:rsidRPr="00F561D0" w:rsidRDefault="008774DD" w:rsidP="008774DD">
            <w:pPr>
              <w:pStyle w:val="Affiliation"/>
              <w:jc w:val="center"/>
            </w:pPr>
            <w:r>
              <w:t>1375.38</w:t>
            </w:r>
          </w:p>
        </w:tc>
        <w:tc>
          <w:tcPr>
            <w:tcW w:w="1870" w:type="dxa"/>
          </w:tcPr>
          <w:p w14:paraId="029F7C54" w14:textId="77777777" w:rsidR="00F561D0" w:rsidRPr="00F561D0" w:rsidRDefault="008774DD" w:rsidP="008774DD">
            <w:pPr>
              <w:pStyle w:val="Affiliation"/>
              <w:jc w:val="center"/>
            </w:pPr>
            <w:r>
              <w:t>271.88</w:t>
            </w:r>
          </w:p>
        </w:tc>
      </w:tr>
      <w:tr w:rsidR="008774DD" w:rsidRPr="00F561D0" w14:paraId="39493724" w14:textId="77777777" w:rsidTr="00F369A9">
        <w:tc>
          <w:tcPr>
            <w:tcW w:w="1870" w:type="dxa"/>
          </w:tcPr>
          <w:p w14:paraId="03DD7B65" w14:textId="77777777" w:rsidR="008774DD" w:rsidRPr="00F561D0" w:rsidRDefault="008774DD" w:rsidP="008774DD">
            <w:pPr>
              <w:pStyle w:val="Affiliation"/>
              <w:jc w:val="center"/>
            </w:pPr>
            <w:r>
              <w:t>2017</w:t>
            </w:r>
          </w:p>
        </w:tc>
        <w:tc>
          <w:tcPr>
            <w:tcW w:w="1870" w:type="dxa"/>
          </w:tcPr>
          <w:p w14:paraId="62D380F8" w14:textId="77777777" w:rsidR="008774DD" w:rsidRPr="00F561D0" w:rsidRDefault="005162FB" w:rsidP="008774DD">
            <w:pPr>
              <w:pStyle w:val="Affiliation"/>
              <w:jc w:val="center"/>
            </w:pPr>
            <w:r>
              <w:t>529.57</w:t>
            </w:r>
          </w:p>
        </w:tc>
        <w:tc>
          <w:tcPr>
            <w:tcW w:w="1870" w:type="dxa"/>
          </w:tcPr>
          <w:p w14:paraId="67079B88" w14:textId="77777777" w:rsidR="008774DD" w:rsidRPr="00F561D0" w:rsidRDefault="005162FB" w:rsidP="008774DD">
            <w:pPr>
              <w:pStyle w:val="Affiliation"/>
              <w:jc w:val="center"/>
            </w:pPr>
            <w:r>
              <w:t>836.10</w:t>
            </w:r>
          </w:p>
        </w:tc>
        <w:tc>
          <w:tcPr>
            <w:tcW w:w="1870" w:type="dxa"/>
          </w:tcPr>
          <w:p w14:paraId="29E6B0C3" w14:textId="77777777" w:rsidR="008774DD" w:rsidRPr="00F561D0" w:rsidRDefault="008774DD" w:rsidP="008774DD">
            <w:pPr>
              <w:pStyle w:val="Affiliation"/>
              <w:jc w:val="center"/>
            </w:pPr>
            <w:r>
              <w:t>716.75</w:t>
            </w:r>
          </w:p>
        </w:tc>
        <w:tc>
          <w:tcPr>
            <w:tcW w:w="1870" w:type="dxa"/>
          </w:tcPr>
          <w:p w14:paraId="1217E217" w14:textId="77777777" w:rsidR="008774DD" w:rsidRPr="00F561D0" w:rsidRDefault="008774DD" w:rsidP="008774DD">
            <w:pPr>
              <w:pStyle w:val="Affiliation"/>
              <w:jc w:val="center"/>
            </w:pPr>
            <w:r>
              <w:t>396.34</w:t>
            </w:r>
          </w:p>
        </w:tc>
      </w:tr>
    </w:tbl>
    <w:p w14:paraId="48748B3D" w14:textId="3B4C7DB5" w:rsidR="00227834" w:rsidRPr="00D85B94" w:rsidRDefault="00F561D0" w:rsidP="00D85B94">
      <w:pPr>
        <w:pStyle w:val="Affiliation"/>
      </w:pPr>
      <w:r w:rsidRPr="00F561D0">
        <w:rPr>
          <w:b/>
        </w:rPr>
        <w:t>Table S1.</w:t>
      </w:r>
      <w:r w:rsidR="000F15EB">
        <w:rPr>
          <w:b/>
        </w:rPr>
        <w:t xml:space="preserve"> </w:t>
      </w:r>
      <w:r w:rsidR="00F94E71">
        <w:t>Values of snowfall</w:t>
      </w:r>
      <w:r w:rsidR="004A5D26">
        <w:t xml:space="preserve"> (SF)</w:t>
      </w:r>
      <w:r w:rsidR="00F94E71">
        <w:t xml:space="preserve"> and melt</w:t>
      </w:r>
      <w:r w:rsidR="004A5D26">
        <w:t xml:space="preserve"> (ME)</w:t>
      </w:r>
      <w:r w:rsidR="00F94E71">
        <w:t xml:space="preserve"> shown in Figure 1c in the manuscript from MAR and RACMO2 at the closest grid point to our field site at </w:t>
      </w:r>
      <w:r w:rsidR="00F94E71" w:rsidRPr="0000174D">
        <w:rPr>
          <w:color w:val="000000"/>
        </w:rPr>
        <w:t>-70.80S, -71.71W</w:t>
      </w:r>
      <w:r w:rsidR="00F94E71">
        <w:rPr>
          <w:color w:val="000000"/>
        </w:rPr>
        <w:t>.</w:t>
      </w:r>
    </w:p>
    <w:p w14:paraId="3A0E87CA" w14:textId="77777777" w:rsidR="00227834" w:rsidRPr="00F561D0" w:rsidRDefault="00F561D0" w:rsidP="00227834">
      <w:pPr>
        <w:spacing w:before="240"/>
        <w:rPr>
          <w:szCs w:val="24"/>
        </w:rPr>
      </w:pPr>
      <w:r>
        <w:rPr>
          <w:b/>
          <w:bCs/>
          <w:color w:val="222222"/>
          <w:szCs w:val="24"/>
          <w:shd w:val="clear" w:color="auto" w:fill="FFFFFF"/>
        </w:rPr>
        <w:t>Table S2.</w:t>
      </w:r>
      <w:r w:rsidR="00227834" w:rsidRPr="00227834">
        <w:rPr>
          <w:b/>
          <w:bCs/>
          <w:color w:val="222222"/>
          <w:szCs w:val="24"/>
          <w:shd w:val="clear" w:color="auto" w:fill="FFFFFF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20"/>
        <w:gridCol w:w="1260"/>
        <w:gridCol w:w="1559"/>
        <w:gridCol w:w="1559"/>
      </w:tblGrid>
      <w:tr w:rsidR="00D77507" w:rsidRPr="00F561D0" w14:paraId="4E84B368" w14:textId="77777777" w:rsidTr="00734BAC">
        <w:trPr>
          <w:trHeight w:val="864"/>
        </w:trPr>
        <w:tc>
          <w:tcPr>
            <w:tcW w:w="3235" w:type="dxa"/>
          </w:tcPr>
          <w:p w14:paraId="5A7C280C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68194221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Q</w:t>
            </w:r>
          </w:p>
        </w:tc>
        <w:tc>
          <w:tcPr>
            <w:tcW w:w="1260" w:type="dxa"/>
          </w:tcPr>
          <w:p w14:paraId="2C0AC9CD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K</w:t>
            </w:r>
          </w:p>
        </w:tc>
        <w:tc>
          <w:tcPr>
            <w:tcW w:w="1559" w:type="dxa"/>
          </w:tcPr>
          <w:p w14:paraId="70175088" w14:textId="77777777" w:rsidR="00D77507" w:rsidRPr="00F561D0" w:rsidRDefault="0079498A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∂H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∂x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4979537D" w14:textId="11709A63" w:rsidR="00D77507" w:rsidRPr="00F561D0" w:rsidRDefault="008A16D6" w:rsidP="00F561D0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t>Deviation from Observed Slope</w:t>
            </w:r>
          </w:p>
        </w:tc>
      </w:tr>
      <w:tr w:rsidR="00D77507" w:rsidRPr="00F561D0" w14:paraId="07B1A9BC" w14:textId="77777777" w:rsidTr="00F561D0">
        <w:trPr>
          <w:trHeight w:val="890"/>
        </w:trPr>
        <w:tc>
          <w:tcPr>
            <w:tcW w:w="3235" w:type="dxa"/>
          </w:tcPr>
          <w:p w14:paraId="53E3842E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Observed</w:t>
            </w:r>
          </w:p>
        </w:tc>
        <w:tc>
          <w:tcPr>
            <w:tcW w:w="720" w:type="dxa"/>
          </w:tcPr>
          <w:p w14:paraId="5A52CC06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?</w:t>
            </w:r>
          </w:p>
        </w:tc>
        <w:tc>
          <w:tcPr>
            <w:tcW w:w="1260" w:type="dxa"/>
          </w:tcPr>
          <w:p w14:paraId="3569F0ED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1.38</w:t>
            </w:r>
            <w:r w:rsidRPr="00227834">
              <w:rPr>
                <w:color w:val="1C1D1E"/>
                <w:szCs w:val="24"/>
                <w:shd w:val="clear" w:color="auto" w:fill="FFFFFF"/>
              </w:rPr>
              <w:t>×</w:t>
            </w:r>
            <w:r w:rsidRPr="00227834">
              <w:rPr>
                <w:color w:val="222222"/>
                <w:szCs w:val="24"/>
                <w:shd w:val="clear" w:color="auto" w:fill="FFFFFF"/>
              </w:rPr>
              <w:t>10</w:t>
            </w:r>
            <w:r w:rsidRPr="00227834">
              <w:rPr>
                <w:color w:val="222222"/>
                <w:szCs w:val="24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559" w:type="dxa"/>
          </w:tcPr>
          <w:p w14:paraId="5CDA654B" w14:textId="292C5810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3800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416CD845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-</w:t>
            </w:r>
          </w:p>
        </w:tc>
      </w:tr>
      <w:tr w:rsidR="00D77507" w:rsidRPr="00F561D0" w14:paraId="2451EE77" w14:textId="77777777" w:rsidTr="00F561D0">
        <w:trPr>
          <w:trHeight w:val="926"/>
        </w:trPr>
        <w:tc>
          <w:tcPr>
            <w:tcW w:w="3235" w:type="dxa"/>
          </w:tcPr>
          <w:p w14:paraId="45C93C88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color w:val="222222"/>
                <w:szCs w:val="24"/>
                <w:shd w:val="clear" w:color="auto" w:fill="FFFFFF"/>
              </w:rPr>
              <w:t xml:space="preserve">High Recharge </w:t>
            </w:r>
            <w:r w:rsidRPr="00227834">
              <w:rPr>
                <w:color w:val="222222"/>
                <w:szCs w:val="24"/>
                <w:shd w:val="clear" w:color="auto" w:fill="FFFFFF"/>
              </w:rPr>
              <w:t>(MAR</w:t>
            </w:r>
            <w:r w:rsidRPr="00F561D0">
              <w:rPr>
                <w:color w:val="222222"/>
                <w:szCs w:val="24"/>
                <w:shd w:val="clear" w:color="auto" w:fill="FFFFFF"/>
              </w:rPr>
              <w:t>)</w:t>
            </w:r>
          </w:p>
        </w:tc>
        <w:tc>
          <w:tcPr>
            <w:tcW w:w="720" w:type="dxa"/>
          </w:tcPr>
          <w:p w14:paraId="5423FFD4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425</w:t>
            </w:r>
          </w:p>
        </w:tc>
        <w:tc>
          <w:tcPr>
            <w:tcW w:w="1260" w:type="dxa"/>
          </w:tcPr>
          <w:p w14:paraId="041A3A5E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1.38</w:t>
            </w:r>
            <w:r w:rsidRPr="00227834">
              <w:rPr>
                <w:color w:val="1C1D1E"/>
                <w:szCs w:val="24"/>
                <w:shd w:val="clear" w:color="auto" w:fill="FFFFFF"/>
              </w:rPr>
              <w:t>×</w:t>
            </w:r>
            <w:r w:rsidRPr="00227834">
              <w:rPr>
                <w:color w:val="222222"/>
                <w:szCs w:val="24"/>
                <w:shd w:val="clear" w:color="auto" w:fill="FFFFFF"/>
              </w:rPr>
              <w:t>10</w:t>
            </w:r>
            <w:r w:rsidRPr="00227834">
              <w:rPr>
                <w:color w:val="222222"/>
                <w:szCs w:val="24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559" w:type="dxa"/>
          </w:tcPr>
          <w:p w14:paraId="46F493C2" w14:textId="25DAF62C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3800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2FD548AD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9x</w:t>
            </w:r>
          </w:p>
        </w:tc>
      </w:tr>
      <w:tr w:rsidR="00D77507" w:rsidRPr="00F561D0" w14:paraId="2DF08D98" w14:textId="77777777" w:rsidTr="00F561D0">
        <w:trPr>
          <w:trHeight w:val="890"/>
        </w:trPr>
        <w:tc>
          <w:tcPr>
            <w:tcW w:w="3235" w:type="dxa"/>
          </w:tcPr>
          <w:p w14:paraId="763607FF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High Recharge (RACMO2)</w:t>
            </w:r>
          </w:p>
        </w:tc>
        <w:tc>
          <w:tcPr>
            <w:tcW w:w="720" w:type="dxa"/>
          </w:tcPr>
          <w:p w14:paraId="11DDA764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250</w:t>
            </w:r>
          </w:p>
        </w:tc>
        <w:tc>
          <w:tcPr>
            <w:tcW w:w="1260" w:type="dxa"/>
          </w:tcPr>
          <w:p w14:paraId="7F6B7493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1.38</w:t>
            </w:r>
            <w:r w:rsidRPr="00227834">
              <w:rPr>
                <w:color w:val="1C1D1E"/>
                <w:szCs w:val="24"/>
                <w:shd w:val="clear" w:color="auto" w:fill="FFFFFF"/>
              </w:rPr>
              <w:t>×</w:t>
            </w:r>
            <w:r w:rsidRPr="00227834">
              <w:rPr>
                <w:color w:val="222222"/>
                <w:szCs w:val="24"/>
                <w:shd w:val="clear" w:color="auto" w:fill="FFFFFF"/>
              </w:rPr>
              <w:t>10</w:t>
            </w:r>
            <w:r w:rsidRPr="00227834">
              <w:rPr>
                <w:color w:val="222222"/>
                <w:szCs w:val="24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559" w:type="dxa"/>
          </w:tcPr>
          <w:p w14:paraId="17793928" w14:textId="2B4DB12C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3800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2092771E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5x</w:t>
            </w:r>
          </w:p>
        </w:tc>
      </w:tr>
      <w:tr w:rsidR="00D77507" w:rsidRPr="00F561D0" w14:paraId="66238749" w14:textId="77777777" w:rsidTr="00F561D0">
        <w:trPr>
          <w:trHeight w:val="890"/>
        </w:trPr>
        <w:tc>
          <w:tcPr>
            <w:tcW w:w="3235" w:type="dxa"/>
          </w:tcPr>
          <w:p w14:paraId="0074D5F1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Medium Recharge (RACMO2)</w:t>
            </w:r>
          </w:p>
        </w:tc>
        <w:tc>
          <w:tcPr>
            <w:tcW w:w="720" w:type="dxa"/>
          </w:tcPr>
          <w:p w14:paraId="1D402A3D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125</w:t>
            </w:r>
          </w:p>
        </w:tc>
        <w:tc>
          <w:tcPr>
            <w:tcW w:w="1260" w:type="dxa"/>
          </w:tcPr>
          <w:p w14:paraId="41A115AB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1.38</w:t>
            </w:r>
            <w:r w:rsidRPr="00227834">
              <w:rPr>
                <w:color w:val="1C1D1E"/>
                <w:szCs w:val="24"/>
                <w:shd w:val="clear" w:color="auto" w:fill="FFFFFF"/>
              </w:rPr>
              <w:t>×</w:t>
            </w:r>
            <w:r w:rsidRPr="00227834">
              <w:rPr>
                <w:color w:val="222222"/>
                <w:szCs w:val="24"/>
                <w:shd w:val="clear" w:color="auto" w:fill="FFFFFF"/>
              </w:rPr>
              <w:t>10</w:t>
            </w:r>
            <w:r w:rsidRPr="00227834">
              <w:rPr>
                <w:color w:val="222222"/>
                <w:szCs w:val="24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559" w:type="dxa"/>
          </w:tcPr>
          <w:p w14:paraId="4A0154D6" w14:textId="769C33EA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3800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30206731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2x</w:t>
            </w:r>
          </w:p>
        </w:tc>
      </w:tr>
      <w:tr w:rsidR="00D77507" w:rsidRPr="00F561D0" w14:paraId="3DBF1FC6" w14:textId="77777777" w:rsidTr="00F561D0">
        <w:trPr>
          <w:trHeight w:val="890"/>
        </w:trPr>
        <w:tc>
          <w:tcPr>
            <w:tcW w:w="3235" w:type="dxa"/>
          </w:tcPr>
          <w:p w14:paraId="7C09D61B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Low Recharge (RACMO2)</w:t>
            </w:r>
          </w:p>
        </w:tc>
        <w:tc>
          <w:tcPr>
            <w:tcW w:w="720" w:type="dxa"/>
          </w:tcPr>
          <w:p w14:paraId="2067BACD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62.5</w:t>
            </w:r>
          </w:p>
        </w:tc>
        <w:tc>
          <w:tcPr>
            <w:tcW w:w="1260" w:type="dxa"/>
          </w:tcPr>
          <w:p w14:paraId="46762104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1.38</w:t>
            </w:r>
            <w:r w:rsidRPr="00227834">
              <w:rPr>
                <w:color w:val="1C1D1E"/>
                <w:szCs w:val="24"/>
                <w:shd w:val="clear" w:color="auto" w:fill="FFFFFF"/>
              </w:rPr>
              <w:t>×</w:t>
            </w:r>
            <w:r w:rsidRPr="00227834">
              <w:rPr>
                <w:color w:val="222222"/>
                <w:szCs w:val="24"/>
                <w:shd w:val="clear" w:color="auto" w:fill="FFFFFF"/>
              </w:rPr>
              <w:t>10</w:t>
            </w:r>
            <w:r w:rsidRPr="00227834">
              <w:rPr>
                <w:color w:val="222222"/>
                <w:szCs w:val="24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559" w:type="dxa"/>
          </w:tcPr>
          <w:p w14:paraId="14FBEC80" w14:textId="7D6FEB5F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3800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1FACA83E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1x</w:t>
            </w:r>
          </w:p>
        </w:tc>
      </w:tr>
      <w:tr w:rsidR="00D77507" w:rsidRPr="00F561D0" w14:paraId="59BE872B" w14:textId="77777777" w:rsidTr="00F561D0">
        <w:trPr>
          <w:trHeight w:val="890"/>
        </w:trPr>
        <w:tc>
          <w:tcPr>
            <w:tcW w:w="3235" w:type="dxa"/>
          </w:tcPr>
          <w:p w14:paraId="6832D32E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Low Recharge (MAR)</w:t>
            </w:r>
          </w:p>
        </w:tc>
        <w:tc>
          <w:tcPr>
            <w:tcW w:w="720" w:type="dxa"/>
          </w:tcPr>
          <w:p w14:paraId="00DC8D44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42.5</w:t>
            </w:r>
          </w:p>
        </w:tc>
        <w:tc>
          <w:tcPr>
            <w:tcW w:w="1260" w:type="dxa"/>
          </w:tcPr>
          <w:p w14:paraId="28241F5B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227834">
              <w:rPr>
                <w:color w:val="222222"/>
                <w:szCs w:val="24"/>
                <w:shd w:val="clear" w:color="auto" w:fill="FFFFFF"/>
              </w:rPr>
              <w:t>1.38</w:t>
            </w:r>
            <w:r w:rsidRPr="00227834">
              <w:rPr>
                <w:color w:val="1C1D1E"/>
                <w:szCs w:val="24"/>
                <w:shd w:val="clear" w:color="auto" w:fill="FFFFFF"/>
              </w:rPr>
              <w:t>×</w:t>
            </w:r>
            <w:r w:rsidRPr="00227834">
              <w:rPr>
                <w:color w:val="222222"/>
                <w:szCs w:val="24"/>
                <w:shd w:val="clear" w:color="auto" w:fill="FFFFFF"/>
              </w:rPr>
              <w:t>10</w:t>
            </w:r>
            <w:r w:rsidRPr="00227834">
              <w:rPr>
                <w:color w:val="222222"/>
                <w:szCs w:val="24"/>
                <w:shd w:val="clear" w:color="auto" w:fill="FFFFFF"/>
                <w:vertAlign w:val="superscript"/>
              </w:rPr>
              <w:t>-4</w:t>
            </w:r>
          </w:p>
        </w:tc>
        <w:tc>
          <w:tcPr>
            <w:tcW w:w="1559" w:type="dxa"/>
          </w:tcPr>
          <w:p w14:paraId="2D067653" w14:textId="1D284678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3800</m:t>
                    </m:r>
                  </m:den>
                </m:f>
              </m:oMath>
            </m:oMathPara>
          </w:p>
        </w:tc>
        <w:tc>
          <w:tcPr>
            <w:tcW w:w="1559" w:type="dxa"/>
          </w:tcPr>
          <w:p w14:paraId="6BF60F86" w14:textId="77777777" w:rsidR="00D77507" w:rsidRPr="00F561D0" w:rsidRDefault="00D77507" w:rsidP="00F561D0">
            <w:pPr>
              <w:spacing w:before="240"/>
              <w:jc w:val="center"/>
              <w:rPr>
                <w:szCs w:val="24"/>
              </w:rPr>
            </w:pPr>
            <w:r w:rsidRPr="00F561D0">
              <w:rPr>
                <w:szCs w:val="24"/>
              </w:rPr>
              <w:t>1x</w:t>
            </w:r>
          </w:p>
        </w:tc>
      </w:tr>
    </w:tbl>
    <w:p w14:paraId="7D546C09" w14:textId="77777777" w:rsidR="00227834" w:rsidRPr="00F561D0" w:rsidRDefault="00227834" w:rsidP="00227834">
      <w:pPr>
        <w:rPr>
          <w:color w:val="222222"/>
          <w:szCs w:val="24"/>
          <w:shd w:val="clear" w:color="auto" w:fill="FFFFFF"/>
        </w:rPr>
      </w:pPr>
    </w:p>
    <w:p w14:paraId="6022AE2E" w14:textId="4542A1D4" w:rsidR="00C9338E" w:rsidRDefault="00227834" w:rsidP="00227834">
      <w:pPr>
        <w:rPr>
          <w:color w:val="222222"/>
          <w:szCs w:val="24"/>
          <w:shd w:val="clear" w:color="auto" w:fill="FFFFFF"/>
        </w:rPr>
      </w:pPr>
      <w:r w:rsidRPr="00F561D0">
        <w:rPr>
          <w:b/>
          <w:color w:val="222222"/>
          <w:szCs w:val="24"/>
          <w:shd w:val="clear" w:color="auto" w:fill="FFFFFF"/>
        </w:rPr>
        <w:t>Table S</w:t>
      </w:r>
      <w:r w:rsidR="00F561D0" w:rsidRPr="00F561D0">
        <w:rPr>
          <w:b/>
          <w:color w:val="222222"/>
          <w:szCs w:val="24"/>
          <w:shd w:val="clear" w:color="auto" w:fill="FFFFFF"/>
        </w:rPr>
        <w:t>2.</w:t>
      </w:r>
      <w:r w:rsidRPr="00F561D0">
        <w:rPr>
          <w:color w:val="222222"/>
          <w:szCs w:val="24"/>
          <w:shd w:val="clear" w:color="auto" w:fill="FFFFFF"/>
        </w:rPr>
        <w:t xml:space="preserve"> SEEP2D modelling of recharge scenarios using different amounts of re</w:t>
      </w:r>
      <w:r w:rsidR="005E205F">
        <w:rPr>
          <w:color w:val="222222"/>
          <w:szCs w:val="24"/>
          <w:shd w:val="clear" w:color="auto" w:fill="FFFFFF"/>
        </w:rPr>
        <w:t>charge input/discharge output (Q</w:t>
      </w:r>
      <w:r w:rsidRPr="00F561D0">
        <w:rPr>
          <w:color w:val="222222"/>
          <w:szCs w:val="24"/>
          <w:shd w:val="clear" w:color="auto" w:fill="FFFFFF"/>
        </w:rPr>
        <w:t xml:space="preserve">, </w:t>
      </w:r>
      <w:proofErr w:type="spellStart"/>
      <w:r w:rsidRPr="00F561D0">
        <w:rPr>
          <w:color w:val="222222"/>
          <w:szCs w:val="24"/>
          <w:shd w:val="clear" w:color="auto" w:fill="FFFFFF"/>
        </w:rPr>
        <w:t>mmWE</w:t>
      </w:r>
      <w:proofErr w:type="spellEnd"/>
      <w:r w:rsidRPr="00F561D0">
        <w:rPr>
          <w:color w:val="222222"/>
          <w:szCs w:val="24"/>
          <w:shd w:val="clear" w:color="auto" w:fill="FFFFFF"/>
        </w:rPr>
        <w:t xml:space="preserve"> yr</w:t>
      </w:r>
      <w:r w:rsidRPr="00F561D0">
        <w:rPr>
          <w:color w:val="222222"/>
          <w:szCs w:val="24"/>
          <w:shd w:val="clear" w:color="auto" w:fill="FFFFFF"/>
          <w:vertAlign w:val="superscript"/>
        </w:rPr>
        <w:t>-1</w:t>
      </w:r>
      <w:r w:rsidRPr="00F561D0">
        <w:rPr>
          <w:color w:val="222222"/>
          <w:szCs w:val="24"/>
          <w:shd w:val="clear" w:color="auto" w:fill="FFFFFF"/>
        </w:rPr>
        <w:t xml:space="preserve">) to determine if the steady state </w:t>
      </w:r>
      <w:r w:rsidR="004C6393">
        <w:rPr>
          <w:color w:val="222222"/>
          <w:szCs w:val="24"/>
          <w:shd w:val="clear" w:color="auto" w:fill="FFFFFF"/>
        </w:rPr>
        <w:t>slope of the water table</w:t>
      </w:r>
      <w:r w:rsidR="004C6393" w:rsidRPr="00F561D0">
        <w:rPr>
          <w:color w:val="222222"/>
          <w:szCs w:val="24"/>
          <w:shd w:val="clear" w:color="auto" w:fill="FFFFFF"/>
        </w:rPr>
        <w:t xml:space="preserve"> </w:t>
      </w:r>
      <w:r w:rsidRPr="00F561D0">
        <w:rPr>
          <w:color w:val="222222"/>
          <w:szCs w:val="24"/>
          <w:shd w:val="clear" w:color="auto" w:fill="FFFFFF"/>
        </w:rPr>
        <w:lastRenderedPageBreak/>
        <w:t>(∂H/∂x, m/m) outcome is plausible</w:t>
      </w:r>
      <w:r w:rsidR="00EC6449">
        <w:rPr>
          <w:color w:val="222222"/>
          <w:szCs w:val="24"/>
          <w:shd w:val="clear" w:color="auto" w:fill="FFFFFF"/>
        </w:rPr>
        <w:t>.</w:t>
      </w:r>
      <w:r w:rsidRPr="00F561D0">
        <w:rPr>
          <w:color w:val="222222"/>
          <w:szCs w:val="24"/>
          <w:shd w:val="clear" w:color="auto" w:fill="FFFFFF"/>
        </w:rPr>
        <w:t xml:space="preserve"> </w:t>
      </w:r>
      <w:r w:rsidR="00EC6449">
        <w:rPr>
          <w:color w:val="222222"/>
          <w:szCs w:val="24"/>
          <w:shd w:val="clear" w:color="auto" w:fill="FFFFFF"/>
        </w:rPr>
        <w:t>H</w:t>
      </w:r>
      <w:r w:rsidRPr="00F561D0">
        <w:rPr>
          <w:color w:val="222222"/>
          <w:szCs w:val="24"/>
          <w:shd w:val="clear" w:color="auto" w:fill="FFFFFF"/>
        </w:rPr>
        <w:t>ydraulic conductivity</w:t>
      </w:r>
      <w:r w:rsidR="00EC6449">
        <w:rPr>
          <w:color w:val="222222"/>
          <w:szCs w:val="24"/>
          <w:shd w:val="clear" w:color="auto" w:fill="FFFFFF"/>
        </w:rPr>
        <w:t xml:space="preserve"> (K) is in units </w:t>
      </w:r>
      <w:proofErr w:type="gramStart"/>
      <w:r w:rsidR="00EC6449">
        <w:rPr>
          <w:color w:val="222222"/>
          <w:szCs w:val="24"/>
          <w:shd w:val="clear" w:color="auto" w:fill="FFFFFF"/>
        </w:rPr>
        <w:t xml:space="preserve">of </w:t>
      </w:r>
      <w:r w:rsidRPr="00F561D0">
        <w:rPr>
          <w:color w:val="222222"/>
          <w:szCs w:val="24"/>
          <w:shd w:val="clear" w:color="auto" w:fill="FFFFFF"/>
        </w:rPr>
        <w:t xml:space="preserve"> m</w:t>
      </w:r>
      <w:proofErr w:type="gramEnd"/>
      <w:r w:rsidRPr="00F561D0">
        <w:rPr>
          <w:color w:val="222222"/>
          <w:szCs w:val="24"/>
          <w:shd w:val="clear" w:color="auto" w:fill="FFFFFF"/>
        </w:rPr>
        <w:t xml:space="preserve"> s</w:t>
      </w:r>
      <w:r w:rsidRPr="00F561D0">
        <w:rPr>
          <w:color w:val="222222"/>
          <w:szCs w:val="24"/>
          <w:shd w:val="clear" w:color="auto" w:fill="FFFFFF"/>
          <w:vertAlign w:val="superscript"/>
        </w:rPr>
        <w:t>-1</w:t>
      </w:r>
      <w:r w:rsidRPr="00F561D0">
        <w:rPr>
          <w:color w:val="222222"/>
          <w:szCs w:val="24"/>
          <w:shd w:val="clear" w:color="auto" w:fill="FFFFFF"/>
        </w:rPr>
        <w:t>). The</w:t>
      </w:r>
      <w:r w:rsidR="008A16D6">
        <w:rPr>
          <w:color w:val="222222"/>
          <w:szCs w:val="24"/>
          <w:shd w:val="clear" w:color="auto" w:fill="FFFFFF"/>
        </w:rPr>
        <w:t xml:space="preserve"> final column shows the</w:t>
      </w:r>
      <w:r w:rsidRPr="00F561D0">
        <w:rPr>
          <w:color w:val="222222"/>
          <w:szCs w:val="24"/>
          <w:shd w:val="clear" w:color="auto" w:fill="FFFFFF"/>
        </w:rPr>
        <w:t xml:space="preserve"> </w:t>
      </w:r>
      <w:r w:rsidR="008A16D6">
        <w:rPr>
          <w:color w:val="222222"/>
          <w:szCs w:val="24"/>
          <w:shd w:val="clear" w:color="auto" w:fill="FFFFFF"/>
        </w:rPr>
        <w:t xml:space="preserve">multiplicative </w:t>
      </w:r>
      <w:r w:rsidRPr="00F561D0">
        <w:rPr>
          <w:color w:val="222222"/>
          <w:szCs w:val="24"/>
          <w:shd w:val="clear" w:color="auto" w:fill="FFFFFF"/>
        </w:rPr>
        <w:t xml:space="preserve">factor by which the scenario deviates from the observed </w:t>
      </w:r>
      <w:r w:rsidR="008A16D6">
        <w:rPr>
          <w:color w:val="222222"/>
          <w:szCs w:val="24"/>
          <w:shd w:val="clear" w:color="auto" w:fill="FFFFFF"/>
        </w:rPr>
        <w:t xml:space="preserve">slope </w:t>
      </w:r>
      <w:r w:rsidRPr="00F561D0">
        <w:rPr>
          <w:color w:val="222222"/>
          <w:szCs w:val="24"/>
          <w:shd w:val="clear" w:color="auto" w:fill="FFFFFF"/>
        </w:rPr>
        <w:t>va</w:t>
      </w:r>
      <w:r w:rsidR="008A16D6">
        <w:rPr>
          <w:color w:val="222222"/>
          <w:szCs w:val="24"/>
          <w:shd w:val="clear" w:color="auto" w:fill="FFFFFF"/>
        </w:rPr>
        <w:t>lue</w:t>
      </w:r>
      <w:r w:rsidRPr="00F561D0">
        <w:rPr>
          <w:color w:val="222222"/>
          <w:szCs w:val="24"/>
          <w:shd w:val="clear" w:color="auto" w:fill="FFFFFF"/>
        </w:rPr>
        <w:t xml:space="preserve">.  </w:t>
      </w:r>
    </w:p>
    <w:p w14:paraId="2D81160B" w14:textId="77777777" w:rsidR="00227834" w:rsidRDefault="00C9338E" w:rsidP="00DF4B8F">
      <w:pPr>
        <w:spacing w:after="120"/>
        <w:rPr>
          <w:b/>
          <w:color w:val="222222"/>
          <w:szCs w:val="24"/>
          <w:shd w:val="clear" w:color="auto" w:fill="FFFFFF"/>
        </w:rPr>
      </w:pPr>
      <w:r w:rsidRPr="00C9338E">
        <w:rPr>
          <w:b/>
          <w:color w:val="222222"/>
          <w:szCs w:val="24"/>
          <w:shd w:val="clear" w:color="auto" w:fill="FFFFFF"/>
        </w:rPr>
        <w:t>References</w:t>
      </w:r>
      <w:r w:rsidR="00227834" w:rsidRPr="00C9338E">
        <w:rPr>
          <w:b/>
          <w:color w:val="222222"/>
          <w:szCs w:val="24"/>
          <w:shd w:val="clear" w:color="auto" w:fill="FFFFFF"/>
        </w:rPr>
        <w:t> </w:t>
      </w:r>
    </w:p>
    <w:p w14:paraId="463515D2" w14:textId="1817FFA3" w:rsidR="00BF7594" w:rsidRDefault="00BF7594" w:rsidP="00BF7594">
      <w:pPr>
        <w:spacing w:line="480" w:lineRule="auto"/>
        <w:ind w:hanging="180"/>
        <w:rPr>
          <w:sz w:val="20"/>
        </w:rPr>
      </w:pPr>
      <w:r w:rsidRPr="0079498A">
        <w:rPr>
          <w:sz w:val="20"/>
        </w:rPr>
        <w:t xml:space="preserve">Cherry, J., &amp; Freeze, R. A. (1979). </w:t>
      </w:r>
      <w:r w:rsidRPr="0079498A">
        <w:rPr>
          <w:i/>
          <w:iCs/>
          <w:sz w:val="20"/>
        </w:rPr>
        <w:t>Groundwater</w:t>
      </w:r>
      <w:r w:rsidRPr="0079498A">
        <w:rPr>
          <w:sz w:val="20"/>
        </w:rPr>
        <w:t>. Englewood Cliffs, NJ: Prentice Hall.</w:t>
      </w:r>
    </w:p>
    <w:p w14:paraId="6BB6D17A" w14:textId="4A54AA76" w:rsidR="003B5253" w:rsidRPr="003B5253" w:rsidRDefault="003B5253" w:rsidP="003B5253">
      <w:pPr>
        <w:spacing w:line="480" w:lineRule="auto"/>
        <w:ind w:hanging="180"/>
        <w:rPr>
          <w:sz w:val="20"/>
        </w:rPr>
      </w:pPr>
      <w:proofErr w:type="spellStart"/>
      <w:r w:rsidRPr="0079498A">
        <w:rPr>
          <w:sz w:val="20"/>
        </w:rPr>
        <w:t>Fornasini</w:t>
      </w:r>
      <w:proofErr w:type="spellEnd"/>
      <w:r w:rsidRPr="0079498A">
        <w:rPr>
          <w:sz w:val="20"/>
        </w:rPr>
        <w:t xml:space="preserve">, P. (2008). </w:t>
      </w:r>
      <w:r w:rsidRPr="0079498A">
        <w:rPr>
          <w:i/>
          <w:iCs/>
          <w:sz w:val="20"/>
        </w:rPr>
        <w:t>The Uncertainty in Physical Measurements</w:t>
      </w:r>
      <w:r w:rsidRPr="0079498A">
        <w:rPr>
          <w:sz w:val="20"/>
        </w:rPr>
        <w:t xml:space="preserve">. New York, NY: Springer New York. </w:t>
      </w:r>
      <w:hyperlink r:id="rId13" w:history="1">
        <w:r w:rsidRPr="0079498A">
          <w:rPr>
            <w:rStyle w:val="Hyperlink"/>
            <w:sz w:val="20"/>
          </w:rPr>
          <w:t>https://doi.org/10.1007/978-0-387-78650-6</w:t>
        </w:r>
      </w:hyperlink>
    </w:p>
    <w:p w14:paraId="5A40FA43" w14:textId="0CBCE8A1" w:rsidR="00FB7087" w:rsidRPr="00FB7087" w:rsidRDefault="00FB7087" w:rsidP="00FB7087">
      <w:pPr>
        <w:spacing w:line="480" w:lineRule="auto"/>
        <w:ind w:hanging="180"/>
        <w:rPr>
          <w:sz w:val="20"/>
        </w:rPr>
      </w:pPr>
      <w:r w:rsidRPr="00FB7087">
        <w:rPr>
          <w:sz w:val="20"/>
        </w:rPr>
        <w:t xml:space="preserve">Koenig, L. S., Miège, C., Forster, R. R., &amp; Brucker, L. (2014). Initial in situ measurements of perennial meltwater storage in the Greenland firn aquifer. </w:t>
      </w:r>
      <w:r w:rsidRPr="00FB7087">
        <w:rPr>
          <w:i/>
          <w:iCs/>
          <w:sz w:val="20"/>
        </w:rPr>
        <w:t>Geophysical Research Letters</w:t>
      </w:r>
      <w:r w:rsidRPr="00FB7087">
        <w:rPr>
          <w:sz w:val="20"/>
        </w:rPr>
        <w:t xml:space="preserve">, </w:t>
      </w:r>
      <w:r w:rsidRPr="00FB7087">
        <w:rPr>
          <w:i/>
          <w:iCs/>
          <w:sz w:val="20"/>
        </w:rPr>
        <w:t>41</w:t>
      </w:r>
      <w:r w:rsidRPr="00FB7087">
        <w:rPr>
          <w:sz w:val="20"/>
        </w:rPr>
        <w:t xml:space="preserve">(1), 81–85. </w:t>
      </w:r>
      <w:hyperlink r:id="rId14" w:history="1">
        <w:r w:rsidRPr="00FB7087">
          <w:rPr>
            <w:rStyle w:val="Hyperlink"/>
            <w:sz w:val="20"/>
          </w:rPr>
          <w:t>https://doi.org/10.1002/2013GL058083</w:t>
        </w:r>
      </w:hyperlink>
    </w:p>
    <w:p w14:paraId="09CDB116" w14:textId="77777777" w:rsidR="00FB7087" w:rsidRPr="00FB7087" w:rsidRDefault="00FB7087" w:rsidP="00FB7087">
      <w:pPr>
        <w:spacing w:line="480" w:lineRule="auto"/>
        <w:ind w:hanging="180"/>
        <w:rPr>
          <w:sz w:val="20"/>
        </w:rPr>
      </w:pPr>
      <w:r w:rsidRPr="00FB7087">
        <w:rPr>
          <w:sz w:val="20"/>
        </w:rPr>
        <w:t xml:space="preserve">Kovacs, A., </w:t>
      </w:r>
      <w:proofErr w:type="spellStart"/>
      <w:r w:rsidRPr="00FB7087">
        <w:rPr>
          <w:sz w:val="20"/>
        </w:rPr>
        <w:t>Gow</w:t>
      </w:r>
      <w:proofErr w:type="spellEnd"/>
      <w:r w:rsidRPr="00FB7087">
        <w:rPr>
          <w:sz w:val="20"/>
        </w:rPr>
        <w:t xml:space="preserve">, A. J., &amp; Morey, R. M. (1995). The in-situ dielectric constant of polar firn revisited. </w:t>
      </w:r>
      <w:r w:rsidRPr="00FB7087">
        <w:rPr>
          <w:i/>
          <w:iCs/>
          <w:sz w:val="20"/>
        </w:rPr>
        <w:t>Cold Regions Science and Technology</w:t>
      </w:r>
      <w:r w:rsidRPr="00FB7087">
        <w:rPr>
          <w:sz w:val="20"/>
        </w:rPr>
        <w:t xml:space="preserve">, </w:t>
      </w:r>
      <w:r w:rsidRPr="00FB7087">
        <w:rPr>
          <w:i/>
          <w:iCs/>
          <w:sz w:val="20"/>
        </w:rPr>
        <w:t>23</w:t>
      </w:r>
      <w:r w:rsidRPr="00FB7087">
        <w:rPr>
          <w:sz w:val="20"/>
        </w:rPr>
        <w:t xml:space="preserve">(3), 245–256. </w:t>
      </w:r>
      <w:hyperlink r:id="rId15" w:history="1">
        <w:r w:rsidRPr="00FB7087">
          <w:rPr>
            <w:rStyle w:val="Hyperlink"/>
            <w:sz w:val="20"/>
          </w:rPr>
          <w:t>https://doi.org/10.1016/0165-232X(94)00016-Q</w:t>
        </w:r>
      </w:hyperlink>
    </w:p>
    <w:p w14:paraId="330F5D2E" w14:textId="77777777" w:rsidR="00FB7087" w:rsidRPr="00FB7087" w:rsidRDefault="00FB7087" w:rsidP="00FB7087">
      <w:pPr>
        <w:spacing w:line="480" w:lineRule="auto"/>
        <w:ind w:hanging="180"/>
        <w:rPr>
          <w:sz w:val="20"/>
        </w:rPr>
      </w:pPr>
      <w:proofErr w:type="spellStart"/>
      <w:r w:rsidRPr="00FB7087">
        <w:rPr>
          <w:sz w:val="20"/>
        </w:rPr>
        <w:t>Pitrak</w:t>
      </w:r>
      <w:proofErr w:type="spellEnd"/>
      <w:r w:rsidRPr="00FB7087">
        <w:rPr>
          <w:sz w:val="20"/>
        </w:rPr>
        <w:t xml:space="preserve">, M., Mares, S., &amp; </w:t>
      </w:r>
      <w:proofErr w:type="spellStart"/>
      <w:r w:rsidRPr="00FB7087">
        <w:rPr>
          <w:sz w:val="20"/>
        </w:rPr>
        <w:t>Kobr</w:t>
      </w:r>
      <w:proofErr w:type="spellEnd"/>
      <w:r w:rsidRPr="00FB7087">
        <w:rPr>
          <w:sz w:val="20"/>
        </w:rPr>
        <w:t xml:space="preserve">, M. (2007). A Simple Borehole Dilution Technique in Measuring Horizontal Ground Water Flow. </w:t>
      </w:r>
      <w:r w:rsidRPr="00FB7087">
        <w:rPr>
          <w:i/>
          <w:iCs/>
          <w:sz w:val="20"/>
        </w:rPr>
        <w:t>Ground Water</w:t>
      </w:r>
      <w:r w:rsidRPr="00FB7087">
        <w:rPr>
          <w:sz w:val="20"/>
        </w:rPr>
        <w:t xml:space="preserve">, </w:t>
      </w:r>
      <w:r w:rsidRPr="00FB7087">
        <w:rPr>
          <w:i/>
          <w:iCs/>
          <w:sz w:val="20"/>
        </w:rPr>
        <w:t>45</w:t>
      </w:r>
      <w:r w:rsidRPr="00FB7087">
        <w:rPr>
          <w:sz w:val="20"/>
        </w:rPr>
        <w:t xml:space="preserve">(1), 89–92. </w:t>
      </w:r>
      <w:hyperlink r:id="rId16" w:history="1">
        <w:r w:rsidRPr="00FB7087">
          <w:rPr>
            <w:rStyle w:val="Hyperlink"/>
            <w:sz w:val="20"/>
          </w:rPr>
          <w:t>https://doi.org/10.1111/j.1745-6584.2006.00258.x</w:t>
        </w:r>
      </w:hyperlink>
    </w:p>
    <w:p w14:paraId="6F766C6C" w14:textId="77777777" w:rsidR="00FB7087" w:rsidRPr="00FB7087" w:rsidRDefault="00FB7087" w:rsidP="00FB7087">
      <w:pPr>
        <w:spacing w:line="480" w:lineRule="auto"/>
        <w:ind w:hanging="180"/>
        <w:rPr>
          <w:sz w:val="20"/>
        </w:rPr>
      </w:pPr>
      <w:proofErr w:type="spellStart"/>
      <w:r w:rsidRPr="00FB7087">
        <w:rPr>
          <w:sz w:val="20"/>
        </w:rPr>
        <w:t>Studinger</w:t>
      </w:r>
      <w:proofErr w:type="spellEnd"/>
      <w:r w:rsidRPr="00FB7087">
        <w:rPr>
          <w:sz w:val="20"/>
        </w:rPr>
        <w:t xml:space="preserve">, M. 2014, updated 2020. </w:t>
      </w:r>
      <w:proofErr w:type="spellStart"/>
      <w:r w:rsidRPr="00FB7087">
        <w:rPr>
          <w:sz w:val="20"/>
        </w:rPr>
        <w:t>IceBridge</w:t>
      </w:r>
      <w:proofErr w:type="spellEnd"/>
      <w:r w:rsidRPr="00FB7087">
        <w:rPr>
          <w:sz w:val="20"/>
        </w:rPr>
        <w:t xml:space="preserve"> ATM L2 </w:t>
      </w:r>
      <w:proofErr w:type="spellStart"/>
      <w:r w:rsidRPr="00FB7087">
        <w:rPr>
          <w:sz w:val="20"/>
        </w:rPr>
        <w:t>Icessn</w:t>
      </w:r>
      <w:proofErr w:type="spellEnd"/>
      <w:r w:rsidRPr="00FB7087">
        <w:rPr>
          <w:sz w:val="20"/>
        </w:rPr>
        <w:t xml:space="preserve"> Elevation, Slope, and Roughness, Version 2. [Subset Used: 2014]. Boulder, Colorado USA. NASA National Snow and Ice Data Center Distributed Active Archive Center. </w:t>
      </w:r>
      <w:proofErr w:type="spellStart"/>
      <w:proofErr w:type="gramStart"/>
      <w:r w:rsidRPr="00FB7087">
        <w:rPr>
          <w:sz w:val="20"/>
        </w:rPr>
        <w:t>doi</w:t>
      </w:r>
      <w:proofErr w:type="spellEnd"/>
      <w:proofErr w:type="gramEnd"/>
      <w:r w:rsidRPr="00FB7087">
        <w:rPr>
          <w:sz w:val="20"/>
        </w:rPr>
        <w:t xml:space="preserve">: https://doi.org/10.5067/CPRXXK3F39RV. [Date </w:t>
      </w:r>
      <w:proofErr w:type="gramStart"/>
      <w:r w:rsidRPr="00FB7087">
        <w:rPr>
          <w:sz w:val="20"/>
        </w:rPr>
        <w:t>Accessed:</w:t>
      </w:r>
      <w:proofErr w:type="gramEnd"/>
      <w:r w:rsidRPr="00FB7087">
        <w:rPr>
          <w:sz w:val="20"/>
        </w:rPr>
        <w:t xml:space="preserve"> 2018]. (n.d.).</w:t>
      </w:r>
    </w:p>
    <w:p w14:paraId="4BF8BEC0" w14:textId="01928D98" w:rsidR="009A50DF" w:rsidRPr="00DF4B8F" w:rsidRDefault="009A50DF" w:rsidP="00DF4B8F">
      <w:pPr>
        <w:spacing w:line="480" w:lineRule="auto"/>
        <w:ind w:hanging="180"/>
        <w:rPr>
          <w:sz w:val="20"/>
        </w:rPr>
      </w:pPr>
    </w:p>
    <w:sectPr w:rsidR="009A50DF" w:rsidRPr="00DF4B8F" w:rsidSect="00F561D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C6B"/>
    <w:multiLevelType w:val="hybridMultilevel"/>
    <w:tmpl w:val="B5D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C"/>
    <w:rsid w:val="000064EA"/>
    <w:rsid w:val="00022502"/>
    <w:rsid w:val="00086A41"/>
    <w:rsid w:val="00095220"/>
    <w:rsid w:val="000D4C90"/>
    <w:rsid w:val="000F15EB"/>
    <w:rsid w:val="00100882"/>
    <w:rsid w:val="00173EBE"/>
    <w:rsid w:val="00181054"/>
    <w:rsid w:val="001B3968"/>
    <w:rsid w:val="00210325"/>
    <w:rsid w:val="00227834"/>
    <w:rsid w:val="00230ED8"/>
    <w:rsid w:val="002515A1"/>
    <w:rsid w:val="002552F5"/>
    <w:rsid w:val="00354F6F"/>
    <w:rsid w:val="00384FE5"/>
    <w:rsid w:val="003B5253"/>
    <w:rsid w:val="003F2969"/>
    <w:rsid w:val="00404DAC"/>
    <w:rsid w:val="00477FE7"/>
    <w:rsid w:val="004869FA"/>
    <w:rsid w:val="004A5D26"/>
    <w:rsid w:val="004C6393"/>
    <w:rsid w:val="005162FB"/>
    <w:rsid w:val="005E205F"/>
    <w:rsid w:val="006129D7"/>
    <w:rsid w:val="006559EF"/>
    <w:rsid w:val="0067390E"/>
    <w:rsid w:val="00692A36"/>
    <w:rsid w:val="006958AC"/>
    <w:rsid w:val="006F325B"/>
    <w:rsid w:val="00714916"/>
    <w:rsid w:val="00734BAC"/>
    <w:rsid w:val="00737EFF"/>
    <w:rsid w:val="0079498A"/>
    <w:rsid w:val="00854018"/>
    <w:rsid w:val="00854A3D"/>
    <w:rsid w:val="00854B0B"/>
    <w:rsid w:val="00855BF7"/>
    <w:rsid w:val="008774DD"/>
    <w:rsid w:val="008A16D6"/>
    <w:rsid w:val="008B4261"/>
    <w:rsid w:val="00953C3F"/>
    <w:rsid w:val="0098467F"/>
    <w:rsid w:val="00990D1C"/>
    <w:rsid w:val="009A50DF"/>
    <w:rsid w:val="009A72D5"/>
    <w:rsid w:val="009F32EE"/>
    <w:rsid w:val="00A20559"/>
    <w:rsid w:val="00A3493F"/>
    <w:rsid w:val="00A57371"/>
    <w:rsid w:val="00A95FFE"/>
    <w:rsid w:val="00AB4862"/>
    <w:rsid w:val="00AE7CA3"/>
    <w:rsid w:val="00B31D4B"/>
    <w:rsid w:val="00B558A4"/>
    <w:rsid w:val="00BA16AF"/>
    <w:rsid w:val="00BC26AD"/>
    <w:rsid w:val="00BD031C"/>
    <w:rsid w:val="00BF7594"/>
    <w:rsid w:val="00C81B57"/>
    <w:rsid w:val="00C9338E"/>
    <w:rsid w:val="00D6530F"/>
    <w:rsid w:val="00D73B33"/>
    <w:rsid w:val="00D77507"/>
    <w:rsid w:val="00D77687"/>
    <w:rsid w:val="00D85B94"/>
    <w:rsid w:val="00DB1690"/>
    <w:rsid w:val="00DE5B7B"/>
    <w:rsid w:val="00DF4B8F"/>
    <w:rsid w:val="00E30B0C"/>
    <w:rsid w:val="00E523A4"/>
    <w:rsid w:val="00E77620"/>
    <w:rsid w:val="00EA4071"/>
    <w:rsid w:val="00EC6449"/>
    <w:rsid w:val="00F03D77"/>
    <w:rsid w:val="00F122E1"/>
    <w:rsid w:val="00F222F2"/>
    <w:rsid w:val="00F26605"/>
    <w:rsid w:val="00F369A9"/>
    <w:rsid w:val="00F561D0"/>
    <w:rsid w:val="00F77CC9"/>
    <w:rsid w:val="00F907E0"/>
    <w:rsid w:val="00F94E71"/>
    <w:rsid w:val="00FA4F35"/>
    <w:rsid w:val="00FB7087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B640"/>
  <w15:chartTrackingRefBased/>
  <w15:docId w15:val="{9894F58F-7835-430E-8EBB-CDED45B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0B0C"/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0B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0B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E30B0C"/>
    <w:rPr>
      <w:color w:val="0000FF"/>
      <w:u w:val="single"/>
    </w:rPr>
  </w:style>
  <w:style w:type="paragraph" w:customStyle="1" w:styleId="Authors">
    <w:name w:val="Authors"/>
    <w:basedOn w:val="Normal"/>
    <w:rsid w:val="00E30B0C"/>
    <w:pPr>
      <w:spacing w:before="120" w:after="360"/>
    </w:pPr>
    <w:rPr>
      <w:b/>
      <w:szCs w:val="24"/>
    </w:rPr>
  </w:style>
  <w:style w:type="paragraph" w:customStyle="1" w:styleId="Affiliation">
    <w:name w:val="Affiliation"/>
    <w:basedOn w:val="Normal"/>
    <w:qFormat/>
    <w:rsid w:val="00E30B0C"/>
    <w:pPr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2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61D0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561D0"/>
  </w:style>
  <w:style w:type="paragraph" w:styleId="ListParagraph">
    <w:name w:val="List Paragraph"/>
    <w:basedOn w:val="Normal"/>
    <w:uiPriority w:val="34"/>
    <w:qFormat/>
    <w:rsid w:val="00B31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9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9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1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-display-single">
    <w:name w:val="date-display-single"/>
    <w:basedOn w:val="DefaultParagraphFont"/>
    <w:rsid w:val="000064EA"/>
  </w:style>
  <w:style w:type="character" w:styleId="Emphasis">
    <w:name w:val="Emphasis"/>
    <w:basedOn w:val="DefaultParagraphFont"/>
    <w:uiPriority w:val="20"/>
    <w:qFormat/>
    <w:rsid w:val="00006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007/978-0-387-78650-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ynn.montgomery@colorado.edu)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j.1745-6584.2006.00258.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0165-232X(94)00016-Q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doi.org/10.1002/2013GL058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4FF0-CD89-4AF3-B443-A9927A93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11338</Characters>
  <Application>Microsoft Office Word</Application>
  <DocSecurity>0</DocSecurity>
  <Lines>226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2020-10-15T16:10:00Z</dcterms:created>
  <dcterms:modified xsi:type="dcterms:W3CDTF">2020-10-15T16:10:00Z</dcterms:modified>
</cp:coreProperties>
</file>