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8340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4657F74E" w14:textId="77777777" w:rsidR="00C518BB" w:rsidRPr="00774325" w:rsidRDefault="00000000">
      <w:pPr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Supplementary</w:t>
      </w: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 Material</w:t>
      </w:r>
    </w:p>
    <w:p w14:paraId="37B748FF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</w:rPr>
        <w:drawing>
          <wp:inline distT="114300" distB="114300" distL="114300" distR="114300" wp14:anchorId="2ECE75A3" wp14:editId="4183C069">
            <wp:extent cx="4754880" cy="3410712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12691" b="1345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410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83A6D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Figure S1: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Physical drought regions defined in this study. </w:t>
      </w:r>
    </w:p>
    <w:p w14:paraId="58662EA1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6317B7D1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76795FF2" wp14:editId="2962C505">
            <wp:extent cx="4681538" cy="7031379"/>
            <wp:effectExtent l="0" t="0" r="0" b="0"/>
            <wp:docPr id="2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7031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3CB42" w14:textId="4161104F" w:rsidR="00C518BB" w:rsidRPr="00774325" w:rsidRDefault="00000000">
      <w:pPr>
        <w:spacing w:before="120" w:after="120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Figure S2: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Drought intensification rates based on changes in SPEI-3 for the regions defined in this study (Fig. S1). The blue lines show trends in the median (bottom line)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(top line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)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of drought intensification rates smoothed with Locally Weighted Scatterplot Smoothing (LOWESS, smoothing parameter = 0.25). The light blue shading represents the 95% confidence intervals for the smoothers. The dashed lines depict the median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drought intensification rates for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</w:rPr>
        <w:t>1951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-2021. Departures from these baselines </w:t>
      </w:r>
      <w:r w:rsidR="00774325" w:rsidRPr="00774325"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  <w:t xml:space="preserve">are statistically significant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(0.05 alpha-level). </w:t>
      </w:r>
    </w:p>
    <w:p w14:paraId="66C95FE4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4D2D1F44" wp14:editId="5715545C">
            <wp:extent cx="4681728" cy="7022592"/>
            <wp:effectExtent l="0" t="0" r="0" b="0"/>
            <wp:docPr id="3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02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10E88" w14:textId="77777777" w:rsidR="004C0D82" w:rsidRPr="00774325" w:rsidRDefault="00000000" w:rsidP="004C0D82">
      <w:pPr>
        <w:tabs>
          <w:tab w:val="left" w:pos="1800"/>
        </w:tabs>
        <w:spacing w:before="120" w:after="120"/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Figure S3: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Drought intensification rates based on changes in SPEI-6 for the regions defined in this study (Fig. S1). The blue lines show trends in the median (bottom line)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(top line) of drought intensification rates smoothed with Locally Weighted Scatterplot Smoothing (LOWESS, smoothing parameter = 0.25). The light blue shading represents the 95% confidence intervals for the smoothers. The dashed lines depict the median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drought intensification rates for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1951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-2021. </w:t>
      </w:r>
      <w:r w:rsidR="004C0D82" w:rsidRPr="00774325"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  <w:t xml:space="preserve">Departures from these baselines are statistically significant (0.05 alpha-level). </w:t>
      </w:r>
    </w:p>
    <w:p w14:paraId="39F1302D" w14:textId="3367385F" w:rsidR="00C518BB" w:rsidRPr="00774325" w:rsidRDefault="00000000" w:rsidP="004C0D82">
      <w:pPr>
        <w:spacing w:before="120" w:after="120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68523366" wp14:editId="348AB210">
            <wp:extent cx="4681728" cy="7022592"/>
            <wp:effectExtent l="0" t="0" r="0" b="0"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02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47188" w14:textId="77777777" w:rsidR="004C0D82" w:rsidRPr="00774325" w:rsidRDefault="00000000" w:rsidP="004C0D82">
      <w:pPr>
        <w:tabs>
          <w:tab w:val="left" w:pos="1800"/>
        </w:tabs>
        <w:spacing w:before="120" w:after="120"/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Figure S4: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Drought intensification rates based on changes in SPEI-9 for the regions defined in this study (Fig. S1). The blue lines show trends in the median (bottom line)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(top line) of drought intensification rates smoothed with Locally Weighted Scatterplot Smoothing (LOWESS, smoothing parameter = 0.25). The light blue shading represents the 95% confidence intervals for the smoothers. The dashed lines depict the median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drought intensification rates for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</w:rPr>
        <w:t>195</w:t>
      </w:r>
      <w:r w:rsidR="004C0D82" w:rsidRPr="00774325">
        <w:rPr>
          <w:rFonts w:ascii="Times New Roman" w:eastAsia="Times New Roman" w:hAnsi="Times New Roman" w:cs="Times New Roman"/>
          <w:sz w:val="21"/>
          <w:szCs w:val="21"/>
        </w:rPr>
        <w:t>1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-2021. </w:t>
      </w:r>
      <w:r w:rsidR="004C0D82" w:rsidRPr="00774325"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  <w:t xml:space="preserve">Departures from these baselines are statistically significant (0.05 alpha-level). </w:t>
      </w:r>
    </w:p>
    <w:p w14:paraId="38268FE5" w14:textId="33943511" w:rsidR="00C518BB" w:rsidRPr="00774325" w:rsidRDefault="00000000" w:rsidP="004C0D82">
      <w:pPr>
        <w:spacing w:before="120" w:after="120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47DDD9C4" wp14:editId="24F818C2">
            <wp:extent cx="4681728" cy="7022592"/>
            <wp:effectExtent l="0" t="0" r="0" b="0"/>
            <wp:docPr id="3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02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B1CAF" w14:textId="0D9D8485" w:rsidR="00C518BB" w:rsidRPr="00774325" w:rsidRDefault="00000000" w:rsidP="00774325">
      <w:pPr>
        <w:tabs>
          <w:tab w:val="left" w:pos="1800"/>
        </w:tabs>
        <w:spacing w:before="120" w:after="120"/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Figure S5: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Drought intensification rates based on changes in SPEI-12 for the regions defined in this study (Fig. S1). The blue lines show trends in the median (bottom line)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(top line) of drought intensification rates smoothed with Locally Weighted Scatterplot Smoothing (LOWESS, smoothing parameter = 0.25). The light blue shading represents the 95% confidence intervals for the smoothers. The dashed lines depict the median and 95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>drought intensification rates for 19</w:t>
      </w:r>
      <w:sdt>
        <w:sdtPr>
          <w:rPr>
            <w:sz w:val="21"/>
            <w:szCs w:val="21"/>
          </w:rPr>
          <w:tag w:val="goog_rdk_22"/>
          <w:id w:val="-1503574799"/>
        </w:sdtPr>
        <w:sdtContent>
          <w:r w:rsidRPr="00774325">
            <w:rPr>
              <w:rFonts w:ascii="Times New Roman" w:eastAsia="Times New Roman" w:hAnsi="Times New Roman" w:cs="Times New Roman"/>
              <w:sz w:val="21"/>
              <w:szCs w:val="21"/>
              <w:highlight w:val="white"/>
            </w:rPr>
            <w:t>51</w:t>
          </w:r>
        </w:sdtContent>
      </w:sdt>
      <w:r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-2021. </w:t>
      </w:r>
      <w:r w:rsidR="004C0D82" w:rsidRPr="00774325">
        <w:rPr>
          <w:rFonts w:ascii="Times New Roman" w:eastAsia="Times New Roman" w:hAnsi="Times New Roman" w:cs="Times New Roman"/>
          <w:color w:val="222222"/>
          <w:sz w:val="21"/>
          <w:szCs w:val="21"/>
          <w:highlight w:val="white"/>
        </w:rPr>
        <w:t xml:space="preserve">Departures from these baselines are statistically significant (0.05 alpha-level). </w:t>
      </w:r>
    </w:p>
    <w:p w14:paraId="3A382CE8" w14:textId="77777777" w:rsidR="00C518BB" w:rsidRPr="00774325" w:rsidRDefault="00000000">
      <w:pPr>
        <w:spacing w:before="120" w:after="120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5CDA9B2C" wp14:editId="497FD8E0">
            <wp:extent cx="4681728" cy="7022592"/>
            <wp:effectExtent l="0" t="0" r="0" b="0"/>
            <wp:docPr id="3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702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F9720" w14:textId="0BE8546E" w:rsidR="00C518BB" w:rsidRPr="00774325" w:rsidRDefault="00000000">
      <w:pPr>
        <w:spacing w:before="120" w:after="120"/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>Figure S6: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Dynamic cross-correlation between </w:t>
      </w:r>
      <w:r w:rsid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derived from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SPEI-1 and SPEI-3, SPEI-6, SPEI-9, and SPEI-12 for the regions defined in this study (Fig. S1). </w:t>
      </w:r>
    </w:p>
    <w:p w14:paraId="0EF56E1C" w14:textId="77777777" w:rsidR="00C518BB" w:rsidRPr="00774325" w:rsidRDefault="00C518BB">
      <w:pPr>
        <w:spacing w:before="120" w:after="120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788DE696" w14:textId="77777777" w:rsidR="00C518BB" w:rsidRPr="00774325" w:rsidRDefault="00C518BB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</w:p>
    <w:p w14:paraId="76D3EE18" w14:textId="77777777" w:rsidR="00C518BB" w:rsidRPr="00774325" w:rsidRDefault="00C518BB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</w:p>
    <w:p w14:paraId="3B61F43F" w14:textId="77777777" w:rsidR="00C518BB" w:rsidRPr="00774325" w:rsidRDefault="00C518BB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</w:p>
    <w:p w14:paraId="37E3F386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</w:rPr>
        <w:lastRenderedPageBreak/>
        <w:drawing>
          <wp:inline distT="114300" distB="114300" distL="114300" distR="114300" wp14:anchorId="48AFE6CF" wp14:editId="1F368072">
            <wp:extent cx="4776788" cy="5210237"/>
            <wp:effectExtent l="0" t="0" r="0" b="0"/>
            <wp:docPr id="2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521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21EF7" w14:textId="7CF2F0D6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S7: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drought intensification rates based on changes in SPEI-1 for the Pacific northwest. For reference, the dashed line shows the median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intensification rates for each month in 1951-2021. The black dots indicate the presence of values exceeding the limits of the y axis.</w:t>
      </w:r>
    </w:p>
    <w:p w14:paraId="4F6AC7EA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sz w:val="21"/>
          <w:szCs w:val="21"/>
        </w:rPr>
        <w:br w:type="page"/>
      </w:r>
    </w:p>
    <w:p w14:paraId="4E844236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</w:rPr>
        <w:lastRenderedPageBreak/>
        <w:drawing>
          <wp:inline distT="114300" distB="114300" distL="114300" distR="114300" wp14:anchorId="08EA68D0" wp14:editId="23C3AD69">
            <wp:extent cx="4773168" cy="5213768"/>
            <wp:effectExtent l="0" t="0" r="0" b="0"/>
            <wp:docPr id="3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5213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ECE22A" w14:textId="0F0E4625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S8: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2B7F2D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Southwest. For reference, the dashed line shows the median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dots indicate the presence of values exceeding the limits of the y axis.</w:t>
      </w:r>
    </w:p>
    <w:p w14:paraId="14AD4937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56DE824B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sz w:val="21"/>
          <w:szCs w:val="21"/>
        </w:rPr>
        <w:br w:type="page"/>
      </w:r>
    </w:p>
    <w:p w14:paraId="313963BE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1B44A77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  <w:highlight w:val="white"/>
        </w:rPr>
        <w:drawing>
          <wp:inline distT="114300" distB="114300" distL="114300" distR="114300" wp14:anchorId="24E05150" wp14:editId="4C9C3E6E">
            <wp:extent cx="4754880" cy="5192329"/>
            <wp:effectExtent l="0" t="0" r="0" b="0"/>
            <wp:docPr id="2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973EB" w14:textId="31A5AB6B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S9: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Northern plains. For reference, the dashed line shows the median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dots indicate the presence of values exceeding the limits of the y axis.</w:t>
      </w:r>
    </w:p>
    <w:p w14:paraId="26010386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  <w:r w:rsidRPr="00774325">
        <w:rPr>
          <w:sz w:val="21"/>
          <w:szCs w:val="21"/>
        </w:rPr>
        <w:br w:type="page"/>
      </w: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2113F008" wp14:editId="14EC363B">
            <wp:extent cx="4754880" cy="5192329"/>
            <wp:effectExtent l="0" t="0" r="0" b="0"/>
            <wp:docPr id="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0ED8B" w14:textId="34174D08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S10: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Southern plains. For reference, the dashed line shows the median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dots indicate the presence of values exceeding the limits of the y axis.</w:t>
      </w:r>
    </w:p>
    <w:p w14:paraId="28D5BA60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yellow"/>
        </w:rPr>
      </w:pPr>
    </w:p>
    <w:p w14:paraId="2A5BB64A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  <w:highlight w:val="yellow"/>
        </w:rPr>
      </w:pPr>
      <w:r w:rsidRPr="00774325">
        <w:rPr>
          <w:sz w:val="21"/>
          <w:szCs w:val="21"/>
        </w:rPr>
        <w:br w:type="page"/>
      </w:r>
    </w:p>
    <w:p w14:paraId="1B6CFE51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44E9284F" wp14:editId="3FBC455A">
            <wp:extent cx="4754880" cy="5192329"/>
            <wp:effectExtent l="0" t="0" r="0" b="0"/>
            <wp:docPr id="3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51D34" w14:textId="56CFB0AC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S11: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Intermountain west. For reference, the dashed line shows the median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rates for each month in 1951-2021. </w:t>
      </w:r>
    </w:p>
    <w:p w14:paraId="251E1B13" w14:textId="77777777" w:rsidR="00C518BB" w:rsidRPr="00774325" w:rsidRDefault="00C518BB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</w:p>
    <w:p w14:paraId="0F0170D0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</w:rPr>
        <w:lastRenderedPageBreak/>
        <w:drawing>
          <wp:inline distT="114300" distB="114300" distL="114300" distR="114300" wp14:anchorId="34BD61B1" wp14:editId="60598E87">
            <wp:extent cx="4754880" cy="5192329"/>
            <wp:effectExtent l="0" t="0" r="0" b="0"/>
            <wp:docPr id="3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184EC" w14:textId="7097AB48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  <w:sectPr w:rsidR="00C518BB" w:rsidRPr="00774325">
          <w:headerReference w:type="even" r:id="rId19"/>
          <w:footerReference w:type="even" r:id="rId20"/>
          <w:footerReference w:type="default" r:id="rId21"/>
          <w:pgSz w:w="12240" w:h="15840"/>
          <w:pgMar w:top="1440" w:right="1440" w:bottom="1440" w:left="1440" w:header="720" w:footer="720" w:gutter="0"/>
          <w:pgNumType w:start="0"/>
          <w:cols w:space="720"/>
          <w:titlePg/>
        </w:sect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S12: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Midwest. For reference, the dashed line shows the median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dots indicate the presence of values exceeding the limits of the y axis.</w:t>
      </w:r>
    </w:p>
    <w:p w14:paraId="636535C3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3CCC667D" w14:textId="77777777" w:rsidR="00C518BB" w:rsidRPr="00774325" w:rsidRDefault="00C518BB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</w:p>
    <w:p w14:paraId="08848B6D" w14:textId="77777777" w:rsidR="00C518BB" w:rsidRPr="00774325" w:rsidRDefault="00000000">
      <w:pP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b/>
          <w:noProof/>
          <w:sz w:val="21"/>
          <w:szCs w:val="21"/>
          <w:highlight w:val="white"/>
        </w:rPr>
        <w:drawing>
          <wp:inline distT="114300" distB="114300" distL="114300" distR="114300" wp14:anchorId="66BDB8F7" wp14:editId="176DD977">
            <wp:extent cx="4754880" cy="5192329"/>
            <wp:effectExtent l="0" t="0" r="0" b="0"/>
            <wp:docPr id="3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5890C" w14:textId="48462971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S13: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Northeast. For reference, the dashed line shows the median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 indicates the presence of values exceeding the limits of the y axis.</w:t>
      </w:r>
    </w:p>
    <w:p w14:paraId="03C770E6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1542CB60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3E80CE9C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6E82FB01" w14:textId="77777777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 w:rsidRPr="00774325">
        <w:rPr>
          <w:rFonts w:ascii="Times New Roman" w:eastAsia="Times New Roman" w:hAnsi="Times New Roman" w:cs="Times New Roman"/>
          <w:noProof/>
          <w:sz w:val="21"/>
          <w:szCs w:val="21"/>
          <w:highlight w:val="white"/>
        </w:rPr>
        <w:lastRenderedPageBreak/>
        <w:drawing>
          <wp:inline distT="114300" distB="114300" distL="114300" distR="114300" wp14:anchorId="6C3C55C3" wp14:editId="61B30822">
            <wp:extent cx="4754880" cy="5192329"/>
            <wp:effectExtent l="0" t="0" r="0" b="0"/>
            <wp:docPr id="3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192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44861" w14:textId="33403940" w:rsidR="00C518BB" w:rsidRPr="00774325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 w:rsidRPr="00774325">
        <w:rPr>
          <w:rFonts w:ascii="Times New Roman" w:eastAsia="Times New Roman" w:hAnsi="Times New Roman" w:cs="Times New Roman"/>
          <w:b/>
          <w:sz w:val="21"/>
          <w:szCs w:val="21"/>
        </w:rPr>
        <w:t xml:space="preserve">Figure S14: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>Monthly maximum 95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percentiles of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drought intensification rates based on changes in SPEI-1 for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the Southeast. For reference, the dashed line shows the median 95</w:t>
      </w:r>
      <w:r w:rsidRPr="00774325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784F79" w:rsidRPr="00774325">
        <w:rPr>
          <w:rFonts w:ascii="Times New Roman" w:eastAsia="Times New Roman" w:hAnsi="Times New Roman" w:cs="Times New Roman"/>
          <w:sz w:val="21"/>
          <w:szCs w:val="21"/>
        </w:rPr>
        <w:t xml:space="preserve">percentile intensification </w:t>
      </w:r>
      <w:r w:rsidRPr="00774325">
        <w:rPr>
          <w:rFonts w:ascii="Times New Roman" w:eastAsia="Times New Roman" w:hAnsi="Times New Roman" w:cs="Times New Roman"/>
          <w:sz w:val="21"/>
          <w:szCs w:val="21"/>
        </w:rPr>
        <w:t>rates for each month in 1951-2021. The black dots indicate the presence of values exceeding the limits of the y axis.</w:t>
      </w:r>
    </w:p>
    <w:p w14:paraId="1DB98430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yellow"/>
        </w:rPr>
      </w:pPr>
    </w:p>
    <w:p w14:paraId="7110DBD5" w14:textId="77777777" w:rsidR="00C518BB" w:rsidRPr="00774325" w:rsidRDefault="00C518BB">
      <w:pPr>
        <w:rPr>
          <w:rFonts w:ascii="Times New Roman" w:eastAsia="Times New Roman" w:hAnsi="Times New Roman" w:cs="Times New Roman"/>
          <w:sz w:val="21"/>
          <w:szCs w:val="21"/>
          <w:highlight w:val="yellow"/>
        </w:rPr>
      </w:pPr>
    </w:p>
    <w:sectPr w:rsidR="00C518BB" w:rsidRPr="00774325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C81C2" w14:textId="77777777" w:rsidR="00C1157A" w:rsidRDefault="00C1157A">
      <w:r>
        <w:separator/>
      </w:r>
    </w:p>
  </w:endnote>
  <w:endnote w:type="continuationSeparator" w:id="0">
    <w:p w14:paraId="0B7257A6" w14:textId="77777777" w:rsidR="00C1157A" w:rsidRDefault="00C11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BE58" w14:textId="77777777" w:rsidR="00C518BB" w:rsidRDefault="00000000">
    <w:r>
      <w:t xml:space="preserve">Page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8786D" w14:textId="77777777" w:rsidR="00C518BB" w:rsidRDefault="00C518B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22A0E0C4" w14:textId="77777777" w:rsidR="00C518BB" w:rsidRDefault="00C518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90DE0" w14:textId="77777777" w:rsidR="00C1157A" w:rsidRDefault="00C1157A">
      <w:r>
        <w:separator/>
      </w:r>
    </w:p>
  </w:footnote>
  <w:footnote w:type="continuationSeparator" w:id="0">
    <w:p w14:paraId="56F35244" w14:textId="77777777" w:rsidR="00C1157A" w:rsidRDefault="00C11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3F155" w14:textId="77777777" w:rsidR="00C518BB" w:rsidRDefault="00000000">
    <w:r>
      <w:t xml:space="preserve">Publisher: AMS; Journal: </w:t>
    </w:r>
    <w:proofErr w:type="spellStart"/>
    <w:proofErr w:type="gramStart"/>
    <w:r>
      <w:t>WAF:Weather</w:t>
    </w:r>
    <w:proofErr w:type="spellEnd"/>
    <w:proofErr w:type="gramEnd"/>
    <w:r>
      <w:t xml:space="preserve"> and Forecasting</w:t>
    </w:r>
  </w:p>
  <w:p w14:paraId="267E1209" w14:textId="77777777" w:rsidR="00C518BB" w:rsidRDefault="00000000">
    <w:r>
      <w:t xml:space="preserve"> Job#: 0; Volume: 00; Issue: 0; Art#: D190061; Prod#</w:t>
    </w:r>
    <w:proofErr w:type="gramStart"/>
    <w:r>
      <w:t>: ;</w:t>
    </w:r>
    <w:proofErr w:type="gramEnd"/>
  </w:p>
  <w:p w14:paraId="4D86BA09" w14:textId="77777777" w:rsidR="00C518BB" w:rsidRDefault="00000000">
    <w:r>
      <w:t xml:space="preserve"> Month</w:t>
    </w:r>
    <w:proofErr w:type="gramStart"/>
    <w:r>
      <w:t>: ;</w:t>
    </w:r>
    <w:proofErr w:type="gramEnd"/>
    <w:r>
      <w:t xml:space="preserve"> Year: ; Section Head: ; </w:t>
    </w:r>
    <w:proofErr w:type="spellStart"/>
    <w:r>
      <w:t>CopyHold</w:t>
    </w:r>
    <w:proofErr w:type="spellEnd"/>
    <w:r>
      <w:t>: Publisher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8BB"/>
    <w:rsid w:val="002B7F2D"/>
    <w:rsid w:val="004C0D82"/>
    <w:rsid w:val="00774325"/>
    <w:rsid w:val="00784F79"/>
    <w:rsid w:val="00C1157A"/>
    <w:rsid w:val="00C518BB"/>
    <w:rsid w:val="00E6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318BDA"/>
  <w15:docId w15:val="{FB25F8AF-2D0D-1848-A709-EF8B062B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neNumber">
    <w:name w:val="line number"/>
    <w:basedOn w:val="DefaultParagraphFont"/>
    <w:uiPriority w:val="99"/>
    <w:semiHidden/>
    <w:unhideWhenUsed/>
    <w:rsid w:val="00851F09"/>
  </w:style>
  <w:style w:type="paragraph" w:styleId="Header">
    <w:name w:val="header"/>
    <w:basedOn w:val="Normal"/>
    <w:link w:val="HeaderChar"/>
    <w:uiPriority w:val="99"/>
    <w:unhideWhenUsed/>
    <w:rsid w:val="00851F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F09"/>
  </w:style>
  <w:style w:type="paragraph" w:styleId="Footer">
    <w:name w:val="footer"/>
    <w:basedOn w:val="Normal"/>
    <w:link w:val="FooterChar"/>
    <w:uiPriority w:val="99"/>
    <w:unhideWhenUsed/>
    <w:rsid w:val="00964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D1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vXpW6lDaC0Jhir4VO3LFUdEN1w==">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2021-05-12T02:50:00Z</dcterms:created>
  <dcterms:modified xsi:type="dcterms:W3CDTF">2022-07-09T21:44:00Z</dcterms:modified>
</cp:coreProperties>
</file>