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BA0" w:rsidRPr="00443AEA" w:rsidRDefault="000E3BA0" w:rsidP="000E3BA0">
      <w:pPr>
        <w:spacing w:before="100" w:beforeAutospacing="1" w:after="100" w:afterAutospacing="1" w:line="480" w:lineRule="auto"/>
      </w:pPr>
      <w:r w:rsidRPr="00581821">
        <w:t>Supplementary Table 1.</w:t>
      </w:r>
      <w:r>
        <w:rPr>
          <w:b/>
        </w:rPr>
        <w:t xml:space="preserve"> </w:t>
      </w:r>
      <w:r>
        <w:t>Comparison of mean curved fork length across gear for the otolith samples used in this study and for ICCAT catch data (</w:t>
      </w:r>
      <w:r w:rsidRPr="00443AEA">
        <w:t>https://www.iccat.int/en/accesingdb.htm</w:t>
      </w:r>
      <w:r>
        <w:t>).</w:t>
      </w:r>
    </w:p>
    <w:p w:rsidR="000E3BA0" w:rsidRPr="00670C31" w:rsidRDefault="000E3BA0" w:rsidP="000E3BA0">
      <w:pPr>
        <w:spacing w:before="100" w:beforeAutospacing="1" w:after="100" w:afterAutospacing="1" w:line="480" w:lineRule="auto"/>
      </w:pPr>
    </w:p>
    <w:tbl>
      <w:tblPr>
        <w:tblW w:w="0" w:type="auto"/>
        <w:jc w:val="center"/>
        <w:tblLook w:val="04A0" w:firstRow="1" w:lastRow="0" w:firstColumn="1" w:lastColumn="0" w:noHBand="0" w:noVBand="1"/>
      </w:tblPr>
      <w:tblGrid>
        <w:gridCol w:w="950"/>
        <w:gridCol w:w="988"/>
        <w:gridCol w:w="937"/>
        <w:gridCol w:w="988"/>
        <w:gridCol w:w="988"/>
        <w:gridCol w:w="953"/>
        <w:gridCol w:w="953"/>
      </w:tblGrid>
      <w:tr w:rsidR="000E3BA0" w:rsidRPr="00670C31" w:rsidTr="00176163">
        <w:trPr>
          <w:trHeight w:val="720"/>
          <w:jc w:val="center"/>
        </w:trPr>
        <w:tc>
          <w:tcPr>
            <w:tcW w:w="950" w:type="dxa"/>
            <w:tcBorders>
              <w:top w:val="single" w:sz="18" w:space="0" w:color="auto"/>
              <w:bottom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p>
        </w:tc>
        <w:tc>
          <w:tcPr>
            <w:tcW w:w="2913" w:type="dxa"/>
            <w:gridSpan w:val="3"/>
            <w:tcBorders>
              <w:top w:val="single" w:sz="18" w:space="0" w:color="auto"/>
              <w:left w:val="nil"/>
              <w:bottom w:val="single" w:sz="4" w:space="0" w:color="auto"/>
              <w:right w:val="single" w:sz="4" w:space="0" w:color="auto"/>
            </w:tcBorders>
            <w:shd w:val="clear" w:color="auto" w:fill="auto"/>
            <w:vAlign w:val="center"/>
          </w:tcPr>
          <w:p w:rsidR="000E3BA0" w:rsidRDefault="000E3BA0" w:rsidP="00176163">
            <w:pPr>
              <w:spacing w:before="100" w:beforeAutospacing="1" w:after="100" w:afterAutospacing="1" w:line="480" w:lineRule="auto"/>
              <w:jc w:val="center"/>
              <w:rPr>
                <w:b/>
                <w:i/>
              </w:rPr>
            </w:pPr>
            <w:r>
              <w:rPr>
                <w:b/>
                <w:i/>
              </w:rPr>
              <w:t>Otolith</w:t>
            </w:r>
          </w:p>
        </w:tc>
        <w:tc>
          <w:tcPr>
            <w:tcW w:w="2894" w:type="dxa"/>
            <w:gridSpan w:val="3"/>
            <w:tcBorders>
              <w:top w:val="single" w:sz="18" w:space="0" w:color="auto"/>
              <w:left w:val="single" w:sz="4" w:space="0" w:color="auto"/>
              <w:bottom w:val="single" w:sz="4" w:space="0" w:color="auto"/>
            </w:tcBorders>
            <w:shd w:val="clear" w:color="auto" w:fill="auto"/>
            <w:vAlign w:val="center"/>
          </w:tcPr>
          <w:p w:rsidR="000E3BA0" w:rsidRDefault="000E3BA0" w:rsidP="00176163">
            <w:pPr>
              <w:spacing w:before="100" w:beforeAutospacing="1" w:after="100" w:afterAutospacing="1" w:line="480" w:lineRule="auto"/>
              <w:jc w:val="center"/>
              <w:rPr>
                <w:b/>
                <w:i/>
              </w:rPr>
            </w:pPr>
            <w:r>
              <w:rPr>
                <w:b/>
                <w:i/>
              </w:rPr>
              <w:t>ICCAT</w:t>
            </w:r>
          </w:p>
        </w:tc>
      </w:tr>
      <w:tr w:rsidR="000E3BA0" w:rsidRPr="00670C31" w:rsidTr="00176163">
        <w:trPr>
          <w:trHeight w:val="720"/>
          <w:jc w:val="center"/>
        </w:trPr>
        <w:tc>
          <w:tcPr>
            <w:tcW w:w="950" w:type="dxa"/>
            <w:tcBorders>
              <w:top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p>
        </w:tc>
        <w:tc>
          <w:tcPr>
            <w:tcW w:w="988" w:type="dxa"/>
            <w:tcBorders>
              <w:top w:val="single" w:sz="4" w:space="0" w:color="auto"/>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i/>
              </w:rPr>
            </w:pPr>
            <w:r>
              <w:rPr>
                <w:i/>
              </w:rPr>
              <w:t>1970s</w:t>
            </w:r>
          </w:p>
        </w:tc>
        <w:tc>
          <w:tcPr>
            <w:tcW w:w="937" w:type="dxa"/>
            <w:tcBorders>
              <w:top w:val="single" w:sz="4" w:space="0" w:color="auto"/>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i/>
              </w:rPr>
            </w:pPr>
            <w:r>
              <w:rPr>
                <w:i/>
              </w:rPr>
              <w:t>1990s</w:t>
            </w:r>
          </w:p>
        </w:tc>
        <w:tc>
          <w:tcPr>
            <w:tcW w:w="988" w:type="dxa"/>
            <w:tcBorders>
              <w:top w:val="single" w:sz="4" w:space="0" w:color="auto"/>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rPr>
                <w:i/>
              </w:rPr>
            </w:pPr>
            <w:r>
              <w:rPr>
                <w:i/>
              </w:rPr>
              <w:t>2010s</w:t>
            </w:r>
          </w:p>
        </w:tc>
        <w:tc>
          <w:tcPr>
            <w:tcW w:w="988" w:type="dxa"/>
            <w:tcBorders>
              <w:top w:val="single" w:sz="4" w:space="0" w:color="auto"/>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i/>
              </w:rPr>
            </w:pPr>
            <w:r>
              <w:rPr>
                <w:i/>
              </w:rPr>
              <w:t>1970s</w:t>
            </w:r>
          </w:p>
        </w:tc>
        <w:tc>
          <w:tcPr>
            <w:tcW w:w="953" w:type="dxa"/>
            <w:tcBorders>
              <w:top w:val="single" w:sz="4" w:space="0" w:color="auto"/>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i/>
              </w:rPr>
            </w:pPr>
            <w:r>
              <w:rPr>
                <w:i/>
              </w:rPr>
              <w:t>1990s</w:t>
            </w:r>
          </w:p>
        </w:tc>
        <w:tc>
          <w:tcPr>
            <w:tcW w:w="953" w:type="dxa"/>
            <w:tcBorders>
              <w:top w:val="single" w:sz="4" w:space="0" w:color="auto"/>
              <w:left w:val="single" w:sz="4" w:space="0" w:color="auto"/>
            </w:tcBorders>
            <w:vAlign w:val="center"/>
          </w:tcPr>
          <w:p w:rsidR="000E3BA0" w:rsidRPr="00670C31" w:rsidRDefault="000E3BA0" w:rsidP="00176163">
            <w:pPr>
              <w:spacing w:before="100" w:beforeAutospacing="1" w:after="100" w:afterAutospacing="1" w:line="480" w:lineRule="auto"/>
              <w:jc w:val="center"/>
              <w:rPr>
                <w:i/>
              </w:rPr>
            </w:pPr>
            <w:r>
              <w:rPr>
                <w:i/>
              </w:rPr>
              <w:t>2010s</w:t>
            </w:r>
          </w:p>
        </w:tc>
      </w:tr>
      <w:tr w:rsidR="000E3BA0" w:rsidRPr="00670C31" w:rsidTr="00176163">
        <w:trPr>
          <w:trHeight w:val="720"/>
          <w:jc w:val="center"/>
        </w:trPr>
        <w:tc>
          <w:tcPr>
            <w:tcW w:w="950" w:type="dxa"/>
            <w:tcBorders>
              <w:top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Overall</w:t>
            </w:r>
          </w:p>
        </w:tc>
        <w:tc>
          <w:tcPr>
            <w:tcW w:w="988" w:type="dxa"/>
            <w:tcBorders>
              <w:top w:val="single" w:sz="4" w:space="0" w:color="auto"/>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190.7</w:t>
            </w:r>
          </w:p>
        </w:tc>
        <w:tc>
          <w:tcPr>
            <w:tcW w:w="937" w:type="dxa"/>
            <w:tcBorders>
              <w:top w:val="single" w:sz="4" w:space="0" w:color="auto"/>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165.9</w:t>
            </w:r>
          </w:p>
        </w:tc>
        <w:tc>
          <w:tcPr>
            <w:tcW w:w="988" w:type="dxa"/>
            <w:tcBorders>
              <w:top w:val="single" w:sz="4" w:space="0" w:color="auto"/>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rPr>
                <w:color w:val="000000"/>
              </w:rPr>
              <w:t>158.8</w:t>
            </w:r>
          </w:p>
        </w:tc>
        <w:tc>
          <w:tcPr>
            <w:tcW w:w="988" w:type="dxa"/>
            <w:tcBorders>
              <w:top w:val="single" w:sz="4" w:space="0" w:color="auto"/>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106.7</w:t>
            </w:r>
          </w:p>
        </w:tc>
        <w:tc>
          <w:tcPr>
            <w:tcW w:w="953" w:type="dxa"/>
            <w:tcBorders>
              <w:top w:val="single" w:sz="4" w:space="0" w:color="auto"/>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163.5</w:t>
            </w:r>
          </w:p>
        </w:tc>
        <w:tc>
          <w:tcPr>
            <w:tcW w:w="953" w:type="dxa"/>
            <w:tcBorders>
              <w:top w:val="single" w:sz="4" w:space="0" w:color="auto"/>
              <w:lef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rPr>
                <w:color w:val="000000"/>
              </w:rPr>
              <w:t>177.4</w:t>
            </w:r>
          </w:p>
        </w:tc>
      </w:tr>
      <w:tr w:rsidR="000E3BA0" w:rsidRPr="00670C31" w:rsidTr="00176163">
        <w:trPr>
          <w:trHeight w:val="720"/>
          <w:jc w:val="center"/>
        </w:trPr>
        <w:tc>
          <w:tcPr>
            <w:tcW w:w="950" w:type="dxa"/>
            <w:tcBorders>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RR</w:t>
            </w:r>
          </w:p>
        </w:tc>
        <w:tc>
          <w:tcPr>
            <w:tcW w:w="988"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165.8</w:t>
            </w:r>
          </w:p>
        </w:tc>
        <w:tc>
          <w:tcPr>
            <w:tcW w:w="937"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166.1</w:t>
            </w:r>
          </w:p>
        </w:tc>
        <w:tc>
          <w:tcPr>
            <w:tcW w:w="988" w:type="dxa"/>
            <w:tcBorders>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rPr>
                <w:color w:val="000000"/>
              </w:rPr>
              <w:t>142.1</w:t>
            </w:r>
          </w:p>
        </w:tc>
        <w:tc>
          <w:tcPr>
            <w:tcW w:w="988"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101.9</w:t>
            </w:r>
          </w:p>
        </w:tc>
        <w:tc>
          <w:tcPr>
            <w:tcW w:w="953"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146.6</w:t>
            </w:r>
          </w:p>
        </w:tc>
        <w:tc>
          <w:tcPr>
            <w:tcW w:w="953" w:type="dxa"/>
            <w:tcBorders>
              <w:lef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rPr>
                <w:color w:val="000000"/>
              </w:rPr>
              <w:t>163.8</w:t>
            </w:r>
          </w:p>
        </w:tc>
      </w:tr>
      <w:tr w:rsidR="000E3BA0" w:rsidRPr="00670C31" w:rsidTr="00176163">
        <w:trPr>
          <w:trHeight w:val="720"/>
          <w:jc w:val="center"/>
        </w:trPr>
        <w:tc>
          <w:tcPr>
            <w:tcW w:w="950" w:type="dxa"/>
            <w:tcBorders>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LL</w:t>
            </w:r>
          </w:p>
        </w:tc>
        <w:tc>
          <w:tcPr>
            <w:tcW w:w="988"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256.7</w:t>
            </w:r>
          </w:p>
        </w:tc>
        <w:tc>
          <w:tcPr>
            <w:tcW w:w="937"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w:t>
            </w:r>
          </w:p>
        </w:tc>
        <w:tc>
          <w:tcPr>
            <w:tcW w:w="988" w:type="dxa"/>
            <w:tcBorders>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pPr>
            <w:r>
              <w:t>251.8</w:t>
            </w:r>
          </w:p>
        </w:tc>
        <w:tc>
          <w:tcPr>
            <w:tcW w:w="988"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172.8</w:t>
            </w:r>
          </w:p>
        </w:tc>
        <w:tc>
          <w:tcPr>
            <w:tcW w:w="953"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174.5</w:t>
            </w:r>
          </w:p>
        </w:tc>
        <w:tc>
          <w:tcPr>
            <w:tcW w:w="953" w:type="dxa"/>
            <w:tcBorders>
              <w:left w:val="single" w:sz="4" w:space="0" w:color="auto"/>
            </w:tcBorders>
            <w:vAlign w:val="center"/>
          </w:tcPr>
          <w:p w:rsidR="000E3BA0" w:rsidRPr="00670C31" w:rsidRDefault="000E3BA0" w:rsidP="00176163">
            <w:pPr>
              <w:spacing w:before="100" w:beforeAutospacing="1" w:after="100" w:afterAutospacing="1" w:line="480" w:lineRule="auto"/>
              <w:jc w:val="center"/>
            </w:pPr>
            <w:r>
              <w:t>197.9</w:t>
            </w:r>
          </w:p>
        </w:tc>
      </w:tr>
      <w:tr w:rsidR="000E3BA0" w:rsidRPr="00670C31" w:rsidTr="00176163">
        <w:trPr>
          <w:trHeight w:val="720"/>
          <w:jc w:val="center"/>
        </w:trPr>
        <w:tc>
          <w:tcPr>
            <w:tcW w:w="950" w:type="dxa"/>
            <w:tcBorders>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PS</w:t>
            </w:r>
          </w:p>
        </w:tc>
        <w:tc>
          <w:tcPr>
            <w:tcW w:w="988"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101.8</w:t>
            </w:r>
          </w:p>
        </w:tc>
        <w:tc>
          <w:tcPr>
            <w:tcW w:w="937"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w:t>
            </w:r>
          </w:p>
        </w:tc>
        <w:tc>
          <w:tcPr>
            <w:tcW w:w="988" w:type="dxa"/>
            <w:tcBorders>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pPr>
            <w:r>
              <w:t>—</w:t>
            </w:r>
          </w:p>
        </w:tc>
        <w:tc>
          <w:tcPr>
            <w:tcW w:w="988"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89.5</w:t>
            </w:r>
          </w:p>
        </w:tc>
        <w:tc>
          <w:tcPr>
            <w:tcW w:w="953"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221.9</w:t>
            </w:r>
          </w:p>
        </w:tc>
        <w:tc>
          <w:tcPr>
            <w:tcW w:w="953" w:type="dxa"/>
            <w:tcBorders>
              <w:left w:val="single" w:sz="4" w:space="0" w:color="auto"/>
            </w:tcBorders>
            <w:vAlign w:val="center"/>
          </w:tcPr>
          <w:p w:rsidR="000E3BA0" w:rsidRPr="00670C31" w:rsidRDefault="000E3BA0" w:rsidP="00176163">
            <w:pPr>
              <w:spacing w:before="100" w:beforeAutospacing="1" w:after="100" w:afterAutospacing="1" w:line="480" w:lineRule="auto"/>
              <w:jc w:val="center"/>
            </w:pPr>
            <w:r>
              <w:t>198.8</w:t>
            </w:r>
          </w:p>
        </w:tc>
      </w:tr>
      <w:tr w:rsidR="000E3BA0" w:rsidRPr="00670C31" w:rsidTr="00176163">
        <w:trPr>
          <w:trHeight w:val="720"/>
          <w:jc w:val="center"/>
        </w:trPr>
        <w:tc>
          <w:tcPr>
            <w:tcW w:w="950" w:type="dxa"/>
            <w:tcBorders>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HL</w:t>
            </w:r>
          </w:p>
        </w:tc>
        <w:tc>
          <w:tcPr>
            <w:tcW w:w="988"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248.9</w:t>
            </w:r>
          </w:p>
        </w:tc>
        <w:tc>
          <w:tcPr>
            <w:tcW w:w="937" w:type="dxa"/>
            <w:tcBorders>
              <w:left w:val="single" w:sz="4"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130.4</w:t>
            </w:r>
          </w:p>
        </w:tc>
        <w:tc>
          <w:tcPr>
            <w:tcW w:w="988" w:type="dxa"/>
            <w:tcBorders>
              <w:left w:val="single" w:sz="4"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t>—</w:t>
            </w:r>
          </w:p>
        </w:tc>
        <w:tc>
          <w:tcPr>
            <w:tcW w:w="988"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259.7</w:t>
            </w:r>
          </w:p>
        </w:tc>
        <w:tc>
          <w:tcPr>
            <w:tcW w:w="953" w:type="dxa"/>
            <w:tcBorders>
              <w:lef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color w:val="000000"/>
              </w:rPr>
            </w:pPr>
            <w:r>
              <w:rPr>
                <w:color w:val="000000"/>
              </w:rPr>
              <w:t>226.1</w:t>
            </w:r>
          </w:p>
        </w:tc>
        <w:tc>
          <w:tcPr>
            <w:tcW w:w="953" w:type="dxa"/>
            <w:tcBorders>
              <w:left w:val="single" w:sz="4" w:space="0" w:color="auto"/>
            </w:tcBorders>
            <w:vAlign w:val="center"/>
          </w:tcPr>
          <w:p w:rsidR="000E3BA0" w:rsidRPr="00670C31" w:rsidRDefault="000E3BA0" w:rsidP="00176163">
            <w:pPr>
              <w:spacing w:before="100" w:beforeAutospacing="1" w:after="100" w:afterAutospacing="1" w:line="480" w:lineRule="auto"/>
              <w:jc w:val="center"/>
              <w:rPr>
                <w:color w:val="000000"/>
              </w:rPr>
            </w:pPr>
            <w:r>
              <w:rPr>
                <w:color w:val="000000"/>
              </w:rPr>
              <w:t>208.8</w:t>
            </w:r>
          </w:p>
        </w:tc>
      </w:tr>
      <w:tr w:rsidR="000E3BA0" w:rsidRPr="00670C31" w:rsidTr="00176163">
        <w:trPr>
          <w:trHeight w:val="720"/>
          <w:jc w:val="center"/>
        </w:trPr>
        <w:tc>
          <w:tcPr>
            <w:tcW w:w="950" w:type="dxa"/>
            <w:tcBorders>
              <w:bottom w:val="single" w:sz="18"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rPr>
                <w:b/>
                <w:i/>
              </w:rPr>
            </w:pPr>
            <w:r>
              <w:rPr>
                <w:b/>
                <w:i/>
              </w:rPr>
              <w:t>HP</w:t>
            </w:r>
          </w:p>
        </w:tc>
        <w:tc>
          <w:tcPr>
            <w:tcW w:w="988" w:type="dxa"/>
            <w:tcBorders>
              <w:left w:val="single" w:sz="4" w:space="0" w:color="auto"/>
              <w:bottom w:val="single" w:sz="18"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260.1</w:t>
            </w:r>
          </w:p>
        </w:tc>
        <w:tc>
          <w:tcPr>
            <w:tcW w:w="937" w:type="dxa"/>
            <w:tcBorders>
              <w:left w:val="single" w:sz="4" w:space="0" w:color="auto"/>
              <w:bottom w:val="single" w:sz="18" w:space="0" w:color="auto"/>
              <w:right w:val="single" w:sz="4"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w:t>
            </w:r>
          </w:p>
        </w:tc>
        <w:tc>
          <w:tcPr>
            <w:tcW w:w="988" w:type="dxa"/>
            <w:tcBorders>
              <w:left w:val="single" w:sz="4" w:space="0" w:color="auto"/>
              <w:bottom w:val="single" w:sz="18" w:space="0" w:color="auto"/>
              <w:right w:val="single" w:sz="4" w:space="0" w:color="auto"/>
            </w:tcBorders>
            <w:vAlign w:val="center"/>
          </w:tcPr>
          <w:p w:rsidR="000E3BA0" w:rsidRPr="00670C31" w:rsidRDefault="000E3BA0" w:rsidP="00176163">
            <w:pPr>
              <w:spacing w:before="100" w:beforeAutospacing="1" w:after="100" w:afterAutospacing="1" w:line="480" w:lineRule="auto"/>
              <w:jc w:val="center"/>
            </w:pPr>
            <w:r>
              <w:t>225.7</w:t>
            </w:r>
          </w:p>
        </w:tc>
        <w:tc>
          <w:tcPr>
            <w:tcW w:w="988" w:type="dxa"/>
            <w:tcBorders>
              <w:left w:val="single" w:sz="4" w:space="0" w:color="auto"/>
              <w:bottom w:val="single" w:sz="18"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249.2</w:t>
            </w:r>
          </w:p>
        </w:tc>
        <w:tc>
          <w:tcPr>
            <w:tcW w:w="953" w:type="dxa"/>
            <w:tcBorders>
              <w:left w:val="single" w:sz="4" w:space="0" w:color="auto"/>
              <w:bottom w:val="single" w:sz="18" w:space="0" w:color="auto"/>
            </w:tcBorders>
            <w:shd w:val="clear" w:color="auto" w:fill="auto"/>
            <w:vAlign w:val="center"/>
          </w:tcPr>
          <w:p w:rsidR="000E3BA0" w:rsidRPr="00670C31" w:rsidRDefault="000E3BA0" w:rsidP="00176163">
            <w:pPr>
              <w:spacing w:before="100" w:beforeAutospacing="1" w:after="100" w:afterAutospacing="1" w:line="480" w:lineRule="auto"/>
              <w:jc w:val="center"/>
            </w:pPr>
            <w:r>
              <w:t>220.1</w:t>
            </w:r>
          </w:p>
        </w:tc>
        <w:tc>
          <w:tcPr>
            <w:tcW w:w="953" w:type="dxa"/>
            <w:tcBorders>
              <w:left w:val="single" w:sz="4" w:space="0" w:color="auto"/>
              <w:bottom w:val="single" w:sz="18" w:space="0" w:color="auto"/>
            </w:tcBorders>
            <w:vAlign w:val="center"/>
          </w:tcPr>
          <w:p w:rsidR="000E3BA0" w:rsidRPr="00670C31" w:rsidRDefault="000E3BA0" w:rsidP="00176163">
            <w:pPr>
              <w:spacing w:before="100" w:beforeAutospacing="1" w:after="100" w:afterAutospacing="1" w:line="480" w:lineRule="auto"/>
              <w:jc w:val="center"/>
            </w:pPr>
            <w:r>
              <w:t>209.2</w:t>
            </w:r>
          </w:p>
        </w:tc>
      </w:tr>
    </w:tbl>
    <w:p w:rsidR="000E3BA0" w:rsidRDefault="000E3BA0" w:rsidP="000E3BA0"/>
    <w:p w:rsidR="000E3BA0" w:rsidRDefault="000E3BA0" w:rsidP="000E3BA0"/>
    <w:p w:rsidR="000E3BA0" w:rsidRDefault="000E3BA0" w:rsidP="000E3BA0"/>
    <w:p w:rsidR="00682FA6" w:rsidRDefault="00682FA6"/>
    <w:p w:rsidR="00FC3BC3" w:rsidRDefault="00FC3BC3" w:rsidP="00573F2F">
      <w:pPr>
        <w:spacing w:line="480" w:lineRule="auto"/>
      </w:pPr>
      <w:r>
        <w:lastRenderedPageBreak/>
        <w:t>Supplementary Table 2.</w:t>
      </w:r>
      <w:r w:rsidR="00581821">
        <w:t xml:space="preserve"> </w:t>
      </w:r>
      <w:r w:rsidR="00796B6A">
        <w:t>(Left) R</w:t>
      </w:r>
      <w:r w:rsidR="00796B6A">
        <w:t xml:space="preserve">elative contribution </w:t>
      </w:r>
      <w:r w:rsidR="00796B6A">
        <w:t>of gear types to total w</w:t>
      </w:r>
      <w:r w:rsidR="00581821">
        <w:t>estern stock landings</w:t>
      </w:r>
      <w:r w:rsidR="00470A2A">
        <w:t xml:space="preserve"> </w:t>
      </w:r>
      <w:r w:rsidR="00573F2F">
        <w:t>(</w:t>
      </w:r>
      <w:r w:rsidR="00796B6A">
        <w:t>%</w:t>
      </w:r>
      <w:r w:rsidR="00573F2F">
        <w:t>)</w:t>
      </w:r>
      <w:r w:rsidR="00796B6A">
        <w:t xml:space="preserve"> </w:t>
      </w:r>
      <w:r w:rsidR="00470A2A">
        <w:t>for years included in the otolith dataset (1970s: 1974-1978; 1990s: 1996-2002; 2010s: 2009-2014)</w:t>
      </w:r>
      <w:r w:rsidR="00581821">
        <w:t>.</w:t>
      </w:r>
      <w:r w:rsidR="00470A2A">
        <w:t xml:space="preserve"> </w:t>
      </w:r>
      <w:r w:rsidR="00796B6A">
        <w:t xml:space="preserve">(Right) </w:t>
      </w:r>
      <w:r w:rsidR="0032358D">
        <w:t>R</w:t>
      </w:r>
      <w:r w:rsidR="0032358D">
        <w:t xml:space="preserve">elative contribution </w:t>
      </w:r>
      <w:r w:rsidR="0032358D">
        <w:t xml:space="preserve">of gear types to total </w:t>
      </w:r>
      <w:r w:rsidR="00796B6A">
        <w:t>US landings (</w:t>
      </w:r>
      <w:r w:rsidR="0032358D">
        <w:t>%</w:t>
      </w:r>
      <w:r w:rsidR="00796B6A">
        <w:t>)</w:t>
      </w:r>
      <w:r w:rsidR="0032358D">
        <w:t xml:space="preserve"> </w:t>
      </w:r>
      <w:r w:rsidR="00796B6A">
        <w:t xml:space="preserve">for years included in the otolith dataset (1970s: 1974-1978; 1990s: 1996-2002; 2010s: 2009-2014). </w:t>
      </w:r>
      <w:r w:rsidR="00470A2A">
        <w:t>BB=</w:t>
      </w:r>
      <w:proofErr w:type="spellStart"/>
      <w:r w:rsidR="00470A2A">
        <w:t>baitboat</w:t>
      </w:r>
      <w:proofErr w:type="spellEnd"/>
      <w:r w:rsidR="00470A2A">
        <w:t>, GN=gillnet, HL=handline, HP=harpoon, LL=longline, PS=purse seine, RR=rod-and-reel, TL=tended line, TP=trap, TR=troll, TW=trawl, UN=unclassified. Data from ICCAT (</w:t>
      </w:r>
      <w:hyperlink r:id="rId4" w:history="1">
        <w:r w:rsidR="00573F2F" w:rsidRPr="00C22E70">
          <w:rPr>
            <w:rStyle w:val="Hyperlink"/>
          </w:rPr>
          <w:t>https://www.iccat.int/en/accesingdb.htm</w:t>
        </w:r>
      </w:hyperlink>
      <w:r w:rsidR="00470A2A">
        <w:t>).</w:t>
      </w:r>
      <w:r w:rsidR="0032358D">
        <w:t xml:space="preserve"> </w:t>
      </w:r>
    </w:p>
    <w:p w:rsidR="00FC3BC3" w:rsidRDefault="00FC3BC3"/>
    <w:tbl>
      <w:tblPr>
        <w:tblStyle w:val="GridTable3"/>
        <w:tblW w:w="8574" w:type="dxa"/>
        <w:jc w:val="center"/>
        <w:tblLook w:val="04A0" w:firstRow="1" w:lastRow="0" w:firstColumn="1" w:lastColumn="0" w:noHBand="0" w:noVBand="1"/>
      </w:tblPr>
      <w:tblGrid>
        <w:gridCol w:w="1065"/>
        <w:gridCol w:w="1317"/>
        <w:gridCol w:w="1317"/>
        <w:gridCol w:w="1317"/>
        <w:gridCol w:w="1186"/>
        <w:gridCol w:w="1186"/>
        <w:gridCol w:w="1186"/>
      </w:tblGrid>
      <w:tr w:rsidR="0032358D" w:rsidRPr="0032358D" w:rsidTr="0032358D">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12" w:space="0" w:color="auto"/>
              <w:bottom w:val="single" w:sz="18" w:space="0" w:color="auto"/>
              <w:right w:val="single" w:sz="18" w:space="0" w:color="auto"/>
            </w:tcBorders>
            <w:shd w:val="clear" w:color="auto" w:fill="auto"/>
            <w:noWrap/>
            <w:vAlign w:val="center"/>
          </w:tcPr>
          <w:p w:rsidR="0032358D" w:rsidRPr="0032358D" w:rsidRDefault="0032358D" w:rsidP="0032358D">
            <w:pPr>
              <w:spacing w:after="120"/>
              <w:jc w:val="center"/>
              <w:rPr>
                <w:color w:val="000000"/>
              </w:rPr>
            </w:pPr>
          </w:p>
        </w:tc>
        <w:tc>
          <w:tcPr>
            <w:tcW w:w="0" w:type="auto"/>
            <w:gridSpan w:val="3"/>
            <w:tcBorders>
              <w:top w:val="single" w:sz="12" w:space="0" w:color="auto"/>
              <w:left w:val="single" w:sz="18" w:space="0" w:color="auto"/>
              <w:bottom w:val="single" w:sz="18" w:space="0" w:color="auto"/>
              <w:right w:val="single" w:sz="18" w:space="0" w:color="auto"/>
            </w:tcBorders>
            <w:shd w:val="clear" w:color="auto" w:fill="auto"/>
            <w:noWrap/>
            <w:vAlign w:val="center"/>
          </w:tcPr>
          <w:p w:rsidR="0032358D" w:rsidRPr="0032358D" w:rsidRDefault="0032358D" w:rsidP="0032358D">
            <w:pPr>
              <w:spacing w:after="120"/>
              <w:jc w:val="center"/>
              <w:cnfStyle w:val="100000000000" w:firstRow="1" w:lastRow="0" w:firstColumn="0" w:lastColumn="0" w:oddVBand="0" w:evenVBand="0" w:oddHBand="0" w:evenHBand="0" w:firstRowFirstColumn="0" w:firstRowLastColumn="0" w:lastRowFirstColumn="0" w:lastRowLastColumn="0"/>
              <w:rPr>
                <w:i/>
                <w:color w:val="000000"/>
              </w:rPr>
            </w:pPr>
            <w:r w:rsidRPr="0032358D">
              <w:rPr>
                <w:i/>
                <w:color w:val="000000"/>
              </w:rPr>
              <w:t>Western Stock Landings</w:t>
            </w:r>
          </w:p>
        </w:tc>
        <w:tc>
          <w:tcPr>
            <w:tcW w:w="0" w:type="auto"/>
            <w:gridSpan w:val="3"/>
            <w:tcBorders>
              <w:top w:val="single" w:sz="12" w:space="0" w:color="auto"/>
              <w:left w:val="single" w:sz="18" w:space="0" w:color="auto"/>
              <w:bottom w:val="single" w:sz="18" w:space="0" w:color="auto"/>
            </w:tcBorders>
            <w:shd w:val="clear" w:color="auto" w:fill="auto"/>
            <w:vAlign w:val="center"/>
          </w:tcPr>
          <w:p w:rsidR="0032358D" w:rsidRPr="0032358D" w:rsidRDefault="0032358D" w:rsidP="0032358D">
            <w:pPr>
              <w:spacing w:after="120"/>
              <w:jc w:val="center"/>
              <w:cnfStyle w:val="100000000000" w:firstRow="1" w:lastRow="0" w:firstColumn="0" w:lastColumn="0" w:oddVBand="0" w:evenVBand="0" w:oddHBand="0" w:evenHBand="0" w:firstRowFirstColumn="0" w:firstRowLastColumn="0" w:lastRowFirstColumn="0" w:lastRowLastColumn="0"/>
              <w:rPr>
                <w:i/>
                <w:color w:val="000000"/>
              </w:rPr>
            </w:pPr>
            <w:r w:rsidRPr="0032358D">
              <w:rPr>
                <w:i/>
                <w:color w:val="000000"/>
              </w:rPr>
              <w:t>US Landings</w:t>
            </w:r>
          </w:p>
        </w:tc>
      </w:tr>
      <w:tr w:rsidR="0032358D" w:rsidRPr="0032358D" w:rsidTr="0032358D">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8" w:space="0" w:color="auto"/>
            </w:tcBorders>
            <w:shd w:val="clear" w:color="auto" w:fill="auto"/>
            <w:noWrap/>
            <w:vAlign w:val="center"/>
            <w:hideMark/>
          </w:tcPr>
          <w:p w:rsidR="00796B6A" w:rsidRPr="0032358D" w:rsidRDefault="00796B6A" w:rsidP="0032358D">
            <w:pPr>
              <w:spacing w:after="120"/>
              <w:jc w:val="center"/>
              <w:rPr>
                <w:color w:val="000000"/>
              </w:rPr>
            </w:pPr>
            <w:r w:rsidRPr="0032358D">
              <w:rPr>
                <w:color w:val="000000"/>
              </w:rPr>
              <w:t>Gear</w:t>
            </w:r>
          </w:p>
        </w:tc>
        <w:tc>
          <w:tcPr>
            <w:tcW w:w="0" w:type="auto"/>
            <w:tcBorders>
              <w:top w:val="single" w:sz="12" w:space="0" w:color="auto"/>
              <w:bottom w:val="single" w:sz="18" w:space="0" w:color="auto"/>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1970s</w:t>
            </w:r>
          </w:p>
        </w:tc>
        <w:tc>
          <w:tcPr>
            <w:tcW w:w="0" w:type="auto"/>
            <w:tcBorders>
              <w:top w:val="single" w:sz="12" w:space="0" w:color="auto"/>
              <w:bottom w:val="single" w:sz="18" w:space="0" w:color="auto"/>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1990s</w:t>
            </w:r>
          </w:p>
        </w:tc>
        <w:tc>
          <w:tcPr>
            <w:tcW w:w="0" w:type="auto"/>
            <w:tcBorders>
              <w:top w:val="single" w:sz="12" w:space="0" w:color="auto"/>
              <w:bottom w:val="single" w:sz="18" w:space="0" w:color="auto"/>
            </w:tcBorders>
            <w:shd w:val="clear" w:color="auto" w:fill="auto"/>
            <w:noWrap/>
            <w:vAlign w:val="center"/>
            <w:hideMark/>
          </w:tcPr>
          <w:p w:rsidR="00796B6A"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2010s</w:t>
            </w:r>
          </w:p>
        </w:tc>
        <w:tc>
          <w:tcPr>
            <w:tcW w:w="0" w:type="auto"/>
            <w:tcBorders>
              <w:top w:val="single" w:sz="12" w:space="0" w:color="auto"/>
              <w:bottom w:val="single" w:sz="18" w:space="0" w:color="auto"/>
            </w:tcBorders>
            <w:shd w:val="clear" w:color="auto" w:fill="auto"/>
            <w:vAlign w:val="center"/>
          </w:tcPr>
          <w:p w:rsidR="00796B6A"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1970s</w:t>
            </w:r>
          </w:p>
        </w:tc>
        <w:tc>
          <w:tcPr>
            <w:tcW w:w="0" w:type="auto"/>
            <w:tcBorders>
              <w:top w:val="single" w:sz="12" w:space="0" w:color="auto"/>
              <w:bottom w:val="single" w:sz="18" w:space="0" w:color="auto"/>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1</w:t>
            </w:r>
            <w:r w:rsidR="0032358D" w:rsidRPr="0032358D">
              <w:rPr>
                <w:i/>
                <w:color w:val="000000"/>
              </w:rPr>
              <w:t>990s</w:t>
            </w:r>
          </w:p>
        </w:tc>
        <w:tc>
          <w:tcPr>
            <w:tcW w:w="0" w:type="auto"/>
            <w:tcBorders>
              <w:top w:val="single" w:sz="12" w:space="0" w:color="auto"/>
              <w:bottom w:val="single" w:sz="18" w:space="0" w:color="auto"/>
            </w:tcBorders>
            <w:shd w:val="clear" w:color="auto" w:fill="auto"/>
            <w:vAlign w:val="center"/>
          </w:tcPr>
          <w:p w:rsidR="00796B6A"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i/>
                <w:color w:val="000000"/>
              </w:rPr>
            </w:pPr>
            <w:r w:rsidRPr="0032358D">
              <w:rPr>
                <w:i/>
                <w:color w:val="000000"/>
              </w:rPr>
              <w:t>2010s</w:t>
            </w:r>
          </w:p>
        </w:tc>
      </w:tr>
      <w:tr w:rsidR="0032358D" w:rsidRPr="0032358D" w:rsidTr="000E1C54">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right w:val="nil"/>
            </w:tcBorders>
            <w:shd w:val="clear" w:color="auto" w:fill="auto"/>
            <w:noWrap/>
            <w:vAlign w:val="center"/>
            <w:hideMark/>
          </w:tcPr>
          <w:p w:rsidR="0032358D" w:rsidRPr="0032358D" w:rsidRDefault="0032358D" w:rsidP="0032358D">
            <w:pPr>
              <w:spacing w:after="120"/>
              <w:jc w:val="center"/>
              <w:rPr>
                <w:b/>
                <w:bCs/>
                <w:color w:val="000000"/>
              </w:rPr>
            </w:pPr>
            <w:r w:rsidRPr="0032358D">
              <w:rPr>
                <w:b/>
                <w:bCs/>
                <w:color w:val="000000"/>
              </w:rPr>
              <w:t>BB</w:t>
            </w:r>
          </w:p>
        </w:tc>
        <w:tc>
          <w:tcPr>
            <w:tcW w:w="0" w:type="auto"/>
            <w:tcBorders>
              <w:top w:val="single" w:sz="18" w:space="0" w:color="auto"/>
              <w:left w:val="nil"/>
              <w:bottom w:val="nil"/>
              <w:right w:val="nil"/>
            </w:tcBorders>
            <w:shd w:val="clear" w:color="auto" w:fill="auto"/>
            <w:noWrap/>
            <w:vAlign w:val="center"/>
            <w:hideMark/>
          </w:tcPr>
          <w:p w:rsidR="0032358D" w:rsidRPr="0032358D" w:rsidRDefault="0032358D"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single" w:sz="18" w:space="0" w:color="auto"/>
              <w:left w:val="nil"/>
              <w:bottom w:val="nil"/>
              <w:right w:val="nil"/>
            </w:tcBorders>
            <w:shd w:val="clear" w:color="auto" w:fill="auto"/>
            <w:noWrap/>
            <w:vAlign w:val="center"/>
            <w:hideMark/>
          </w:tcPr>
          <w:p w:rsidR="0032358D" w:rsidRPr="0032358D" w:rsidRDefault="0032358D"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single" w:sz="18" w:space="0" w:color="auto"/>
              <w:left w:val="nil"/>
              <w:bottom w:val="nil"/>
              <w:right w:val="nil"/>
            </w:tcBorders>
            <w:shd w:val="clear" w:color="auto" w:fill="auto"/>
            <w:noWrap/>
            <w:vAlign w:val="center"/>
            <w:hideMark/>
          </w:tcPr>
          <w:p w:rsidR="0032358D" w:rsidRPr="0032358D" w:rsidRDefault="0032358D"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single" w:sz="18" w:space="0" w:color="auto"/>
              <w:left w:val="nil"/>
              <w:bottom w:val="nil"/>
              <w:right w:val="nil"/>
            </w:tcBorders>
            <w:shd w:val="clear" w:color="auto" w:fill="auto"/>
          </w:tcPr>
          <w:p w:rsidR="0032358D" w:rsidRDefault="0032358D" w:rsidP="0032358D">
            <w:pPr>
              <w:jc w:val="center"/>
              <w:cnfStyle w:val="000000000000" w:firstRow="0" w:lastRow="0" w:firstColumn="0" w:lastColumn="0" w:oddVBand="0" w:evenVBand="0" w:oddHBand="0" w:evenHBand="0" w:firstRowFirstColumn="0" w:firstRowLastColumn="0" w:lastRowFirstColumn="0" w:lastRowLastColumn="0"/>
            </w:pPr>
            <w:r w:rsidRPr="00B51A53">
              <w:t>—</w:t>
            </w:r>
          </w:p>
        </w:tc>
        <w:tc>
          <w:tcPr>
            <w:tcW w:w="0" w:type="auto"/>
            <w:tcBorders>
              <w:top w:val="single" w:sz="18" w:space="0" w:color="auto"/>
              <w:left w:val="nil"/>
              <w:bottom w:val="nil"/>
              <w:right w:val="nil"/>
            </w:tcBorders>
            <w:shd w:val="clear" w:color="auto" w:fill="auto"/>
          </w:tcPr>
          <w:p w:rsidR="0032358D" w:rsidRDefault="0032358D" w:rsidP="0032358D">
            <w:pPr>
              <w:jc w:val="center"/>
              <w:cnfStyle w:val="000000000000" w:firstRow="0" w:lastRow="0" w:firstColumn="0" w:lastColumn="0" w:oddVBand="0" w:evenVBand="0" w:oddHBand="0" w:evenHBand="0" w:firstRowFirstColumn="0" w:firstRowLastColumn="0" w:lastRowFirstColumn="0" w:lastRowLastColumn="0"/>
            </w:pPr>
            <w:r w:rsidRPr="00B51A53">
              <w:t>—</w:t>
            </w:r>
          </w:p>
        </w:tc>
        <w:tc>
          <w:tcPr>
            <w:tcW w:w="0" w:type="auto"/>
            <w:tcBorders>
              <w:top w:val="single" w:sz="18" w:space="0" w:color="auto"/>
              <w:left w:val="nil"/>
              <w:bottom w:val="nil"/>
              <w:right w:val="nil"/>
            </w:tcBorders>
            <w:shd w:val="clear" w:color="auto" w:fill="auto"/>
          </w:tcPr>
          <w:p w:rsidR="0032358D" w:rsidRDefault="0032358D" w:rsidP="0032358D">
            <w:pPr>
              <w:jc w:val="center"/>
              <w:cnfStyle w:val="000000000000" w:firstRow="0" w:lastRow="0" w:firstColumn="0" w:lastColumn="0" w:oddVBand="0" w:evenVBand="0" w:oddHBand="0" w:evenHBand="0" w:firstRowFirstColumn="0" w:firstRowLastColumn="0" w:lastRowFirstColumn="0" w:lastRowLastColumn="0"/>
            </w:pPr>
            <w:r w:rsidRPr="00B51A53">
              <w:t>—</w:t>
            </w:r>
          </w:p>
        </w:tc>
      </w:tr>
      <w:tr w:rsidR="0032358D" w:rsidRPr="0032358D" w:rsidTr="0032358D">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GN</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r>
      <w:tr w:rsidR="0032358D" w:rsidRPr="0032358D" w:rsidTr="0032358D">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HL</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3</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1</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7</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1</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r>
      <w:tr w:rsidR="0032358D" w:rsidRPr="0032358D" w:rsidTr="0032358D">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HP</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2</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5</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4</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6</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7</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6</w:t>
            </w:r>
          </w:p>
        </w:tc>
      </w:tr>
      <w:tr w:rsidR="0032358D" w:rsidRPr="0032358D" w:rsidTr="0032358D">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LL</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44</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31</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39</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13</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28</w:t>
            </w:r>
          </w:p>
        </w:tc>
        <w:bookmarkStart w:id="0" w:name="_GoBack"/>
        <w:bookmarkEnd w:id="0"/>
      </w:tr>
      <w:tr w:rsidR="0032358D" w:rsidRPr="0032358D" w:rsidTr="0032358D">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PS</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26</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9</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1</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52</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16</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2</w:t>
            </w:r>
          </w:p>
        </w:tc>
      </w:tr>
      <w:tr w:rsidR="0032358D" w:rsidRPr="0032358D" w:rsidTr="0032358D">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RR</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20</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48</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52</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34</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63</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64</w:t>
            </w:r>
          </w:p>
        </w:tc>
      </w:tr>
      <w:tr w:rsidR="0032358D" w:rsidRPr="0032358D" w:rsidTr="00B4585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32358D" w:rsidRPr="0032358D" w:rsidRDefault="0032358D" w:rsidP="0032358D">
            <w:pPr>
              <w:spacing w:after="120"/>
              <w:jc w:val="center"/>
              <w:rPr>
                <w:b/>
                <w:bCs/>
                <w:color w:val="000000"/>
              </w:rPr>
            </w:pPr>
            <w:r w:rsidRPr="0032358D">
              <w:rPr>
                <w:b/>
                <w:bCs/>
                <w:color w:val="000000"/>
              </w:rPr>
              <w:t>TL</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5</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2</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EE4AEF">
              <w:t>—</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EE4AEF">
              <w:t>—</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EE4AEF">
              <w:t>—</w:t>
            </w:r>
          </w:p>
        </w:tc>
      </w:tr>
      <w:tr w:rsidR="0032358D" w:rsidRPr="0032358D" w:rsidTr="0032358D">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TP</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4</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2</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1</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r>
      <w:tr w:rsidR="0032358D" w:rsidRPr="0032358D" w:rsidTr="00397B2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32358D" w:rsidRPr="0032358D" w:rsidRDefault="0032358D" w:rsidP="0032358D">
            <w:pPr>
              <w:spacing w:after="120"/>
              <w:jc w:val="center"/>
              <w:rPr>
                <w:b/>
                <w:bCs/>
                <w:color w:val="000000"/>
              </w:rPr>
            </w:pPr>
            <w:r w:rsidRPr="0032358D">
              <w:rPr>
                <w:b/>
                <w:bCs/>
                <w:color w:val="000000"/>
              </w:rPr>
              <w:t>TR</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32358D" w:rsidRPr="0032358D" w:rsidRDefault="0032358D"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8874DB">
              <w:t>—</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8874DB">
              <w:t>—</w:t>
            </w:r>
          </w:p>
        </w:tc>
        <w:tc>
          <w:tcPr>
            <w:tcW w:w="0" w:type="auto"/>
            <w:tcBorders>
              <w:top w:val="nil"/>
              <w:left w:val="nil"/>
              <w:bottom w:val="nil"/>
              <w:right w:val="nil"/>
            </w:tcBorders>
            <w:shd w:val="clear" w:color="auto" w:fill="auto"/>
          </w:tcPr>
          <w:p w:rsidR="0032358D" w:rsidRDefault="0032358D" w:rsidP="0032358D">
            <w:pPr>
              <w:jc w:val="center"/>
              <w:cnfStyle w:val="000000100000" w:firstRow="0" w:lastRow="0" w:firstColumn="0" w:lastColumn="0" w:oddVBand="0" w:evenVBand="0" w:oddHBand="1" w:evenHBand="0" w:firstRowFirstColumn="0" w:firstRowLastColumn="0" w:lastRowFirstColumn="0" w:lastRowLastColumn="0"/>
            </w:pPr>
            <w:r w:rsidRPr="008874DB">
              <w:t>—</w:t>
            </w:r>
          </w:p>
        </w:tc>
      </w:tr>
      <w:tr w:rsidR="0032358D" w:rsidRPr="0032358D" w:rsidTr="0032358D">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TW</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noWrap/>
            <w:vAlign w:val="center"/>
            <w:hideMark/>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c>
          <w:tcPr>
            <w:tcW w:w="0" w:type="auto"/>
            <w:tcBorders>
              <w:top w:val="nil"/>
              <w:left w:val="nil"/>
              <w:bottom w:val="nil"/>
              <w:right w:val="nil"/>
            </w:tcBorders>
            <w:shd w:val="clear" w:color="auto" w:fill="auto"/>
            <w:vAlign w:val="center"/>
          </w:tcPr>
          <w:p w:rsidR="00796B6A" w:rsidRPr="0032358D" w:rsidRDefault="00796B6A" w:rsidP="0032358D">
            <w:pPr>
              <w:spacing w:after="120"/>
              <w:jc w:val="center"/>
              <w:cnfStyle w:val="000000000000" w:firstRow="0" w:lastRow="0" w:firstColumn="0" w:lastColumn="0" w:oddVBand="0" w:evenVBand="0" w:oddHBand="0" w:evenHBand="0" w:firstRowFirstColumn="0" w:firstRowLastColumn="0" w:lastRowFirstColumn="0" w:lastRowLastColumn="0"/>
              <w:rPr>
                <w:color w:val="000000"/>
              </w:rPr>
            </w:pPr>
            <w:r w:rsidRPr="0032358D">
              <w:rPr>
                <w:color w:val="000000"/>
              </w:rPr>
              <w:t>0</w:t>
            </w:r>
          </w:p>
        </w:tc>
      </w:tr>
      <w:tr w:rsidR="0032358D" w:rsidRPr="0032358D" w:rsidTr="0032358D">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8" w:space="0" w:color="auto"/>
              <w:right w:val="nil"/>
            </w:tcBorders>
            <w:shd w:val="clear" w:color="auto" w:fill="auto"/>
            <w:noWrap/>
            <w:vAlign w:val="center"/>
            <w:hideMark/>
          </w:tcPr>
          <w:p w:rsidR="00796B6A" w:rsidRPr="0032358D" w:rsidRDefault="00796B6A" w:rsidP="0032358D">
            <w:pPr>
              <w:spacing w:after="120"/>
              <w:jc w:val="center"/>
              <w:rPr>
                <w:b/>
                <w:bCs/>
                <w:color w:val="000000"/>
              </w:rPr>
            </w:pPr>
            <w:r w:rsidRPr="0032358D">
              <w:rPr>
                <w:b/>
                <w:bCs/>
                <w:color w:val="000000"/>
              </w:rPr>
              <w:t>UN</w:t>
            </w:r>
          </w:p>
        </w:tc>
        <w:tc>
          <w:tcPr>
            <w:tcW w:w="0" w:type="auto"/>
            <w:tcBorders>
              <w:top w:val="nil"/>
              <w:left w:val="nil"/>
              <w:bottom w:val="single" w:sz="18" w:space="0" w:color="auto"/>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1</w:t>
            </w:r>
          </w:p>
        </w:tc>
        <w:tc>
          <w:tcPr>
            <w:tcW w:w="0" w:type="auto"/>
            <w:tcBorders>
              <w:top w:val="nil"/>
              <w:left w:val="nil"/>
              <w:bottom w:val="single" w:sz="18" w:space="0" w:color="auto"/>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single" w:sz="18" w:space="0" w:color="auto"/>
              <w:right w:val="nil"/>
            </w:tcBorders>
            <w:shd w:val="clear" w:color="auto" w:fill="auto"/>
            <w:noWrap/>
            <w:vAlign w:val="center"/>
            <w:hideMark/>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single" w:sz="18" w:space="0" w:color="auto"/>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1</w:t>
            </w:r>
          </w:p>
        </w:tc>
        <w:tc>
          <w:tcPr>
            <w:tcW w:w="0" w:type="auto"/>
            <w:tcBorders>
              <w:top w:val="nil"/>
              <w:left w:val="nil"/>
              <w:bottom w:val="single" w:sz="18" w:space="0" w:color="auto"/>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c>
          <w:tcPr>
            <w:tcW w:w="0" w:type="auto"/>
            <w:tcBorders>
              <w:top w:val="nil"/>
              <w:left w:val="nil"/>
              <w:bottom w:val="single" w:sz="18" w:space="0" w:color="auto"/>
              <w:right w:val="nil"/>
            </w:tcBorders>
            <w:shd w:val="clear" w:color="auto" w:fill="auto"/>
            <w:vAlign w:val="center"/>
          </w:tcPr>
          <w:p w:rsidR="00796B6A" w:rsidRPr="0032358D" w:rsidRDefault="00796B6A" w:rsidP="0032358D">
            <w:pPr>
              <w:spacing w:after="120"/>
              <w:jc w:val="center"/>
              <w:cnfStyle w:val="000000100000" w:firstRow="0" w:lastRow="0" w:firstColumn="0" w:lastColumn="0" w:oddVBand="0" w:evenVBand="0" w:oddHBand="1" w:evenHBand="0" w:firstRowFirstColumn="0" w:firstRowLastColumn="0" w:lastRowFirstColumn="0" w:lastRowLastColumn="0"/>
              <w:rPr>
                <w:color w:val="000000"/>
              </w:rPr>
            </w:pPr>
            <w:r w:rsidRPr="0032358D">
              <w:rPr>
                <w:color w:val="000000"/>
              </w:rPr>
              <w:t>0</w:t>
            </w:r>
          </w:p>
        </w:tc>
      </w:tr>
    </w:tbl>
    <w:p w:rsidR="00FC3BC3" w:rsidRDefault="00FC3BC3"/>
    <w:p w:rsidR="00581821" w:rsidRDefault="00581821"/>
    <w:p w:rsidR="000E3BA0" w:rsidRDefault="000E3BA0" w:rsidP="000E3BA0">
      <w:pPr>
        <w:spacing w:line="480" w:lineRule="auto"/>
      </w:pPr>
      <w:r>
        <w:lastRenderedPageBreak/>
        <w:t xml:space="preserve">Supplementary </w:t>
      </w:r>
      <w:r w:rsidRPr="00432BEC">
        <w:t>Fig</w:t>
      </w:r>
      <w:r>
        <w:t xml:space="preserve">ure 1. Catch of ABFT (number of fish) at capture locations (latitude, longitude) for years that overlap with otolith samples (1974-1978, 1996-2002, and 2009-2014). North America resides in the top left half of the figure; the northwest Atlantic Ocean resides in the bottom left half of the figure (Florida is outlined by catch cells at ~ 82 degrees by 27 degrees). </w:t>
      </w:r>
      <w:r w:rsidRPr="0010568F">
        <w:t xml:space="preserve">White boxes correspond to </w:t>
      </w:r>
      <w:r>
        <w:t>catch</w:t>
      </w:r>
      <w:r w:rsidRPr="0010568F">
        <w:t xml:space="preserve"> of 0</w:t>
      </w:r>
      <w:r>
        <w:t xml:space="preserve"> fish</w:t>
      </w:r>
      <w:r w:rsidRPr="0010568F">
        <w:t>, while dark</w:t>
      </w:r>
      <w:r>
        <w:t>er</w:t>
      </w:r>
      <w:r w:rsidRPr="0010568F">
        <w:t xml:space="preserve"> boxes correspond to </w:t>
      </w:r>
      <w:r>
        <w:t xml:space="preserve">incrementally higher catch. ICCAT data from: </w:t>
      </w:r>
      <w:r w:rsidRPr="0035712B">
        <w:t>https://www.iccat.int/en/accesingdb.HTM</w:t>
      </w:r>
    </w:p>
    <w:p w:rsidR="000E3BA0" w:rsidRDefault="000E3BA0" w:rsidP="000E3BA0">
      <w:pPr>
        <w:spacing w:line="480" w:lineRule="auto"/>
        <w:jc w:val="center"/>
      </w:pPr>
      <w:r>
        <w:rPr>
          <w:noProof/>
        </w:rPr>
        <w:drawing>
          <wp:inline distT="0" distB="0" distL="0" distR="0" wp14:anchorId="70B7DDD1" wp14:editId="58C59116">
            <wp:extent cx="6924675" cy="39485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40010" cy="3957305"/>
                    </a:xfrm>
                    <a:prstGeom prst="rect">
                      <a:avLst/>
                    </a:prstGeom>
                  </pic:spPr>
                </pic:pic>
              </a:graphicData>
            </a:graphic>
          </wp:inline>
        </w:drawing>
      </w:r>
    </w:p>
    <w:p w:rsidR="000E3BA0" w:rsidRDefault="000E3BA0" w:rsidP="000E3BA0">
      <w:pPr>
        <w:spacing w:line="480" w:lineRule="auto"/>
      </w:pPr>
      <w:r>
        <w:lastRenderedPageBreak/>
        <w:t xml:space="preserve">Supplementary Figure 2. Catch of ABFT (number of fish) by month for years that overlap with otolith samples (1974-1978, 1996-2002, and 2009-2014). (Left) Data from ICCAT, (right) data from this study. ICCAT data from: </w:t>
      </w:r>
      <w:r w:rsidRPr="0035712B">
        <w:t>https://www.iccat.int/en/accesingdb.HTM</w:t>
      </w:r>
    </w:p>
    <w:p w:rsidR="000E3BA0" w:rsidRDefault="000E3BA0" w:rsidP="000E3BA0">
      <w:pPr>
        <w:spacing w:line="480" w:lineRule="auto"/>
        <w:jc w:val="center"/>
      </w:pPr>
      <w:r>
        <w:rPr>
          <w:noProof/>
        </w:rPr>
        <w:drawing>
          <wp:inline distT="0" distB="0" distL="0" distR="0" wp14:anchorId="2E5BE411" wp14:editId="1649294F">
            <wp:extent cx="8229600" cy="4681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81855"/>
                    </a:xfrm>
                    <a:prstGeom prst="rect">
                      <a:avLst/>
                    </a:prstGeom>
                  </pic:spPr>
                </pic:pic>
              </a:graphicData>
            </a:graphic>
          </wp:inline>
        </w:drawing>
      </w:r>
    </w:p>
    <w:p w:rsidR="000E3BA0" w:rsidRDefault="000E3BA0" w:rsidP="000E3BA0">
      <w:pPr>
        <w:spacing w:line="480" w:lineRule="auto"/>
      </w:pPr>
      <w:r>
        <w:lastRenderedPageBreak/>
        <w:t>Supplementary Figure 3.</w:t>
      </w:r>
      <w:r w:rsidRPr="000746EF">
        <w:t xml:space="preserve"> </w:t>
      </w:r>
      <w:r>
        <w:t xml:space="preserve">(Left) Relative frequency of ABFT (number of fish) caught by gear in the otolith sample. (Right) Relative landings of ABFT (tonnes) caught by gear in catch data from ICCAT. Data from ICCAT queried to only include years that overlap with otolith samples (1974-1978, 1996-2002, and 2009-2014). Harp = Harpoon, LL = Longline, PS = Purse Seine, RR = rod-and-reel; ICCAT data from: </w:t>
      </w:r>
      <w:r w:rsidRPr="0035712B">
        <w:t>https://www.iccat.int/en/accesingdb.HTM</w:t>
      </w:r>
    </w:p>
    <w:p w:rsidR="000E3BA0" w:rsidRDefault="000E3BA0" w:rsidP="000E3BA0">
      <w:pPr>
        <w:spacing w:line="480" w:lineRule="auto"/>
        <w:jc w:val="center"/>
      </w:pPr>
      <w:r>
        <w:rPr>
          <w:noProof/>
        </w:rPr>
        <w:drawing>
          <wp:inline distT="0" distB="0" distL="0" distR="0" wp14:anchorId="0FC279F8" wp14:editId="32CDD066">
            <wp:extent cx="7824158" cy="4451197"/>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26695" cy="4452640"/>
                    </a:xfrm>
                    <a:prstGeom prst="rect">
                      <a:avLst/>
                    </a:prstGeom>
                  </pic:spPr>
                </pic:pic>
              </a:graphicData>
            </a:graphic>
          </wp:inline>
        </w:drawing>
      </w:r>
    </w:p>
    <w:p w:rsidR="000E3BA0" w:rsidRDefault="000E3BA0" w:rsidP="000E3BA0">
      <w:pPr>
        <w:spacing w:line="480" w:lineRule="auto"/>
      </w:pPr>
      <w:r>
        <w:lastRenderedPageBreak/>
        <w:t>Supplementary Figure 4.</w:t>
      </w:r>
      <w:r w:rsidRPr="00F14CD9">
        <w:t xml:space="preserve"> </w:t>
      </w:r>
      <w:r w:rsidRPr="0010568F">
        <w:t xml:space="preserve">Catch-at-size data for Atlantic bluefin tuna </w:t>
      </w:r>
      <w:r>
        <w:t>(</w:t>
      </w:r>
      <w:r>
        <w:rPr>
          <w:i/>
        </w:rPr>
        <w:t>Thunnus thynnus</w:t>
      </w:r>
      <w:r w:rsidRPr="0065681A">
        <w:t>)</w:t>
      </w:r>
      <w:r>
        <w:t xml:space="preserve"> </w:t>
      </w:r>
      <w:r w:rsidRPr="0010568F">
        <w:t>from fisheries operating in the 1970s (1974-1978), 1990s (1996-</w:t>
      </w:r>
      <w:r>
        <w:t xml:space="preserve">2000, </w:t>
      </w:r>
      <w:r w:rsidRPr="0010568F">
        <w:t>2002), and 2010s (2009</w:t>
      </w:r>
      <w:r>
        <w:t xml:space="preserve">-2013). Data was </w:t>
      </w:r>
      <w:r w:rsidRPr="0010568F">
        <w:t xml:space="preserve">obtained </w:t>
      </w:r>
      <w:r>
        <w:t>from</w:t>
      </w:r>
      <w:r w:rsidRPr="0010568F">
        <w:t xml:space="preserve"> the ICCAT database (</w:t>
      </w:r>
      <w:hyperlink r:id="rId8" w:history="1">
        <w:r w:rsidRPr="0010568F">
          <w:rPr>
            <w:rStyle w:val="Hyperlink"/>
          </w:rPr>
          <w:t>https://www.iccat.int/en/accesingdb.htm</w:t>
        </w:r>
      </w:hyperlink>
      <w:r>
        <w:t>) and censored for fish sizes (50-310 cm) and years included in this study.</w:t>
      </w:r>
    </w:p>
    <w:p w:rsidR="000E3BA0" w:rsidRDefault="000E3BA0" w:rsidP="000E3BA0">
      <w:pPr>
        <w:jc w:val="center"/>
      </w:pPr>
      <w:r>
        <w:rPr>
          <w:noProof/>
        </w:rPr>
        <w:drawing>
          <wp:inline distT="0" distB="0" distL="0" distR="0" wp14:anchorId="1CC0A077" wp14:editId="24D8ACAE">
            <wp:extent cx="7195884" cy="4572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195884" cy="4572000"/>
                    </a:xfrm>
                    <a:prstGeom prst="rect">
                      <a:avLst/>
                    </a:prstGeom>
                  </pic:spPr>
                </pic:pic>
              </a:graphicData>
            </a:graphic>
          </wp:inline>
        </w:drawing>
      </w:r>
    </w:p>
    <w:p w:rsidR="000E3BA0" w:rsidRDefault="000E3BA0" w:rsidP="000E3BA0"/>
    <w:p w:rsidR="000E3BA0" w:rsidRDefault="000E3BA0" w:rsidP="000E3BA0">
      <w:pPr>
        <w:spacing w:line="480" w:lineRule="auto"/>
      </w:pPr>
      <w:r>
        <w:lastRenderedPageBreak/>
        <w:t xml:space="preserve">Supplementary Figure 5. </w:t>
      </w:r>
      <w:r w:rsidRPr="0010568F">
        <w:t>Size frequency data for Atlantic bluefin tuna</w:t>
      </w:r>
      <w:r>
        <w:t xml:space="preserve"> (</w:t>
      </w:r>
      <w:r>
        <w:rPr>
          <w:i/>
        </w:rPr>
        <w:t>Thunnus thynnus</w:t>
      </w:r>
      <w:r>
        <w:t>)</w:t>
      </w:r>
      <w:r w:rsidRPr="0010568F">
        <w:t xml:space="preserve"> individuals included in the 1970s (1974-1978), 1990s (1996-</w:t>
      </w:r>
      <w:r>
        <w:t xml:space="preserve">2000, </w:t>
      </w:r>
      <w:r w:rsidRPr="0010568F">
        <w:t xml:space="preserve">2002), and 2010s (2009-2014) samples obtained from </w:t>
      </w:r>
      <w:r>
        <w:t>the National Marine Fisheries Service</w:t>
      </w:r>
      <w:r w:rsidRPr="0010568F">
        <w:t>.</w:t>
      </w:r>
    </w:p>
    <w:p w:rsidR="000E3BA0" w:rsidRDefault="000E3BA0" w:rsidP="000E3BA0"/>
    <w:p w:rsidR="000E3BA0" w:rsidRDefault="000E3BA0" w:rsidP="000E3BA0">
      <w:pPr>
        <w:jc w:val="center"/>
      </w:pPr>
      <w:r>
        <w:rPr>
          <w:noProof/>
        </w:rPr>
        <w:drawing>
          <wp:inline distT="0" distB="0" distL="0" distR="0" wp14:anchorId="27655293" wp14:editId="751D9030">
            <wp:extent cx="7195884" cy="4572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195884" cy="4572000"/>
                    </a:xfrm>
                    <a:prstGeom prst="rect">
                      <a:avLst/>
                    </a:prstGeom>
                  </pic:spPr>
                </pic:pic>
              </a:graphicData>
            </a:graphic>
          </wp:inline>
        </w:drawing>
      </w:r>
    </w:p>
    <w:p w:rsidR="000E3BA0" w:rsidRDefault="000E3BA0" w:rsidP="000E3BA0"/>
    <w:p w:rsidR="000E3BA0" w:rsidRDefault="000E3BA0" w:rsidP="000E3BA0"/>
    <w:p w:rsidR="000E3BA0" w:rsidRDefault="000E3BA0" w:rsidP="000E3BA0">
      <w:pPr>
        <w:spacing w:before="100" w:beforeAutospacing="1" w:after="100" w:afterAutospacing="1" w:line="480" w:lineRule="auto"/>
      </w:pPr>
      <w:r>
        <w:lastRenderedPageBreak/>
        <w:t xml:space="preserve">Supplementary </w:t>
      </w:r>
      <w:r w:rsidRPr="00432BEC">
        <w:t>Fig</w:t>
      </w:r>
      <w:r>
        <w:t>ure</w:t>
      </w:r>
      <w:r w:rsidRPr="00432BEC">
        <w:t xml:space="preserve"> </w:t>
      </w:r>
      <w:r>
        <w:t>6</w:t>
      </w:r>
      <w:r w:rsidRPr="00432BEC">
        <w:t>. Annotated</w:t>
      </w:r>
      <w:r w:rsidRPr="00670C31">
        <w:t xml:space="preserve"> Atlantic bluefin tuna </w:t>
      </w:r>
      <w:r>
        <w:t>(</w:t>
      </w:r>
      <w:r>
        <w:rPr>
          <w:i/>
        </w:rPr>
        <w:t xml:space="preserve">Thunnus </w:t>
      </w:r>
      <w:r w:rsidRPr="000547C3">
        <w:rPr>
          <w:i/>
        </w:rPr>
        <w:t>thynnus</w:t>
      </w:r>
      <w:r>
        <w:t xml:space="preserve">) </w:t>
      </w:r>
      <w:r w:rsidRPr="000547C3">
        <w:t>otolith</w:t>
      </w:r>
      <w:r w:rsidRPr="00670C31">
        <w:t xml:space="preserve"> image showing </w:t>
      </w:r>
      <w:r>
        <w:t xml:space="preserve">21 </w:t>
      </w:r>
      <w:r w:rsidRPr="00670C31">
        <w:t>annuli (opaque bands; white dots), correct section type (“Y” section), measurement scale marker used for interpreting the first annulus.</w:t>
      </w:r>
    </w:p>
    <w:p w:rsidR="000E3BA0" w:rsidRDefault="000E3BA0" w:rsidP="000E3BA0">
      <w:pPr>
        <w:jc w:val="center"/>
      </w:pPr>
      <w:r>
        <w:rPr>
          <w:noProof/>
        </w:rPr>
        <w:drawing>
          <wp:inline distT="0" distB="0" distL="0" distR="0" wp14:anchorId="0A3189E3" wp14:editId="2983741A">
            <wp:extent cx="5805377" cy="5026465"/>
            <wp:effectExtent l="0" t="0" r="5080" b="3175"/>
            <wp:docPr id="3" name="Picture 3" descr="F:\Siskey\Siskey_ICES JMS manuscript\Figure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skey\Siskey_ICES JMS manuscript\Figures\Fig1.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71"/>
                    <a:stretch/>
                  </pic:blipFill>
                  <pic:spPr bwMode="auto">
                    <a:xfrm>
                      <a:off x="0" y="0"/>
                      <a:ext cx="5808536" cy="5029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0E3BA0" w:rsidSect="00646DC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C33"/>
    <w:rsid w:val="000E3BA0"/>
    <w:rsid w:val="0029176C"/>
    <w:rsid w:val="0032358D"/>
    <w:rsid w:val="003C6C33"/>
    <w:rsid w:val="003E6C3D"/>
    <w:rsid w:val="00470A2A"/>
    <w:rsid w:val="00573F2F"/>
    <w:rsid w:val="00581821"/>
    <w:rsid w:val="0062444C"/>
    <w:rsid w:val="00627912"/>
    <w:rsid w:val="00682FA6"/>
    <w:rsid w:val="00796B6A"/>
    <w:rsid w:val="007C7D7F"/>
    <w:rsid w:val="008C0F4D"/>
    <w:rsid w:val="00FC3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4CC56"/>
  <w15:docId w15:val="{BEC10C3D-EABB-4635-AF88-25FC377D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6C33"/>
    <w:rPr>
      <w:color w:val="0000FF"/>
      <w:u w:val="single"/>
    </w:rPr>
  </w:style>
  <w:style w:type="paragraph" w:styleId="BalloonText">
    <w:name w:val="Balloon Text"/>
    <w:basedOn w:val="Normal"/>
    <w:link w:val="BalloonTextChar"/>
    <w:uiPriority w:val="99"/>
    <w:semiHidden/>
    <w:unhideWhenUsed/>
    <w:rsid w:val="003C6C33"/>
    <w:rPr>
      <w:rFonts w:ascii="Tahoma" w:hAnsi="Tahoma" w:cs="Tahoma"/>
      <w:sz w:val="16"/>
      <w:szCs w:val="16"/>
    </w:rPr>
  </w:style>
  <w:style w:type="character" w:customStyle="1" w:styleId="BalloonTextChar">
    <w:name w:val="Balloon Text Char"/>
    <w:basedOn w:val="DefaultParagraphFont"/>
    <w:link w:val="BalloonText"/>
    <w:uiPriority w:val="99"/>
    <w:semiHidden/>
    <w:rsid w:val="003C6C33"/>
    <w:rPr>
      <w:rFonts w:ascii="Tahoma" w:eastAsia="Times New Roman" w:hAnsi="Tahoma" w:cs="Tahoma"/>
      <w:sz w:val="16"/>
      <w:szCs w:val="16"/>
    </w:rPr>
  </w:style>
  <w:style w:type="table" w:styleId="GridTable3">
    <w:name w:val="Grid Table 3"/>
    <w:basedOn w:val="TableNormal"/>
    <w:uiPriority w:val="48"/>
    <w:rsid w:val="0058182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89563">
      <w:bodyDiv w:val="1"/>
      <w:marLeft w:val="0"/>
      <w:marRight w:val="0"/>
      <w:marTop w:val="0"/>
      <w:marBottom w:val="0"/>
      <w:divBdr>
        <w:top w:val="none" w:sz="0" w:space="0" w:color="auto"/>
        <w:left w:val="none" w:sz="0" w:space="0" w:color="auto"/>
        <w:bottom w:val="none" w:sz="0" w:space="0" w:color="auto"/>
        <w:right w:val="none" w:sz="0" w:space="0" w:color="auto"/>
      </w:divBdr>
    </w:div>
    <w:div w:id="455376005">
      <w:bodyDiv w:val="1"/>
      <w:marLeft w:val="0"/>
      <w:marRight w:val="0"/>
      <w:marTop w:val="0"/>
      <w:marBottom w:val="0"/>
      <w:divBdr>
        <w:top w:val="none" w:sz="0" w:space="0" w:color="auto"/>
        <w:left w:val="none" w:sz="0" w:space="0" w:color="auto"/>
        <w:bottom w:val="none" w:sz="0" w:space="0" w:color="auto"/>
        <w:right w:val="none" w:sz="0" w:space="0" w:color="auto"/>
      </w:divBdr>
    </w:div>
    <w:div w:id="685985576">
      <w:bodyDiv w:val="1"/>
      <w:marLeft w:val="0"/>
      <w:marRight w:val="0"/>
      <w:marTop w:val="0"/>
      <w:marBottom w:val="0"/>
      <w:divBdr>
        <w:top w:val="none" w:sz="0" w:space="0" w:color="auto"/>
        <w:left w:val="none" w:sz="0" w:space="0" w:color="auto"/>
        <w:bottom w:val="none" w:sz="0" w:space="0" w:color="auto"/>
        <w:right w:val="none" w:sz="0" w:space="0" w:color="auto"/>
      </w:divBdr>
    </w:div>
    <w:div w:id="137457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cat.int/en/accesingdb.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tiff"/><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www.iccat.int/en/accesingdb.ht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siskey</dc:creator>
  <cp:lastModifiedBy>Matt Siskey</cp:lastModifiedBy>
  <cp:revision>9</cp:revision>
  <dcterms:created xsi:type="dcterms:W3CDTF">2015-12-01T22:02:00Z</dcterms:created>
  <dcterms:modified xsi:type="dcterms:W3CDTF">2016-05-21T15:57:00Z</dcterms:modified>
</cp:coreProperties>
</file>