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83D39" w14:textId="77777777" w:rsidR="00FA1481" w:rsidRDefault="00664A12" w:rsidP="00E40896">
      <w:pPr>
        <w:jc w:val="center"/>
        <w:rPr>
          <w:sz w:val="36"/>
          <w:szCs w:val="36"/>
        </w:rPr>
      </w:pPr>
      <w:r>
        <w:rPr>
          <w:noProof/>
          <w:sz w:val="36"/>
          <w:szCs w:val="36"/>
        </w:rPr>
        <w:drawing>
          <wp:inline distT="0" distB="0" distL="0" distR="0" wp14:anchorId="6720CD11" wp14:editId="7067F797">
            <wp:extent cx="3200400" cy="609600"/>
            <wp:effectExtent l="0" t="0" r="0" b="0"/>
            <wp:docPr id="1" name="Picture 1" descr="agu_pubart-white_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u_pubart-white_reduc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609600"/>
                    </a:xfrm>
                    <a:prstGeom prst="rect">
                      <a:avLst/>
                    </a:prstGeom>
                    <a:noFill/>
                    <a:ln>
                      <a:noFill/>
                    </a:ln>
                  </pic:spPr>
                </pic:pic>
              </a:graphicData>
            </a:graphic>
          </wp:inline>
        </w:drawing>
      </w:r>
    </w:p>
    <w:p w14:paraId="7EE184DA" w14:textId="5675E94B" w:rsidR="00CE6EAA" w:rsidRPr="00BF1BF9" w:rsidRDefault="0005464A" w:rsidP="00FF3503">
      <w:pPr>
        <w:spacing w:before="100" w:beforeAutospacing="1" w:after="100" w:afterAutospacing="1"/>
        <w:jc w:val="center"/>
        <w:rPr>
          <w:rFonts w:ascii="Myriad Pro" w:hAnsi="Myriad Pro"/>
          <w:i/>
          <w:sz w:val="22"/>
          <w:szCs w:val="22"/>
        </w:rPr>
      </w:pPr>
      <w:r>
        <w:rPr>
          <w:rFonts w:ascii="Myriad Pro" w:hAnsi="Myriad Pro"/>
          <w:i/>
          <w:sz w:val="22"/>
          <w:szCs w:val="22"/>
        </w:rPr>
        <w:t>Geophysical Research Letters</w:t>
      </w:r>
    </w:p>
    <w:p w14:paraId="2CB29489" w14:textId="77777777" w:rsidR="00FF3503" w:rsidRPr="00CE6EAA" w:rsidRDefault="00FF3503" w:rsidP="00FF3503">
      <w:pPr>
        <w:spacing w:before="100" w:beforeAutospacing="1" w:after="100" w:afterAutospacing="1"/>
        <w:jc w:val="center"/>
        <w:rPr>
          <w:rFonts w:ascii="Myriad Pro" w:hAnsi="Myriad Pro"/>
          <w:sz w:val="22"/>
          <w:szCs w:val="22"/>
        </w:rPr>
      </w:pPr>
      <w:r w:rsidRPr="00CE6EAA">
        <w:rPr>
          <w:rFonts w:ascii="Myriad Pro" w:hAnsi="Myriad Pro"/>
          <w:sz w:val="22"/>
          <w:szCs w:val="22"/>
        </w:rPr>
        <w:t>Supporting Information for</w:t>
      </w:r>
    </w:p>
    <w:p w14:paraId="2E1248C3" w14:textId="234ED992" w:rsidR="00686CB3" w:rsidRDefault="00686CB3" w:rsidP="00DB62FE">
      <w:pPr>
        <w:pStyle w:val="Title"/>
        <w:spacing w:before="0" w:after="100"/>
      </w:pPr>
      <w:r>
        <w:t>On the Lateral Entrainment Instability in the Inner Core Region of Tropical Cyclones</w:t>
      </w:r>
    </w:p>
    <w:p w14:paraId="0E7E32E4" w14:textId="38F4B48B" w:rsidR="00686CB3" w:rsidRPr="00C02086" w:rsidRDefault="00686CB3" w:rsidP="00DB62FE">
      <w:pPr>
        <w:pStyle w:val="Authors"/>
        <w:spacing w:before="0" w:after="100"/>
        <w:jc w:val="center"/>
      </w:pPr>
      <w:r>
        <w:t>Ping Zhu</w:t>
      </w:r>
      <w:r w:rsidRPr="004F25BB">
        <w:rPr>
          <w:vertAlign w:val="superscript"/>
        </w:rPr>
        <w:t>1</w:t>
      </w:r>
      <w:r w:rsidR="00C02086">
        <w:t xml:space="preserve">, </w:t>
      </w:r>
      <w:r>
        <w:t>Jun A. Zhang</w:t>
      </w:r>
      <w:r w:rsidRPr="004F25BB">
        <w:rPr>
          <w:vertAlign w:val="superscript"/>
        </w:rPr>
        <w:t>2</w:t>
      </w:r>
      <w:r w:rsidR="00C02086">
        <w:rPr>
          <w:vertAlign w:val="superscript"/>
        </w:rPr>
        <w:t>,3</w:t>
      </w:r>
      <w:r w:rsidR="00C02086">
        <w:t xml:space="preserve">, and </w:t>
      </w:r>
      <w:r w:rsidR="00C02086" w:rsidRPr="001B1D60">
        <w:rPr>
          <w:color w:val="000000" w:themeColor="text1"/>
        </w:rPr>
        <w:t>Frank D. Marks</w:t>
      </w:r>
      <w:r w:rsidR="00C02086" w:rsidRPr="001B1D60">
        <w:rPr>
          <w:color w:val="000000" w:themeColor="text1"/>
          <w:vertAlign w:val="superscript"/>
        </w:rPr>
        <w:t>3</w:t>
      </w:r>
    </w:p>
    <w:p w14:paraId="1A730456" w14:textId="77777777" w:rsidR="00686CB3" w:rsidRPr="00A0030A" w:rsidRDefault="00686CB3" w:rsidP="00DB62FE">
      <w:pPr>
        <w:pStyle w:val="Affiliation"/>
        <w:spacing w:before="0" w:after="100"/>
      </w:pPr>
      <w:r w:rsidRPr="00A0030A">
        <w:rPr>
          <w:vertAlign w:val="superscript"/>
        </w:rPr>
        <w:t>1</w:t>
      </w:r>
      <w:r w:rsidRPr="00A0030A">
        <w:t>Department of Earth and Environment, Florida International University</w:t>
      </w:r>
    </w:p>
    <w:p w14:paraId="497A10DD" w14:textId="77777777" w:rsidR="00686CB3" w:rsidRPr="00A0030A" w:rsidRDefault="00686CB3" w:rsidP="00DB62FE">
      <w:pPr>
        <w:pStyle w:val="Affiliation"/>
        <w:spacing w:before="0" w:after="100"/>
      </w:pPr>
      <w:r w:rsidRPr="00A0030A">
        <w:rPr>
          <w:color w:val="000000" w:themeColor="text1"/>
          <w:vertAlign w:val="superscript"/>
        </w:rPr>
        <w:t>2</w:t>
      </w:r>
      <w:r w:rsidRPr="00A0030A">
        <w:rPr>
          <w:color w:val="000000" w:themeColor="text1"/>
        </w:rPr>
        <w:t>Cooperative Institute for Marine and Atmospheric Studies, University of Miami</w:t>
      </w:r>
      <w:r w:rsidRPr="00A0030A">
        <w:t xml:space="preserve"> </w:t>
      </w:r>
    </w:p>
    <w:p w14:paraId="1643C0C0" w14:textId="77777777" w:rsidR="00C02086" w:rsidRPr="00A0030A" w:rsidRDefault="00C02086" w:rsidP="00C02086">
      <w:pPr>
        <w:pStyle w:val="Affiliation"/>
      </w:pPr>
      <w:r w:rsidRPr="00A0030A">
        <w:rPr>
          <w:vertAlign w:val="superscript"/>
        </w:rPr>
        <w:t>3</w:t>
      </w:r>
      <w:r w:rsidRPr="00A0030A">
        <w:t>Hurricane Research Division, Atlantic Oceanographic and Meteorological Laboratory, NOAA</w:t>
      </w:r>
    </w:p>
    <w:p w14:paraId="6AE5BBE9" w14:textId="77777777" w:rsidR="00686CB3" w:rsidRPr="00A0030A" w:rsidRDefault="00686CB3" w:rsidP="00DB62FE">
      <w:pPr>
        <w:pStyle w:val="Affiliation"/>
        <w:spacing w:before="0" w:after="100"/>
      </w:pPr>
    </w:p>
    <w:p w14:paraId="0A66BA61" w14:textId="77777777" w:rsidR="00686CB3" w:rsidRPr="00A0030A" w:rsidRDefault="00686CB3" w:rsidP="00DB62FE">
      <w:pPr>
        <w:pStyle w:val="Affiliation"/>
        <w:spacing w:before="0" w:after="100"/>
      </w:pPr>
      <w:r w:rsidRPr="00A0030A">
        <w:t>Corresponding author: Ping Zhu (</w:t>
      </w:r>
      <w:hyperlink r:id="rId9" w:history="1">
        <w:r w:rsidRPr="00A0030A">
          <w:rPr>
            <w:rStyle w:val="Hyperlink"/>
          </w:rPr>
          <w:t>zhup@fiu.edu)</w:t>
        </w:r>
      </w:hyperlink>
      <w:r w:rsidRPr="00A0030A">
        <w:t>, 11200 SW 8</w:t>
      </w:r>
      <w:r w:rsidRPr="00A0030A">
        <w:rPr>
          <w:vertAlign w:val="superscript"/>
        </w:rPr>
        <w:t>th</w:t>
      </w:r>
      <w:r w:rsidRPr="00A0030A">
        <w:t xml:space="preserve"> ST, Miami, FL, 33199.</w:t>
      </w:r>
    </w:p>
    <w:p w14:paraId="347237BD" w14:textId="6EE3AEC6" w:rsidR="00094365" w:rsidRPr="00A0030A" w:rsidRDefault="00094365" w:rsidP="00DB62FE">
      <w:pPr>
        <w:spacing w:after="100"/>
        <w:jc w:val="center"/>
        <w:rPr>
          <w:szCs w:val="24"/>
        </w:rPr>
      </w:pPr>
    </w:p>
    <w:p w14:paraId="1F13291B" w14:textId="2D31DD30" w:rsidR="00E43D2D" w:rsidRPr="00627DA9" w:rsidRDefault="00111843" w:rsidP="00DB62FE">
      <w:pPr>
        <w:spacing w:after="100"/>
        <w:rPr>
          <w:b/>
          <w:color w:val="000000" w:themeColor="text1"/>
          <w:szCs w:val="24"/>
        </w:rPr>
      </w:pPr>
      <w:r w:rsidRPr="00627DA9">
        <w:rPr>
          <w:b/>
          <w:color w:val="000000" w:themeColor="text1"/>
          <w:szCs w:val="24"/>
        </w:rPr>
        <w:t>Contents of this file</w:t>
      </w:r>
      <w:r w:rsidR="00E43D2D" w:rsidRPr="00627DA9">
        <w:rPr>
          <w:b/>
          <w:color w:val="000000" w:themeColor="text1"/>
          <w:szCs w:val="24"/>
        </w:rPr>
        <w:t xml:space="preserve"> </w:t>
      </w:r>
    </w:p>
    <w:p w14:paraId="3D1CAEA0" w14:textId="3D722DFC" w:rsidR="00111843" w:rsidRPr="00627DA9" w:rsidRDefault="002734F1" w:rsidP="00DB62FE">
      <w:pPr>
        <w:spacing w:after="100"/>
        <w:ind w:left="720"/>
        <w:rPr>
          <w:color w:val="000000" w:themeColor="text1"/>
          <w:szCs w:val="24"/>
        </w:rPr>
      </w:pPr>
      <w:r w:rsidRPr="00627DA9">
        <w:rPr>
          <w:color w:val="000000" w:themeColor="text1"/>
          <w:szCs w:val="24"/>
        </w:rPr>
        <w:t>S1: Flight-level in-situ data</w:t>
      </w:r>
    </w:p>
    <w:p w14:paraId="735DCEA8" w14:textId="6CFF45E3" w:rsidR="00FA343A" w:rsidRPr="00627DA9" w:rsidRDefault="002734F1" w:rsidP="00DB62FE">
      <w:pPr>
        <w:spacing w:after="100"/>
        <w:ind w:left="720"/>
        <w:rPr>
          <w:color w:val="000000" w:themeColor="text1"/>
          <w:szCs w:val="24"/>
        </w:rPr>
      </w:pPr>
      <w:r w:rsidRPr="00627DA9">
        <w:rPr>
          <w:color w:val="000000" w:themeColor="text1"/>
          <w:szCs w:val="24"/>
        </w:rPr>
        <w:t>S2: Numerical simulations of Hurricanes Michael (2018) and Patricia (2015)</w:t>
      </w:r>
    </w:p>
    <w:p w14:paraId="3A0644E2" w14:textId="2EB5C632" w:rsidR="00E43F4A" w:rsidRPr="00627DA9" w:rsidRDefault="00DB62FE" w:rsidP="00DB62FE">
      <w:pPr>
        <w:spacing w:after="100"/>
        <w:ind w:left="720"/>
        <w:rPr>
          <w:color w:val="000000" w:themeColor="text1"/>
          <w:szCs w:val="24"/>
        </w:rPr>
      </w:pPr>
      <w:r w:rsidRPr="00627DA9">
        <w:rPr>
          <w:color w:val="000000" w:themeColor="text1"/>
          <w:szCs w:val="24"/>
        </w:rPr>
        <w:t>S3: Possible reasons for lateral entrainment not to meet the instability criterion</w:t>
      </w:r>
    </w:p>
    <w:p w14:paraId="79042C92" w14:textId="77777777" w:rsidR="00FF3503" w:rsidRPr="00627DA9" w:rsidRDefault="00FF3503" w:rsidP="00DB62FE">
      <w:pPr>
        <w:spacing w:after="100"/>
        <w:rPr>
          <w:b/>
          <w:color w:val="000000" w:themeColor="text1"/>
          <w:szCs w:val="24"/>
        </w:rPr>
      </w:pPr>
      <w:r w:rsidRPr="00627DA9">
        <w:rPr>
          <w:b/>
          <w:bCs/>
          <w:color w:val="000000" w:themeColor="text1"/>
          <w:szCs w:val="24"/>
        </w:rPr>
        <w:t>Introduction</w:t>
      </w:r>
      <w:r w:rsidRPr="00627DA9">
        <w:rPr>
          <w:b/>
          <w:color w:val="000000" w:themeColor="text1"/>
          <w:szCs w:val="24"/>
        </w:rPr>
        <w:t xml:space="preserve"> </w:t>
      </w:r>
    </w:p>
    <w:p w14:paraId="516E0BA3" w14:textId="17664CEA" w:rsidR="0020183F" w:rsidRPr="00627DA9" w:rsidRDefault="009D5ECC" w:rsidP="000B74A8">
      <w:pPr>
        <w:spacing w:after="100"/>
        <w:ind w:firstLine="720"/>
        <w:jc w:val="both"/>
        <w:rPr>
          <w:color w:val="000000" w:themeColor="text1"/>
          <w:szCs w:val="24"/>
        </w:rPr>
      </w:pPr>
      <w:r w:rsidRPr="00627DA9">
        <w:rPr>
          <w:color w:val="000000" w:themeColor="text1"/>
          <w:szCs w:val="24"/>
        </w:rPr>
        <w:t xml:space="preserve">This document provides Supporting Information regarding the </w:t>
      </w:r>
      <w:r w:rsidR="002734F1" w:rsidRPr="00627DA9">
        <w:rPr>
          <w:color w:val="000000" w:themeColor="text1"/>
          <w:szCs w:val="24"/>
        </w:rPr>
        <w:t>in-situ aircraft</w:t>
      </w:r>
      <w:r w:rsidR="00924A43" w:rsidRPr="00627DA9">
        <w:rPr>
          <w:color w:val="000000" w:themeColor="text1"/>
          <w:szCs w:val="24"/>
        </w:rPr>
        <w:t xml:space="preserve"> flight-level</w:t>
      </w:r>
      <w:r w:rsidR="002734F1" w:rsidRPr="00627DA9">
        <w:rPr>
          <w:color w:val="000000" w:themeColor="text1"/>
          <w:szCs w:val="24"/>
        </w:rPr>
        <w:t xml:space="preserve"> </w:t>
      </w:r>
      <w:r w:rsidRPr="00627DA9">
        <w:rPr>
          <w:color w:val="000000" w:themeColor="text1"/>
          <w:szCs w:val="24"/>
        </w:rPr>
        <w:t>data (</w:t>
      </w:r>
      <w:r w:rsidR="00A0030A" w:rsidRPr="00627DA9">
        <w:rPr>
          <w:color w:val="000000" w:themeColor="text1"/>
          <w:szCs w:val="24"/>
        </w:rPr>
        <w:t>S</w:t>
      </w:r>
      <w:r w:rsidRPr="00627DA9">
        <w:rPr>
          <w:color w:val="000000" w:themeColor="text1"/>
          <w:szCs w:val="24"/>
        </w:rPr>
        <w:t>ection S1</w:t>
      </w:r>
      <w:r w:rsidR="00FA343A" w:rsidRPr="00627DA9">
        <w:rPr>
          <w:color w:val="000000" w:themeColor="text1"/>
          <w:szCs w:val="24"/>
        </w:rPr>
        <w:t>)</w:t>
      </w:r>
      <w:r w:rsidR="00DB62FE" w:rsidRPr="00627DA9">
        <w:rPr>
          <w:color w:val="000000" w:themeColor="text1"/>
          <w:szCs w:val="24"/>
        </w:rPr>
        <w:t xml:space="preserve">, </w:t>
      </w:r>
      <w:r w:rsidR="002734F1" w:rsidRPr="00627DA9">
        <w:rPr>
          <w:color w:val="000000" w:themeColor="text1"/>
          <w:szCs w:val="24"/>
        </w:rPr>
        <w:t>numerical simulations of Hurricanes Michael (2018) and Patricia (2015) (</w:t>
      </w:r>
      <w:r w:rsidR="00A0030A" w:rsidRPr="00627DA9">
        <w:rPr>
          <w:color w:val="000000" w:themeColor="text1"/>
          <w:szCs w:val="24"/>
        </w:rPr>
        <w:t>S</w:t>
      </w:r>
      <w:r w:rsidR="002734F1" w:rsidRPr="00627DA9">
        <w:rPr>
          <w:color w:val="000000" w:themeColor="text1"/>
          <w:szCs w:val="24"/>
        </w:rPr>
        <w:t>ection S2)</w:t>
      </w:r>
      <w:r w:rsidR="00DB62FE" w:rsidRPr="00627DA9">
        <w:rPr>
          <w:color w:val="000000" w:themeColor="text1"/>
          <w:szCs w:val="24"/>
        </w:rPr>
        <w:t>, and</w:t>
      </w:r>
      <w:r w:rsidR="00FD4B7D" w:rsidRPr="00627DA9">
        <w:rPr>
          <w:color w:val="000000" w:themeColor="text1"/>
          <w:szCs w:val="24"/>
        </w:rPr>
        <w:t xml:space="preserve"> possible reasons for lateral entrainment not to meet the instability criterion (</w:t>
      </w:r>
      <w:r w:rsidR="00A0030A" w:rsidRPr="00627DA9">
        <w:rPr>
          <w:color w:val="000000" w:themeColor="text1"/>
          <w:szCs w:val="24"/>
        </w:rPr>
        <w:t>S</w:t>
      </w:r>
      <w:r w:rsidR="00FD4B7D" w:rsidRPr="00627DA9">
        <w:rPr>
          <w:color w:val="000000" w:themeColor="text1"/>
          <w:szCs w:val="24"/>
        </w:rPr>
        <w:t>ection S3).</w:t>
      </w:r>
    </w:p>
    <w:p w14:paraId="667D8CA8" w14:textId="53C378CD" w:rsidR="00015F74" w:rsidRPr="00627DA9" w:rsidRDefault="002734F1" w:rsidP="00DB62FE">
      <w:pPr>
        <w:pStyle w:val="SMHeading"/>
        <w:spacing w:before="0" w:after="100"/>
        <w:rPr>
          <w:rFonts w:ascii="Times New Roman" w:hAnsi="Times New Roman"/>
          <w:b/>
          <w:color w:val="000000" w:themeColor="text1"/>
          <w:sz w:val="24"/>
          <w:szCs w:val="24"/>
        </w:rPr>
      </w:pPr>
      <w:r w:rsidRPr="00627DA9">
        <w:rPr>
          <w:rFonts w:ascii="Times New Roman" w:hAnsi="Times New Roman"/>
          <w:b/>
          <w:color w:val="000000" w:themeColor="text1"/>
          <w:sz w:val="24"/>
          <w:szCs w:val="24"/>
        </w:rPr>
        <w:t xml:space="preserve">S1: </w:t>
      </w:r>
      <w:r w:rsidR="00686CB3" w:rsidRPr="00627DA9">
        <w:rPr>
          <w:rFonts w:ascii="Times New Roman" w:hAnsi="Times New Roman"/>
          <w:b/>
          <w:color w:val="000000" w:themeColor="text1"/>
          <w:sz w:val="24"/>
          <w:szCs w:val="24"/>
        </w:rPr>
        <w:t>Flight-level</w:t>
      </w:r>
      <w:r w:rsidR="00E43F4A" w:rsidRPr="00627DA9">
        <w:rPr>
          <w:rFonts w:ascii="Times New Roman" w:hAnsi="Times New Roman"/>
          <w:b/>
          <w:color w:val="000000" w:themeColor="text1"/>
          <w:sz w:val="24"/>
          <w:szCs w:val="24"/>
        </w:rPr>
        <w:t xml:space="preserve"> </w:t>
      </w:r>
      <w:r w:rsidRPr="00627DA9">
        <w:rPr>
          <w:rFonts w:ascii="Times New Roman" w:hAnsi="Times New Roman"/>
          <w:b/>
          <w:color w:val="000000" w:themeColor="text1"/>
          <w:sz w:val="24"/>
          <w:szCs w:val="24"/>
        </w:rPr>
        <w:t xml:space="preserve">in-situ </w:t>
      </w:r>
      <w:r w:rsidR="00E43F4A" w:rsidRPr="00627DA9">
        <w:rPr>
          <w:rFonts w:ascii="Times New Roman" w:hAnsi="Times New Roman"/>
          <w:b/>
          <w:color w:val="000000" w:themeColor="text1"/>
          <w:sz w:val="24"/>
          <w:szCs w:val="24"/>
        </w:rPr>
        <w:t xml:space="preserve">data </w:t>
      </w:r>
    </w:p>
    <w:p w14:paraId="2DEC63DC" w14:textId="73B9DC69" w:rsidR="005924D5" w:rsidRPr="00627DA9" w:rsidRDefault="00F473E7" w:rsidP="00DB62FE">
      <w:pPr>
        <w:spacing w:after="100"/>
        <w:jc w:val="both"/>
        <w:rPr>
          <w:color w:val="000000" w:themeColor="text1"/>
          <w:szCs w:val="24"/>
        </w:rPr>
      </w:pPr>
      <w:r w:rsidRPr="00627DA9">
        <w:rPr>
          <w:color w:val="000000" w:themeColor="text1"/>
          <w:szCs w:val="24"/>
          <w:lang w:eastAsia="zh-CN"/>
        </w:rPr>
        <w:t xml:space="preserve">         In this study, we analyzed </w:t>
      </w:r>
      <w:r w:rsidR="00686CB3" w:rsidRPr="00627DA9">
        <w:rPr>
          <w:color w:val="000000" w:themeColor="text1"/>
          <w:szCs w:val="24"/>
          <w:lang w:eastAsia="zh-CN"/>
        </w:rPr>
        <w:t>flight-level</w:t>
      </w:r>
      <w:r w:rsidRPr="00627DA9">
        <w:rPr>
          <w:color w:val="000000" w:themeColor="text1"/>
          <w:szCs w:val="24"/>
          <w:lang w:eastAsia="zh-CN"/>
        </w:rPr>
        <w:t xml:space="preserve"> data to study the </w:t>
      </w:r>
      <w:r w:rsidR="00686CB3" w:rsidRPr="00627DA9">
        <w:rPr>
          <w:color w:val="000000" w:themeColor="text1"/>
          <w:szCs w:val="24"/>
          <w:lang w:eastAsia="zh-CN"/>
        </w:rPr>
        <w:t>lateral entrainment process and instability in the inner core of tropical cyclones</w:t>
      </w:r>
      <w:r w:rsidRPr="00627DA9">
        <w:rPr>
          <w:color w:val="000000" w:themeColor="text1"/>
          <w:szCs w:val="24"/>
          <w:lang w:eastAsia="zh-CN"/>
        </w:rPr>
        <w:t xml:space="preserve">. </w:t>
      </w:r>
      <w:r w:rsidRPr="00627DA9">
        <w:rPr>
          <w:color w:val="000000" w:themeColor="text1"/>
          <w:szCs w:val="24"/>
        </w:rPr>
        <w:t xml:space="preserve">The </w:t>
      </w:r>
      <w:r w:rsidR="00686CB3" w:rsidRPr="00627DA9">
        <w:rPr>
          <w:color w:val="000000" w:themeColor="text1"/>
          <w:szCs w:val="24"/>
        </w:rPr>
        <w:t xml:space="preserve">flight-level data </w:t>
      </w:r>
      <w:r w:rsidRPr="00627DA9">
        <w:rPr>
          <w:color w:val="000000" w:themeColor="text1"/>
          <w:szCs w:val="24"/>
        </w:rPr>
        <w:t>provides measurements of three-dimensional wind velocities, pressure, temperature, and</w:t>
      </w:r>
      <w:r w:rsidR="00686CB3" w:rsidRPr="00627DA9">
        <w:rPr>
          <w:color w:val="000000" w:themeColor="text1"/>
          <w:szCs w:val="24"/>
        </w:rPr>
        <w:t xml:space="preserve"> </w:t>
      </w:r>
      <w:r w:rsidRPr="00627DA9">
        <w:rPr>
          <w:color w:val="000000" w:themeColor="text1"/>
          <w:szCs w:val="24"/>
        </w:rPr>
        <w:t xml:space="preserve">humidity with </w:t>
      </w:r>
      <w:r w:rsidR="00686CB3" w:rsidRPr="00627DA9">
        <w:rPr>
          <w:color w:val="000000" w:themeColor="text1"/>
          <w:szCs w:val="24"/>
        </w:rPr>
        <w:t xml:space="preserve">a </w:t>
      </w:r>
      <w:r w:rsidRPr="00627DA9">
        <w:rPr>
          <w:color w:val="000000" w:themeColor="text1"/>
          <w:szCs w:val="24"/>
        </w:rPr>
        <w:t xml:space="preserve">sampling rate of </w:t>
      </w:r>
      <w:r w:rsidR="00686CB3" w:rsidRPr="00627DA9">
        <w:rPr>
          <w:color w:val="000000" w:themeColor="text1"/>
          <w:szCs w:val="24"/>
        </w:rPr>
        <w:t>1</w:t>
      </w:r>
      <w:r w:rsidRPr="00627DA9">
        <w:rPr>
          <w:color w:val="000000" w:themeColor="text1"/>
          <w:szCs w:val="24"/>
        </w:rPr>
        <w:t xml:space="preserve"> Hz</w:t>
      </w:r>
      <w:r w:rsidR="00686CB3" w:rsidRPr="00627DA9">
        <w:rPr>
          <w:color w:val="000000" w:themeColor="text1"/>
          <w:szCs w:val="24"/>
        </w:rPr>
        <w:t xml:space="preserve"> (</w:t>
      </w:r>
      <w:r w:rsidR="00CE4B53" w:rsidRPr="00627DA9">
        <w:rPr>
          <w:color w:val="000000" w:themeColor="text1"/>
          <w:szCs w:val="24"/>
        </w:rPr>
        <w:t>Lenschow 1986; Marks et al. 2008</w:t>
      </w:r>
      <w:r w:rsidR="00142582" w:rsidRPr="00627DA9">
        <w:rPr>
          <w:color w:val="000000" w:themeColor="text1"/>
          <w:szCs w:val="24"/>
        </w:rPr>
        <w:t xml:space="preserve">; </w:t>
      </w:r>
      <w:r w:rsidR="00686CB3" w:rsidRPr="00627DA9">
        <w:rPr>
          <w:color w:val="000000" w:themeColor="text1"/>
          <w:szCs w:val="24"/>
        </w:rPr>
        <w:t xml:space="preserve">Zhang et al. 2011). </w:t>
      </w:r>
      <w:r w:rsidRPr="00627DA9">
        <w:rPr>
          <w:color w:val="000000" w:themeColor="text1"/>
          <w:szCs w:val="24"/>
          <w:lang w:eastAsia="zh-CN"/>
        </w:rPr>
        <w:t>Information for</w:t>
      </w:r>
      <w:r w:rsidR="00EA2B8B" w:rsidRPr="00627DA9">
        <w:rPr>
          <w:color w:val="000000" w:themeColor="text1"/>
          <w:szCs w:val="24"/>
          <w:lang w:eastAsia="zh-CN"/>
        </w:rPr>
        <w:t xml:space="preserve"> the</w:t>
      </w:r>
      <w:r w:rsidRPr="00627DA9">
        <w:rPr>
          <w:color w:val="000000" w:themeColor="text1"/>
          <w:szCs w:val="24"/>
          <w:lang w:eastAsia="zh-CN"/>
        </w:rPr>
        <w:t xml:space="preserve"> detailed</w:t>
      </w:r>
      <w:r w:rsidR="00EA2B8B" w:rsidRPr="00627DA9">
        <w:rPr>
          <w:color w:val="000000" w:themeColor="text1"/>
          <w:szCs w:val="24"/>
          <w:lang w:eastAsia="zh-CN"/>
        </w:rPr>
        <w:t xml:space="preserve"> instrumentation </w:t>
      </w:r>
      <w:r w:rsidRPr="00627DA9">
        <w:rPr>
          <w:color w:val="000000" w:themeColor="text1"/>
          <w:szCs w:val="24"/>
          <w:lang w:eastAsia="zh-CN"/>
        </w:rPr>
        <w:t xml:space="preserve">and accuracy can be </w:t>
      </w:r>
      <w:r w:rsidR="001867CF" w:rsidRPr="00627DA9">
        <w:rPr>
          <w:color w:val="000000" w:themeColor="text1"/>
          <w:szCs w:val="24"/>
          <w:lang w:eastAsia="zh-CN"/>
        </w:rPr>
        <w:t>found in</w:t>
      </w:r>
      <w:r w:rsidR="00EA2B8B" w:rsidRPr="00627DA9">
        <w:rPr>
          <w:color w:val="000000" w:themeColor="text1"/>
          <w:szCs w:val="24"/>
          <w:lang w:eastAsia="zh-CN"/>
        </w:rPr>
        <w:t xml:space="preserve"> </w:t>
      </w:r>
      <w:r w:rsidR="00AF1297" w:rsidRPr="00627DA9">
        <w:rPr>
          <w:color w:val="000000" w:themeColor="text1"/>
          <w:szCs w:val="24"/>
          <w:lang w:eastAsia="zh-CN"/>
        </w:rPr>
        <w:t xml:space="preserve">Khelif </w:t>
      </w:r>
      <w:r w:rsidR="00686CB3" w:rsidRPr="00627DA9">
        <w:rPr>
          <w:color w:val="000000" w:themeColor="text1"/>
          <w:szCs w:val="24"/>
          <w:lang w:eastAsia="zh-CN"/>
        </w:rPr>
        <w:t>et al.</w:t>
      </w:r>
      <w:r w:rsidR="00EA2B8B" w:rsidRPr="00627DA9">
        <w:rPr>
          <w:color w:val="000000" w:themeColor="text1"/>
          <w:szCs w:val="24"/>
          <w:lang w:eastAsia="zh-CN"/>
        </w:rPr>
        <w:t xml:space="preserve"> (1999)</w:t>
      </w:r>
      <w:r w:rsidR="00CE4B53" w:rsidRPr="00627DA9">
        <w:rPr>
          <w:color w:val="000000" w:themeColor="text1"/>
          <w:szCs w:val="24"/>
          <w:lang w:eastAsia="zh-CN"/>
        </w:rPr>
        <w:t xml:space="preserve"> and French et al. (2007)</w:t>
      </w:r>
      <w:r w:rsidR="00EA2B8B" w:rsidRPr="00627DA9">
        <w:rPr>
          <w:color w:val="000000" w:themeColor="text1"/>
          <w:szCs w:val="24"/>
          <w:lang w:eastAsia="zh-CN"/>
        </w:rPr>
        <w:t xml:space="preserve">. </w:t>
      </w:r>
      <w:r w:rsidRPr="00627DA9">
        <w:rPr>
          <w:color w:val="000000" w:themeColor="text1"/>
          <w:szCs w:val="24"/>
          <w:lang w:eastAsia="zh-CN"/>
        </w:rPr>
        <w:t xml:space="preserve">Here, we </w:t>
      </w:r>
      <w:r w:rsidR="00686CB3" w:rsidRPr="00627DA9">
        <w:rPr>
          <w:color w:val="000000" w:themeColor="text1"/>
          <w:szCs w:val="24"/>
          <w:lang w:eastAsia="zh-CN"/>
        </w:rPr>
        <w:t xml:space="preserve">use </w:t>
      </w:r>
      <w:r w:rsidRPr="00627DA9">
        <w:rPr>
          <w:color w:val="000000" w:themeColor="text1"/>
          <w:szCs w:val="24"/>
          <w:lang w:eastAsia="zh-CN"/>
        </w:rPr>
        <w:t>post-processed</w:t>
      </w:r>
      <w:r w:rsidR="00686CB3" w:rsidRPr="00627DA9">
        <w:rPr>
          <w:color w:val="000000" w:themeColor="text1"/>
          <w:szCs w:val="24"/>
          <w:lang w:eastAsia="zh-CN"/>
        </w:rPr>
        <w:t xml:space="preserve"> quality-controlled</w:t>
      </w:r>
      <w:r w:rsidRPr="00627DA9">
        <w:rPr>
          <w:color w:val="000000" w:themeColor="text1"/>
          <w:szCs w:val="24"/>
          <w:lang w:eastAsia="zh-CN"/>
        </w:rPr>
        <w:t xml:space="preserve"> </w:t>
      </w:r>
      <w:r w:rsidR="00EA2B8B" w:rsidRPr="00627DA9">
        <w:rPr>
          <w:color w:val="000000" w:themeColor="text1"/>
          <w:szCs w:val="24"/>
          <w:lang w:eastAsia="zh-CN"/>
        </w:rPr>
        <w:t>t</w:t>
      </w:r>
      <w:r w:rsidR="00EA2B8B" w:rsidRPr="00627DA9">
        <w:rPr>
          <w:color w:val="000000" w:themeColor="text1"/>
          <w:szCs w:val="24"/>
        </w:rPr>
        <w:t xml:space="preserve">he </w:t>
      </w:r>
      <w:r w:rsidR="00686CB3" w:rsidRPr="00627DA9">
        <w:rPr>
          <w:color w:val="000000" w:themeColor="text1"/>
          <w:szCs w:val="24"/>
        </w:rPr>
        <w:t xml:space="preserve">fight-level data from 4 </w:t>
      </w:r>
      <w:r w:rsidR="00142582" w:rsidRPr="00627DA9">
        <w:rPr>
          <w:color w:val="000000" w:themeColor="text1"/>
          <w:szCs w:val="24"/>
        </w:rPr>
        <w:t>tropical cyclones at different intensity stages. These storms include Rita (2005), Patricia (2015), Harvey (2017)</w:t>
      </w:r>
      <w:r w:rsidR="00E35FEE" w:rsidRPr="00627DA9">
        <w:rPr>
          <w:color w:val="000000" w:themeColor="text1"/>
          <w:szCs w:val="24"/>
        </w:rPr>
        <w:t>,</w:t>
      </w:r>
      <w:r w:rsidR="00142582" w:rsidRPr="00627DA9">
        <w:rPr>
          <w:color w:val="000000" w:themeColor="text1"/>
          <w:szCs w:val="24"/>
        </w:rPr>
        <w:t xml:space="preserve"> and Michael (2018). Radial legs were determined using t</w:t>
      </w:r>
      <w:r w:rsidR="00EA2B8B" w:rsidRPr="00627DA9">
        <w:rPr>
          <w:color w:val="000000" w:themeColor="text1"/>
          <w:szCs w:val="24"/>
        </w:rPr>
        <w:t xml:space="preserve">he </w:t>
      </w:r>
      <w:r w:rsidR="005924D5" w:rsidRPr="00627DA9">
        <w:rPr>
          <w:color w:val="000000" w:themeColor="text1"/>
          <w:szCs w:val="24"/>
        </w:rPr>
        <w:t xml:space="preserve">storm </w:t>
      </w:r>
      <w:r w:rsidR="00EA2B8B" w:rsidRPr="00627DA9">
        <w:rPr>
          <w:color w:val="000000" w:themeColor="text1"/>
          <w:szCs w:val="24"/>
        </w:rPr>
        <w:t>center positions</w:t>
      </w:r>
      <w:r w:rsidR="00810D0D" w:rsidRPr="00627DA9">
        <w:rPr>
          <w:color w:val="000000" w:themeColor="text1"/>
          <w:szCs w:val="24"/>
        </w:rPr>
        <w:t xml:space="preserve"> </w:t>
      </w:r>
      <w:r w:rsidR="00142582" w:rsidRPr="00627DA9">
        <w:rPr>
          <w:color w:val="000000" w:themeColor="text1"/>
          <w:szCs w:val="24"/>
        </w:rPr>
        <w:t xml:space="preserve">that </w:t>
      </w:r>
      <w:r w:rsidR="00810D0D" w:rsidRPr="00627DA9">
        <w:rPr>
          <w:color w:val="000000" w:themeColor="text1"/>
          <w:szCs w:val="24"/>
        </w:rPr>
        <w:t>were derived based on</w:t>
      </w:r>
      <w:r w:rsidR="00EA2B8B" w:rsidRPr="00627DA9">
        <w:rPr>
          <w:color w:val="000000" w:themeColor="text1"/>
          <w:szCs w:val="24"/>
        </w:rPr>
        <w:t xml:space="preserve"> the flight-level </w:t>
      </w:r>
      <w:r w:rsidR="00810D0D" w:rsidRPr="00627DA9">
        <w:rPr>
          <w:color w:val="000000" w:themeColor="text1"/>
          <w:szCs w:val="24"/>
        </w:rPr>
        <w:t>center fixes through a</w:t>
      </w:r>
      <w:r w:rsidR="00142582" w:rsidRPr="00627DA9">
        <w:rPr>
          <w:color w:val="000000" w:themeColor="text1"/>
          <w:szCs w:val="24"/>
        </w:rPr>
        <w:t>n</w:t>
      </w:r>
      <w:r w:rsidR="00EA2B8B" w:rsidRPr="00627DA9">
        <w:rPr>
          <w:color w:val="000000" w:themeColor="text1"/>
          <w:szCs w:val="24"/>
        </w:rPr>
        <w:t xml:space="preserve"> algorithm developed by Willoughby </w:t>
      </w:r>
      <w:r w:rsidR="00EA2B8B" w:rsidRPr="00627DA9">
        <w:rPr>
          <w:color w:val="000000" w:themeColor="text1"/>
          <w:szCs w:val="24"/>
          <w:lang w:eastAsia="zh-CN"/>
        </w:rPr>
        <w:t xml:space="preserve">and </w:t>
      </w:r>
      <w:r w:rsidR="00EA2B8B" w:rsidRPr="00627DA9">
        <w:rPr>
          <w:color w:val="000000" w:themeColor="text1"/>
          <w:szCs w:val="24"/>
        </w:rPr>
        <w:t>Chelmow (198</w:t>
      </w:r>
      <w:r w:rsidR="00EA2B8B" w:rsidRPr="00627DA9">
        <w:rPr>
          <w:color w:val="000000" w:themeColor="text1"/>
          <w:szCs w:val="24"/>
          <w:lang w:eastAsia="zh-CN"/>
        </w:rPr>
        <w:t>2</w:t>
      </w:r>
      <w:r w:rsidR="00EA2B8B" w:rsidRPr="00627DA9">
        <w:rPr>
          <w:color w:val="000000" w:themeColor="text1"/>
          <w:szCs w:val="24"/>
        </w:rPr>
        <w:t>).</w:t>
      </w:r>
      <w:r w:rsidR="00AF1297" w:rsidRPr="00627DA9">
        <w:rPr>
          <w:color w:val="000000" w:themeColor="text1"/>
          <w:szCs w:val="24"/>
        </w:rPr>
        <w:t xml:space="preserve"> Data from</w:t>
      </w:r>
      <w:r w:rsidR="00EA2B8B" w:rsidRPr="00627DA9">
        <w:rPr>
          <w:color w:val="000000" w:themeColor="text1"/>
          <w:szCs w:val="24"/>
        </w:rPr>
        <w:t xml:space="preserve"> </w:t>
      </w:r>
      <w:r w:rsidR="005924D5" w:rsidRPr="00627DA9">
        <w:rPr>
          <w:color w:val="000000" w:themeColor="text1"/>
          <w:szCs w:val="24"/>
        </w:rPr>
        <w:t xml:space="preserve">50 radial legs from Rita (2005), 7 legs from Patricia (2015), 22 legs from Harvey (2017), and 34 legs from Michael (2018) in </w:t>
      </w:r>
      <w:r w:rsidR="00142582" w:rsidRPr="00627DA9">
        <w:rPr>
          <w:color w:val="000000" w:themeColor="text1"/>
          <w:szCs w:val="24"/>
        </w:rPr>
        <w:t>total of 113 radial legs were analyzed</w:t>
      </w:r>
      <w:r w:rsidR="005924D5" w:rsidRPr="00627DA9">
        <w:rPr>
          <w:color w:val="000000" w:themeColor="text1"/>
          <w:szCs w:val="24"/>
        </w:rPr>
        <w:t xml:space="preserve"> in this study</w:t>
      </w:r>
      <w:r w:rsidR="00142582" w:rsidRPr="00627DA9">
        <w:rPr>
          <w:color w:val="000000" w:themeColor="text1"/>
          <w:szCs w:val="24"/>
        </w:rPr>
        <w:t>.</w:t>
      </w:r>
    </w:p>
    <w:p w14:paraId="5DB61A78" w14:textId="22F72275" w:rsidR="005924D5" w:rsidRPr="00627DA9" w:rsidRDefault="005924D5" w:rsidP="00DB62FE">
      <w:pPr>
        <w:spacing w:after="100"/>
        <w:rPr>
          <w:b/>
          <w:bCs/>
          <w:color w:val="000000" w:themeColor="text1"/>
          <w:szCs w:val="24"/>
        </w:rPr>
      </w:pPr>
      <w:r w:rsidRPr="00627DA9">
        <w:rPr>
          <w:b/>
          <w:bCs/>
          <w:color w:val="000000" w:themeColor="text1"/>
          <w:szCs w:val="24"/>
        </w:rPr>
        <w:lastRenderedPageBreak/>
        <w:t>S2: Numerical simulations of Hurricanes Michael (2018) and Patricia (2015)</w:t>
      </w:r>
    </w:p>
    <w:p w14:paraId="24C72389" w14:textId="765B9A33" w:rsidR="005924D5" w:rsidRPr="00627DA9" w:rsidRDefault="005924D5" w:rsidP="00DB62FE">
      <w:pPr>
        <w:spacing w:after="100"/>
        <w:jc w:val="both"/>
        <w:rPr>
          <w:color w:val="000000" w:themeColor="text1"/>
          <w:szCs w:val="24"/>
        </w:rPr>
      </w:pPr>
      <w:r w:rsidRPr="00627DA9">
        <w:rPr>
          <w:color w:val="000000" w:themeColor="text1"/>
          <w:szCs w:val="24"/>
        </w:rPr>
        <w:tab/>
        <w:t xml:space="preserve">Hurricane Michael (2018) was simulated by </w:t>
      </w:r>
      <w:r w:rsidR="00DD1E2C" w:rsidRPr="00627DA9">
        <w:rPr>
          <w:color w:val="000000" w:themeColor="text1"/>
          <w:szCs w:val="24"/>
        </w:rPr>
        <w:t>a global-nested version of HAFS (HAFS-globalnest)</w:t>
      </w:r>
      <w:r w:rsidR="007A2E8F" w:rsidRPr="00627DA9">
        <w:rPr>
          <w:color w:val="000000" w:themeColor="text1"/>
          <w:szCs w:val="24"/>
        </w:rPr>
        <w:t xml:space="preserve"> that does not feature ocean coupling</w:t>
      </w:r>
      <w:r w:rsidR="00DD1E2C" w:rsidRPr="00627DA9">
        <w:rPr>
          <w:color w:val="000000" w:themeColor="text1"/>
          <w:szCs w:val="24"/>
        </w:rPr>
        <w:t xml:space="preserve">. It uses </w:t>
      </w:r>
      <w:r w:rsidR="00DD1E2C" w:rsidRPr="00627DA9">
        <w:rPr>
          <w:color w:val="000000" w:themeColor="text1"/>
          <w:szCs w:val="24"/>
          <w:shd w:val="clear" w:color="auto" w:fill="FFFFFF"/>
        </w:rPr>
        <w:t xml:space="preserve">Geophysical Fluid Dynamics Laboratory (GFDL) finite-volume dynamic core (FV3, e.g., Lin 2004; </w:t>
      </w:r>
      <w:r w:rsidR="00DD1E2C" w:rsidRPr="00627DA9">
        <w:rPr>
          <w:color w:val="000000" w:themeColor="text1"/>
          <w:szCs w:val="24"/>
        </w:rPr>
        <w:t>Harris and Lin 2013)</w:t>
      </w:r>
      <w:r w:rsidR="00DD1E2C" w:rsidRPr="00627DA9">
        <w:rPr>
          <w:color w:val="000000" w:themeColor="text1"/>
          <w:szCs w:val="24"/>
          <w:shd w:val="clear" w:color="auto" w:fill="FFFFFF"/>
        </w:rPr>
        <w:t> </w:t>
      </w:r>
      <w:r w:rsidR="00DD1E2C" w:rsidRPr="00627DA9">
        <w:rPr>
          <w:color w:val="000000" w:themeColor="text1"/>
          <w:szCs w:val="24"/>
        </w:rPr>
        <w:t>with a static nest covering most of the Atlantic basin. The grid spacing of the global domain is ~13 km and the grid spacing of the nest is ~3 km for the Atlantic grid layout (Hazelton et al. 2021). There is a 2-way feedback between the parent and nested domains.</w:t>
      </w:r>
      <w:r w:rsidR="00DD1E2C" w:rsidRPr="00627DA9">
        <w:rPr>
          <w:b/>
          <w:bCs/>
          <w:color w:val="000000" w:themeColor="text1"/>
          <w:szCs w:val="24"/>
        </w:rPr>
        <w:t xml:space="preserve"> </w:t>
      </w:r>
      <w:r w:rsidR="00DD1E2C" w:rsidRPr="00627DA9">
        <w:rPr>
          <w:color w:val="000000" w:themeColor="text1"/>
          <w:szCs w:val="24"/>
        </w:rPr>
        <w:t>There are 64 levels in the vertical, the same as that in the operational Global Forecast System (GFS). The model is initialized with the GFS analysis. The physics used in HAFS-globalnest includ</w:t>
      </w:r>
      <w:r w:rsidR="00514171" w:rsidRPr="00627DA9">
        <w:rPr>
          <w:color w:val="000000" w:themeColor="text1"/>
          <w:szCs w:val="24"/>
        </w:rPr>
        <w:t>es</w:t>
      </w:r>
      <w:r w:rsidR="00DD1E2C" w:rsidRPr="00627DA9">
        <w:rPr>
          <w:color w:val="000000" w:themeColor="text1"/>
          <w:szCs w:val="24"/>
        </w:rPr>
        <w:t xml:space="preserve"> the GFDL microphysics scheme (Chen and Lin 2013), RRTMG radiation (Iacono et al. 2008), and the scale-aware</w:t>
      </w:r>
      <w:r w:rsidR="00514171" w:rsidRPr="00627DA9">
        <w:rPr>
          <w:color w:val="000000" w:themeColor="text1"/>
          <w:szCs w:val="24"/>
        </w:rPr>
        <w:t xml:space="preserve"> </w:t>
      </w:r>
      <w:r w:rsidR="00DD1E2C" w:rsidRPr="00627DA9">
        <w:rPr>
          <w:color w:val="000000" w:themeColor="text1"/>
          <w:szCs w:val="24"/>
        </w:rPr>
        <w:t>convective parameterization</w:t>
      </w:r>
      <w:r w:rsidR="00514171" w:rsidRPr="00627DA9">
        <w:rPr>
          <w:color w:val="000000" w:themeColor="text1"/>
          <w:szCs w:val="24"/>
        </w:rPr>
        <w:t xml:space="preserve"> (Han et al. 2017)</w:t>
      </w:r>
      <w:r w:rsidR="00DD1E2C" w:rsidRPr="00627DA9">
        <w:rPr>
          <w:color w:val="000000" w:themeColor="text1"/>
          <w:szCs w:val="24"/>
        </w:rPr>
        <w:t>, which is turned on for the global domain but not the nested domain.</w:t>
      </w:r>
      <w:r w:rsidR="00514171" w:rsidRPr="00627DA9">
        <w:rPr>
          <w:color w:val="000000" w:themeColor="text1"/>
          <w:szCs w:val="24"/>
        </w:rPr>
        <w:t xml:space="preserve"> </w:t>
      </w:r>
      <w:r w:rsidR="00DD1E2C" w:rsidRPr="00627DA9">
        <w:rPr>
          <w:color w:val="000000" w:themeColor="text1"/>
          <w:szCs w:val="24"/>
        </w:rPr>
        <w:t xml:space="preserve">The default </w:t>
      </w:r>
      <w:r w:rsidR="00514171" w:rsidRPr="00627DA9">
        <w:rPr>
          <w:color w:val="000000" w:themeColor="text1"/>
          <w:szCs w:val="24"/>
        </w:rPr>
        <w:t>planetary boundary layer (</w:t>
      </w:r>
      <w:r w:rsidR="00DD1E2C" w:rsidRPr="00627DA9">
        <w:rPr>
          <w:color w:val="000000" w:themeColor="text1"/>
          <w:szCs w:val="24"/>
        </w:rPr>
        <w:t>PBL</w:t>
      </w:r>
      <w:r w:rsidR="00514171" w:rsidRPr="00627DA9">
        <w:rPr>
          <w:color w:val="000000" w:themeColor="text1"/>
          <w:szCs w:val="24"/>
        </w:rPr>
        <w:t>)</w:t>
      </w:r>
      <w:r w:rsidR="00DD1E2C" w:rsidRPr="00627DA9">
        <w:rPr>
          <w:color w:val="000000" w:themeColor="text1"/>
          <w:szCs w:val="24"/>
        </w:rPr>
        <w:t xml:space="preserve"> scheme used in the HAFS-globalnest is the </w:t>
      </w:r>
      <w:r w:rsidR="0072649B" w:rsidRPr="00627DA9">
        <w:rPr>
          <w:color w:val="000000" w:themeColor="text1"/>
          <w:szCs w:val="24"/>
        </w:rPr>
        <w:t xml:space="preserve">hybrid </w:t>
      </w:r>
      <w:r w:rsidR="00DD1E2C" w:rsidRPr="00627DA9">
        <w:rPr>
          <w:color w:val="000000" w:themeColor="text1"/>
          <w:szCs w:val="24"/>
        </w:rPr>
        <w:t>Eddy-Diffusivity-Mass-Flux (EDMF) scheme (Han et al. 2016), which is a first-order K-closure scheme originally formulated by Hong and Pan (1996).</w:t>
      </w:r>
      <w:r w:rsidR="00514171" w:rsidRPr="00627DA9">
        <w:rPr>
          <w:color w:val="000000" w:themeColor="text1"/>
          <w:szCs w:val="24"/>
        </w:rPr>
        <w:t xml:space="preserve"> For the simulation of Michael (2018) presented in this study, a stability correction to account for the buoyancy generated by eyewall and rainband clouds is added in the PBL scheme. </w:t>
      </w:r>
      <w:r w:rsidR="007A41B6" w:rsidRPr="00627DA9">
        <w:rPr>
          <w:color w:val="000000" w:themeColor="text1"/>
          <w:szCs w:val="24"/>
        </w:rPr>
        <w:t>Details of numerical simulation of Michael (2018) can be found in Zhu et al. (2021).</w:t>
      </w:r>
    </w:p>
    <w:p w14:paraId="023E6B77" w14:textId="33611174" w:rsidR="007A41B6" w:rsidRPr="00627DA9" w:rsidRDefault="007A41B6" w:rsidP="00DB62FE">
      <w:pPr>
        <w:spacing w:after="100"/>
        <w:jc w:val="both"/>
        <w:rPr>
          <w:color w:val="000000" w:themeColor="text1"/>
          <w:szCs w:val="24"/>
        </w:rPr>
      </w:pPr>
      <w:r w:rsidRPr="00627DA9">
        <w:rPr>
          <w:color w:val="000000" w:themeColor="text1"/>
          <w:szCs w:val="24"/>
        </w:rPr>
        <w:tab/>
      </w:r>
      <w:r w:rsidR="0072649B" w:rsidRPr="00627DA9">
        <w:rPr>
          <w:color w:val="000000" w:themeColor="text1"/>
          <w:szCs w:val="24"/>
        </w:rPr>
        <w:t xml:space="preserve">Hurricane Patricia (2015) was simulated by the Hurricane Weather Research &amp; Forecasting (HWRF) model </w:t>
      </w:r>
      <w:r w:rsidR="0072649B" w:rsidRPr="00627DA9">
        <w:rPr>
          <w:rFonts w:eastAsia="DengXian"/>
          <w:color w:val="000000" w:themeColor="text1"/>
          <w:szCs w:val="24"/>
          <w:lang w:eastAsia="zh-CN"/>
        </w:rPr>
        <w:t>version v3.9a</w:t>
      </w:r>
      <w:r w:rsidR="007A2E8F" w:rsidRPr="00627DA9">
        <w:rPr>
          <w:rFonts w:eastAsia="DengXian"/>
          <w:color w:val="000000" w:themeColor="text1"/>
          <w:szCs w:val="24"/>
          <w:lang w:eastAsia="zh-CN"/>
        </w:rPr>
        <w:t xml:space="preserve"> without ocean coupling</w:t>
      </w:r>
      <w:r w:rsidR="0072649B" w:rsidRPr="00627DA9">
        <w:rPr>
          <w:rFonts w:eastAsia="DengXian"/>
          <w:color w:val="000000" w:themeColor="text1"/>
          <w:szCs w:val="24"/>
          <w:lang w:eastAsia="zh-CN"/>
        </w:rPr>
        <w:t xml:space="preserve">. </w:t>
      </w:r>
      <w:r w:rsidR="0072649B" w:rsidRPr="00627DA9">
        <w:rPr>
          <w:color w:val="000000" w:themeColor="text1"/>
          <w:szCs w:val="24"/>
        </w:rPr>
        <w:t>It consists of triple-nested domains on an E-grid. The grid-spacing of the three domains is 0.099</w:t>
      </w:r>
      <w:r w:rsidR="0072649B" w:rsidRPr="00627DA9">
        <w:rPr>
          <w:color w:val="000000" w:themeColor="text1"/>
          <w:szCs w:val="24"/>
          <w:vertAlign w:val="superscript"/>
        </w:rPr>
        <w:t>0</w:t>
      </w:r>
      <w:r w:rsidR="0072649B" w:rsidRPr="00627DA9">
        <w:rPr>
          <w:color w:val="000000" w:themeColor="text1"/>
          <w:szCs w:val="24"/>
        </w:rPr>
        <w:t>, 0.033</w:t>
      </w:r>
      <w:r w:rsidR="0072649B" w:rsidRPr="00627DA9">
        <w:rPr>
          <w:color w:val="000000" w:themeColor="text1"/>
          <w:szCs w:val="24"/>
          <w:vertAlign w:val="superscript"/>
        </w:rPr>
        <w:t>0</w:t>
      </w:r>
      <w:r w:rsidR="0072649B" w:rsidRPr="00627DA9">
        <w:rPr>
          <w:color w:val="000000" w:themeColor="text1"/>
          <w:szCs w:val="24"/>
        </w:rPr>
        <w:t>, and 0.011</w:t>
      </w:r>
      <w:r w:rsidR="0072649B" w:rsidRPr="00627DA9">
        <w:rPr>
          <w:color w:val="000000" w:themeColor="text1"/>
          <w:szCs w:val="24"/>
          <w:vertAlign w:val="superscript"/>
        </w:rPr>
        <w:t>0</w:t>
      </w:r>
      <w:r w:rsidR="0072649B" w:rsidRPr="00627DA9">
        <w:rPr>
          <w:color w:val="000000" w:themeColor="text1"/>
          <w:szCs w:val="24"/>
        </w:rPr>
        <w:t xml:space="preserve"> degree, corresponding approximately to 10.98 km, 3.66 km, and 1.22 km, respectively.</w:t>
      </w:r>
      <w:r w:rsidR="0072649B" w:rsidRPr="00627DA9">
        <w:rPr>
          <w:rFonts w:eastAsiaTheme="minorEastAsia"/>
          <w:color w:val="000000" w:themeColor="text1"/>
          <w:kern w:val="2"/>
          <w:szCs w:val="24"/>
          <w:lang w:eastAsia="zh-CN"/>
        </w:rPr>
        <w:t xml:space="preserve"> The horizontal grid-meshes for the three domains are 390X750, 268X538, and 268X538, respectively. There are 75 levels in the vertical. HWRF provides multiple choices for treating the sub-grid-scale physics.  In this simulation, we used the physics package for operational forecasts except for the PBL scheme. These include: the Ferrier-Aligo microphysical scheme (Aligo et al. 2018), the modified GFDL longwave/shortwave radiation scheme, the simplified Arakawa-Schubert cumulus scheme for the outmost low-resolution domain, and the modified GFDL surface layer scheme. The details of HWRFv3.9a may be accessed at </w:t>
      </w:r>
      <w:hyperlink r:id="rId10" w:history="1">
        <w:r w:rsidR="0072649B" w:rsidRPr="00627DA9">
          <w:rPr>
            <w:rFonts w:eastAsiaTheme="majorEastAsia"/>
            <w:color w:val="000000" w:themeColor="text1"/>
            <w:kern w:val="2"/>
            <w:szCs w:val="24"/>
            <w:lang w:eastAsia="zh-CN"/>
          </w:rPr>
          <w:t>https://dtcenter.org/HurrWRF/users/docs/index.php</w:t>
        </w:r>
      </w:hyperlink>
      <w:r w:rsidR="0072649B" w:rsidRPr="00627DA9">
        <w:rPr>
          <w:rFonts w:eastAsiaTheme="minorEastAsia"/>
          <w:color w:val="000000" w:themeColor="text1"/>
          <w:kern w:val="2"/>
          <w:szCs w:val="24"/>
          <w:lang w:eastAsia="zh-CN"/>
        </w:rPr>
        <w:t xml:space="preserve">. The PBL scheme used for this simulation is </w:t>
      </w:r>
      <w:r w:rsidR="0072649B" w:rsidRPr="00627DA9">
        <w:rPr>
          <w:color w:val="000000" w:themeColor="text1"/>
          <w:szCs w:val="24"/>
        </w:rPr>
        <w:t>a modified hybrid EDMF scheme (Han et al. 2016) with the stability correction (Zhu et al. 2021).</w:t>
      </w:r>
      <w:r w:rsidR="007A2E8F" w:rsidRPr="00627DA9">
        <w:rPr>
          <w:color w:val="000000" w:themeColor="text1"/>
          <w:szCs w:val="24"/>
        </w:rPr>
        <w:t xml:space="preserve"> The initial and boundary conditions were supplied by the Global Forecast System (GFS) data.</w:t>
      </w:r>
    </w:p>
    <w:p w14:paraId="33AEFFB4" w14:textId="6BE75A92" w:rsidR="00DB62FE" w:rsidRPr="00627DA9" w:rsidRDefault="00DB62FE" w:rsidP="00DB62FE">
      <w:pPr>
        <w:spacing w:after="100"/>
        <w:rPr>
          <w:b/>
          <w:bCs/>
          <w:color w:val="000000" w:themeColor="text1"/>
          <w:szCs w:val="24"/>
        </w:rPr>
      </w:pPr>
      <w:r w:rsidRPr="00627DA9">
        <w:rPr>
          <w:b/>
          <w:bCs/>
          <w:color w:val="000000" w:themeColor="text1"/>
          <w:szCs w:val="24"/>
        </w:rPr>
        <w:t>S3: Possible reasons for lateral entrainment not to meet the instability criterion</w:t>
      </w:r>
    </w:p>
    <w:p w14:paraId="12D0DCB7" w14:textId="131A49AB" w:rsidR="005479CB" w:rsidRPr="00627DA9" w:rsidRDefault="005479CB" w:rsidP="005479CB">
      <w:pPr>
        <w:spacing w:after="100"/>
        <w:rPr>
          <w:color w:val="000000" w:themeColor="text1"/>
          <w:szCs w:val="24"/>
        </w:rPr>
      </w:pPr>
      <w:r w:rsidRPr="00627DA9">
        <w:rPr>
          <w:color w:val="000000" w:themeColor="text1"/>
          <w:szCs w:val="24"/>
        </w:rPr>
        <w:t>S3.1 Aircraft observations</w:t>
      </w:r>
    </w:p>
    <w:p w14:paraId="439C8527" w14:textId="30D34224" w:rsidR="00264DD3" w:rsidRPr="00627DA9" w:rsidRDefault="00264DD3" w:rsidP="009B6861">
      <w:pPr>
        <w:spacing w:after="100"/>
        <w:ind w:firstLine="720"/>
        <w:jc w:val="both"/>
        <w:rPr>
          <w:color w:val="000000" w:themeColor="text1"/>
          <w:szCs w:val="24"/>
        </w:rPr>
      </w:pPr>
      <w:r w:rsidRPr="00627DA9">
        <w:rPr>
          <w:color w:val="000000" w:themeColor="text1"/>
          <w:szCs w:val="24"/>
        </w:rPr>
        <w:t xml:space="preserve">As shown in Fig.3, there are a few </w:t>
      </w:r>
      <w:r w:rsidR="002D102D" w:rsidRPr="00627DA9">
        <w:rPr>
          <w:color w:val="000000" w:themeColor="text1"/>
          <w:szCs w:val="24"/>
        </w:rPr>
        <w:t>lateral entrainment cases</w:t>
      </w:r>
      <w:r w:rsidRPr="00627DA9">
        <w:rPr>
          <w:color w:val="000000" w:themeColor="text1"/>
          <w:szCs w:val="24"/>
        </w:rPr>
        <w:t xml:space="preserve"> falling in the stable regime. To understand the underlying reasons, we analyzed the radial profiles associated with these </w:t>
      </w:r>
      <w:r w:rsidR="002D102D" w:rsidRPr="00627DA9">
        <w:rPr>
          <w:color w:val="000000" w:themeColor="text1"/>
          <w:szCs w:val="24"/>
        </w:rPr>
        <w:t>case</w:t>
      </w:r>
      <w:r w:rsidRPr="00627DA9">
        <w:rPr>
          <w:color w:val="000000" w:themeColor="text1"/>
          <w:szCs w:val="24"/>
        </w:rPr>
        <w:t xml:space="preserve">s. </w:t>
      </w:r>
      <w:r w:rsidR="001E27F6" w:rsidRPr="00627DA9">
        <w:rPr>
          <w:color w:val="000000" w:themeColor="text1"/>
          <w:szCs w:val="24"/>
        </w:rPr>
        <w:t>As an illustration, we t</w:t>
      </w:r>
      <w:r w:rsidRPr="00627DA9">
        <w:rPr>
          <w:color w:val="000000" w:themeColor="text1"/>
          <w:szCs w:val="24"/>
        </w:rPr>
        <w:t>ak</w:t>
      </w:r>
      <w:r w:rsidR="001E27F6" w:rsidRPr="00627DA9">
        <w:rPr>
          <w:color w:val="000000" w:themeColor="text1"/>
          <w:szCs w:val="24"/>
        </w:rPr>
        <w:t>e</w:t>
      </w:r>
      <w:r w:rsidRPr="00627DA9">
        <w:rPr>
          <w:color w:val="000000" w:themeColor="text1"/>
          <w:szCs w:val="24"/>
        </w:rPr>
        <w:t xml:space="preserve"> the solid black triangle in the stable regime </w:t>
      </w:r>
      <w:r w:rsidR="002D102D" w:rsidRPr="00627DA9">
        <w:rPr>
          <w:color w:val="000000" w:themeColor="text1"/>
          <w:szCs w:val="24"/>
        </w:rPr>
        <w:t xml:space="preserve">in Fig. 3 </w:t>
      </w:r>
      <w:r w:rsidRPr="00627DA9">
        <w:rPr>
          <w:color w:val="000000" w:themeColor="text1"/>
          <w:szCs w:val="24"/>
        </w:rPr>
        <w:t>as an example</w:t>
      </w:r>
      <w:r w:rsidR="001E27F6" w:rsidRPr="00627DA9">
        <w:rPr>
          <w:color w:val="000000" w:themeColor="text1"/>
          <w:szCs w:val="24"/>
        </w:rPr>
        <w:t xml:space="preserve">. This case was recorded in one of the flight legs into Hurricane Patricia (2015). The </w:t>
      </w:r>
      <w:r w:rsidRPr="00627DA9">
        <w:rPr>
          <w:color w:val="000000" w:themeColor="text1"/>
          <w:szCs w:val="24"/>
        </w:rPr>
        <w:t xml:space="preserve">radial profiles of relative humidity, equivalent potential temperature </w:t>
      </w:r>
      <m:oMath>
        <m:sSub>
          <m:sSubPr>
            <m:ctrlPr>
              <w:rPr>
                <w:rFonts w:ascii="Cambria Math" w:eastAsia="SimSun" w:hAnsi="Cambria Math"/>
                <w:i/>
                <w:color w:val="000000" w:themeColor="text1"/>
                <w:szCs w:val="24"/>
              </w:rPr>
            </m:ctrlPr>
          </m:sSubPr>
          <m:e>
            <m:r>
              <w:rPr>
                <w:rFonts w:ascii="Cambria Math" w:eastAsia="SimSun" w:hAnsi="Cambria Math"/>
                <w:color w:val="000000" w:themeColor="text1"/>
                <w:szCs w:val="24"/>
              </w:rPr>
              <m:t>θ</m:t>
            </m:r>
          </m:e>
          <m:sub>
            <m:r>
              <w:rPr>
                <w:rFonts w:ascii="Cambria Math" w:eastAsia="SimSun" w:hAnsi="Cambria Math"/>
                <w:color w:val="000000" w:themeColor="text1"/>
                <w:szCs w:val="24"/>
              </w:rPr>
              <m:t>e</m:t>
            </m:r>
          </m:sub>
        </m:sSub>
      </m:oMath>
      <w:r w:rsidRPr="00627DA9">
        <w:rPr>
          <w:color w:val="000000" w:themeColor="text1"/>
          <w:szCs w:val="24"/>
        </w:rPr>
        <w:t xml:space="preserve">, mixing ratio </w:t>
      </w:r>
      <m:oMath>
        <m:r>
          <w:rPr>
            <w:rFonts w:ascii="Cambria Math" w:eastAsia="SimSun" w:hAnsi="Cambria Math"/>
            <w:color w:val="000000" w:themeColor="text1"/>
            <w:szCs w:val="24"/>
          </w:rPr>
          <m:t>q</m:t>
        </m:r>
      </m:oMath>
      <w:r w:rsidRPr="00627DA9">
        <w:rPr>
          <w:color w:val="000000" w:themeColor="text1"/>
          <w:szCs w:val="24"/>
        </w:rPr>
        <w:t>, and potential temperature</w:t>
      </w:r>
      <w:r w:rsidRPr="00627DA9">
        <w:rPr>
          <w:rFonts w:eastAsia="SimSun"/>
          <w:i/>
          <w:color w:val="000000" w:themeColor="text1"/>
          <w:szCs w:val="24"/>
        </w:rPr>
        <w:t xml:space="preserve"> </w:t>
      </w:r>
      <m:oMath>
        <m:r>
          <w:rPr>
            <w:rFonts w:ascii="Cambria Math" w:eastAsia="SimSun" w:hAnsi="Cambria Math"/>
            <w:color w:val="000000" w:themeColor="text1"/>
            <w:szCs w:val="24"/>
          </w:rPr>
          <m:t>θ</m:t>
        </m:r>
      </m:oMath>
      <w:r w:rsidRPr="00627DA9">
        <w:rPr>
          <w:rFonts w:eastAsia="SimSun"/>
          <w:i/>
          <w:color w:val="000000" w:themeColor="text1"/>
          <w:szCs w:val="24"/>
        </w:rPr>
        <w:t xml:space="preserve"> </w:t>
      </w:r>
      <w:r w:rsidR="001E27F6" w:rsidRPr="00627DA9">
        <w:rPr>
          <w:color w:val="000000" w:themeColor="text1"/>
          <w:szCs w:val="24"/>
        </w:rPr>
        <w:t xml:space="preserve">of this leg </w:t>
      </w:r>
      <w:r w:rsidR="00A64CB8" w:rsidRPr="00627DA9">
        <w:rPr>
          <w:color w:val="000000" w:themeColor="text1"/>
          <w:szCs w:val="24"/>
        </w:rPr>
        <w:t>are</w:t>
      </w:r>
      <w:r w:rsidR="001E27F6" w:rsidRPr="00627DA9">
        <w:rPr>
          <w:color w:val="000000" w:themeColor="text1"/>
          <w:szCs w:val="24"/>
        </w:rPr>
        <w:t xml:space="preserve"> shown in</w:t>
      </w:r>
      <w:r w:rsidRPr="00627DA9">
        <w:rPr>
          <w:color w:val="000000" w:themeColor="text1"/>
          <w:szCs w:val="24"/>
        </w:rPr>
        <w:t xml:space="preserve"> Fig. </w:t>
      </w:r>
      <w:r w:rsidR="001E27F6" w:rsidRPr="00627DA9">
        <w:rPr>
          <w:color w:val="000000" w:themeColor="text1"/>
          <w:szCs w:val="24"/>
        </w:rPr>
        <w:t>S1</w:t>
      </w:r>
      <w:r w:rsidRPr="00627DA9">
        <w:rPr>
          <w:color w:val="000000" w:themeColor="text1"/>
          <w:szCs w:val="24"/>
        </w:rPr>
        <w:t xml:space="preserve">. </w:t>
      </w:r>
      <w:r w:rsidR="001E27F6" w:rsidRPr="00627DA9">
        <w:rPr>
          <w:color w:val="000000" w:themeColor="text1"/>
          <w:szCs w:val="24"/>
        </w:rPr>
        <w:t>The stable lateral entrainment</w:t>
      </w:r>
      <w:r w:rsidRPr="00627DA9">
        <w:rPr>
          <w:color w:val="000000" w:themeColor="text1"/>
          <w:szCs w:val="24"/>
        </w:rPr>
        <w:t xml:space="preserve"> occurs at the outer edge of the eyewall indicated by the red *. As shown clearly in </w:t>
      </w:r>
      <w:r w:rsidR="001E27F6" w:rsidRPr="00627DA9">
        <w:rPr>
          <w:color w:val="000000" w:themeColor="text1"/>
          <w:szCs w:val="24"/>
        </w:rPr>
        <w:t>Fig. S1d</w:t>
      </w:r>
      <w:r w:rsidRPr="00627DA9">
        <w:rPr>
          <w:color w:val="000000" w:themeColor="text1"/>
          <w:szCs w:val="24"/>
        </w:rPr>
        <w:t xml:space="preserve">, the reason to cause the stable entrainment is </w:t>
      </w:r>
      <w:r w:rsidR="004D5713" w:rsidRPr="00627DA9">
        <w:rPr>
          <w:color w:val="000000" w:themeColor="text1"/>
          <w:szCs w:val="24"/>
        </w:rPr>
        <w:t xml:space="preserve">mainly </w:t>
      </w:r>
      <w:r w:rsidRPr="00627DA9">
        <w:rPr>
          <w:color w:val="000000" w:themeColor="text1"/>
          <w:szCs w:val="24"/>
        </w:rPr>
        <w:t xml:space="preserve">due to the drop of </w:t>
      </w:r>
      <m:oMath>
        <m:r>
          <w:rPr>
            <w:rFonts w:ascii="Cambria Math" w:eastAsia="SimSun" w:hAnsi="Cambria Math"/>
            <w:color w:val="000000" w:themeColor="text1"/>
            <w:szCs w:val="24"/>
          </w:rPr>
          <m:t>θ</m:t>
        </m:r>
      </m:oMath>
      <w:r w:rsidRPr="00627DA9">
        <w:rPr>
          <w:color w:val="000000" w:themeColor="text1"/>
          <w:szCs w:val="24"/>
        </w:rPr>
        <w:t xml:space="preserve"> </w:t>
      </w:r>
      <w:r w:rsidR="00A7348D" w:rsidRPr="00627DA9">
        <w:rPr>
          <w:color w:val="000000" w:themeColor="text1"/>
          <w:szCs w:val="24"/>
        </w:rPr>
        <w:t>just inside of the</w:t>
      </w:r>
      <w:r w:rsidRPr="00627DA9">
        <w:rPr>
          <w:color w:val="000000" w:themeColor="text1"/>
          <w:szCs w:val="24"/>
        </w:rPr>
        <w:t xml:space="preserve"> eyewall clouds, which causes </w:t>
      </w:r>
      <m:oMath>
        <m:r>
          <w:rPr>
            <w:rFonts w:ascii="Cambria Math" w:hAnsi="Cambria Math"/>
            <w:color w:val="000000" w:themeColor="text1"/>
            <w:szCs w:val="24"/>
          </w:rPr>
          <m:t>∆</m:t>
        </m:r>
        <m:sSub>
          <m:sSubPr>
            <m:ctrlPr>
              <w:rPr>
                <w:rFonts w:ascii="Cambria Math" w:eastAsia="SimSun" w:hAnsi="Cambria Math"/>
                <w:i/>
                <w:color w:val="000000" w:themeColor="text1"/>
                <w:szCs w:val="24"/>
              </w:rPr>
            </m:ctrlPr>
          </m:sSubPr>
          <m:e>
            <m:r>
              <w:rPr>
                <w:rFonts w:ascii="Cambria Math" w:eastAsia="SimSun" w:hAnsi="Cambria Math"/>
                <w:color w:val="000000" w:themeColor="text1"/>
                <w:szCs w:val="24"/>
              </w:rPr>
              <m:t>θ</m:t>
            </m:r>
          </m:e>
          <m:sub>
            <m:r>
              <w:rPr>
                <w:rFonts w:ascii="Cambria Math" w:eastAsia="SimSun" w:hAnsi="Cambria Math"/>
                <w:color w:val="000000" w:themeColor="text1"/>
                <w:szCs w:val="24"/>
              </w:rPr>
              <m:t>e</m:t>
            </m:r>
          </m:sub>
        </m:sSub>
      </m:oMath>
      <w:r w:rsidRPr="00627DA9">
        <w:rPr>
          <w:color w:val="000000" w:themeColor="text1"/>
          <w:szCs w:val="24"/>
        </w:rPr>
        <w:t xml:space="preserve"> </w:t>
      </w:r>
      <w:r w:rsidR="00A7348D" w:rsidRPr="00627DA9">
        <w:rPr>
          <w:color w:val="000000" w:themeColor="text1"/>
          <w:szCs w:val="24"/>
        </w:rPr>
        <w:t>a</w:t>
      </w:r>
      <w:r w:rsidRPr="00627DA9">
        <w:rPr>
          <w:color w:val="000000" w:themeColor="text1"/>
          <w:szCs w:val="24"/>
        </w:rPr>
        <w:t xml:space="preserve">cross the edge of clouds to be </w:t>
      </w:r>
      <w:r w:rsidR="00A7348D" w:rsidRPr="00627DA9">
        <w:rPr>
          <w:color w:val="000000" w:themeColor="text1"/>
          <w:szCs w:val="24"/>
        </w:rPr>
        <w:t xml:space="preserve">less </w:t>
      </w:r>
      <w:r w:rsidR="00A7348D" w:rsidRPr="00627DA9">
        <w:rPr>
          <w:color w:val="000000" w:themeColor="text1"/>
          <w:szCs w:val="24"/>
        </w:rPr>
        <w:lastRenderedPageBreak/>
        <w:t>negative</w:t>
      </w:r>
      <w:r w:rsidRPr="00627DA9">
        <w:rPr>
          <w:color w:val="000000" w:themeColor="text1"/>
          <w:szCs w:val="24"/>
        </w:rPr>
        <w:t xml:space="preserve"> than </w:t>
      </w:r>
      <m:oMath>
        <m:f>
          <m:fPr>
            <m:ctrlPr>
              <w:rPr>
                <w:rFonts w:ascii="Cambria Math" w:hAnsi="Cambria Math"/>
                <w:i/>
                <w:color w:val="000000" w:themeColor="text1"/>
                <w:szCs w:val="24"/>
              </w:rPr>
            </m:ctrlPr>
          </m:fPr>
          <m:num>
            <m:acc>
              <m:accPr>
                <m:chr m:val="̅"/>
                <m:ctrlPr>
                  <w:rPr>
                    <w:rFonts w:ascii="Cambria Math" w:hAnsi="Cambria Math"/>
                    <w:i/>
                    <w:color w:val="000000" w:themeColor="text1"/>
                    <w:szCs w:val="24"/>
                  </w:rPr>
                </m:ctrlPr>
              </m:accPr>
              <m:e>
                <m:r>
                  <w:rPr>
                    <w:rFonts w:ascii="Cambria Math" w:hAnsi="Cambria Math"/>
                    <w:color w:val="000000" w:themeColor="text1"/>
                    <w:szCs w:val="24"/>
                  </w:rPr>
                  <m:t>θ</m:t>
                </m:r>
              </m:e>
            </m:acc>
          </m:num>
          <m:den>
            <m:r>
              <w:rPr>
                <w:rFonts w:ascii="Cambria Math" w:hAnsi="Cambria Math"/>
                <w:color w:val="000000" w:themeColor="text1"/>
                <w:szCs w:val="24"/>
              </w:rPr>
              <m:t>α</m:t>
            </m:r>
          </m:den>
        </m:f>
        <m:r>
          <w:rPr>
            <w:rFonts w:ascii="Cambria Math" w:hAnsi="Cambria Math"/>
            <w:color w:val="000000" w:themeColor="text1"/>
            <w:szCs w:val="24"/>
          </w:rPr>
          <m:t>∆</m:t>
        </m:r>
        <m:sSub>
          <m:sSubPr>
            <m:ctrlPr>
              <w:rPr>
                <w:rFonts w:ascii="Cambria Math" w:hAnsi="Cambria Math"/>
                <w:i/>
                <w:color w:val="000000" w:themeColor="text1"/>
                <w:szCs w:val="24"/>
              </w:rPr>
            </m:ctrlPr>
          </m:sSubPr>
          <m:e>
            <m:r>
              <w:rPr>
                <w:rFonts w:ascii="Cambria Math" w:hAnsi="Cambria Math"/>
                <w:color w:val="000000" w:themeColor="text1"/>
                <w:szCs w:val="24"/>
              </w:rPr>
              <m:t>q</m:t>
            </m:r>
          </m:e>
          <m:sub>
            <m:r>
              <w:rPr>
                <w:rFonts w:ascii="Cambria Math" w:hAnsi="Cambria Math"/>
                <w:color w:val="000000" w:themeColor="text1"/>
                <w:szCs w:val="24"/>
              </w:rPr>
              <m:t>t</m:t>
            </m:r>
          </m:sub>
        </m:sSub>
      </m:oMath>
      <w:r w:rsidRPr="00627DA9">
        <w:rPr>
          <w:color w:val="000000" w:themeColor="text1"/>
          <w:szCs w:val="24"/>
        </w:rPr>
        <w:t>, so that the entrained moat air into the eyewall cannot sink unstably. This case is different from the normal situation in which the temperature inside the clou</w:t>
      </w:r>
      <w:r w:rsidR="002D102D" w:rsidRPr="00627DA9">
        <w:rPr>
          <w:color w:val="000000" w:themeColor="text1"/>
          <w:szCs w:val="24"/>
        </w:rPr>
        <w:t>ds is usually</w:t>
      </w:r>
      <w:r w:rsidRPr="00627DA9">
        <w:rPr>
          <w:color w:val="000000" w:themeColor="text1"/>
          <w:szCs w:val="24"/>
        </w:rPr>
        <w:t xml:space="preserve"> higher than its surroundings due to the latent heat release</w:t>
      </w:r>
      <w:r w:rsidR="00A7348D" w:rsidRPr="00627DA9">
        <w:rPr>
          <w:color w:val="000000" w:themeColor="text1"/>
          <w:szCs w:val="24"/>
        </w:rPr>
        <w:t>. An example of the normal situation is</w:t>
      </w:r>
      <w:r w:rsidRPr="00627DA9">
        <w:rPr>
          <w:color w:val="000000" w:themeColor="text1"/>
          <w:szCs w:val="24"/>
        </w:rPr>
        <w:t xml:space="preserve"> </w:t>
      </w:r>
      <w:r w:rsidR="00A7348D" w:rsidRPr="00627DA9">
        <w:rPr>
          <w:color w:val="000000" w:themeColor="text1"/>
          <w:szCs w:val="24"/>
        </w:rPr>
        <w:t>shown in</w:t>
      </w:r>
      <w:r w:rsidRPr="00627DA9">
        <w:rPr>
          <w:color w:val="000000" w:themeColor="text1"/>
          <w:szCs w:val="24"/>
        </w:rPr>
        <w:t xml:space="preserve"> Fig. 2d where </w:t>
      </w:r>
      <m:oMath>
        <m:sSub>
          <m:sSubPr>
            <m:ctrlPr>
              <w:rPr>
                <w:rFonts w:ascii="Cambria Math" w:eastAsia="SimSun" w:hAnsi="Cambria Math"/>
                <w:i/>
                <w:color w:val="000000" w:themeColor="text1"/>
                <w:szCs w:val="24"/>
              </w:rPr>
            </m:ctrlPr>
          </m:sSubPr>
          <m:e>
            <m:r>
              <w:rPr>
                <w:rFonts w:ascii="Cambria Math" w:eastAsia="SimSun" w:hAnsi="Cambria Math"/>
                <w:color w:val="000000" w:themeColor="text1"/>
                <w:szCs w:val="24"/>
              </w:rPr>
              <m:t>θ</m:t>
            </m:r>
          </m:e>
          <m:sub>
            <m:r>
              <w:rPr>
                <w:rFonts w:ascii="Cambria Math" w:eastAsia="SimSun" w:hAnsi="Cambria Math"/>
                <w:color w:val="000000" w:themeColor="text1"/>
                <w:szCs w:val="24"/>
              </w:rPr>
              <m:t>e</m:t>
            </m:r>
          </m:sub>
        </m:sSub>
      </m:oMath>
      <w:r w:rsidRPr="00627DA9">
        <w:rPr>
          <w:color w:val="000000" w:themeColor="text1"/>
          <w:szCs w:val="24"/>
        </w:rPr>
        <w:t xml:space="preserve"> increases inside the eyewall clouds. The reason for the temperature dropping just inside the clouds of this atypical case is not totally clear. </w:t>
      </w:r>
      <w:r w:rsidR="00A7348D" w:rsidRPr="00627DA9">
        <w:rPr>
          <w:color w:val="000000" w:themeColor="text1"/>
          <w:szCs w:val="24"/>
        </w:rPr>
        <w:t>One of the likely causes is</w:t>
      </w:r>
      <w:r w:rsidRPr="00627DA9">
        <w:rPr>
          <w:color w:val="000000" w:themeColor="text1"/>
          <w:szCs w:val="24"/>
        </w:rPr>
        <w:t xml:space="preserve"> the precipitation at the cloud edge, the evaporative cooling results in the temperature drop</w:t>
      </w:r>
      <w:r w:rsidR="00E207C1" w:rsidRPr="00627DA9">
        <w:rPr>
          <w:color w:val="000000" w:themeColor="text1"/>
          <w:szCs w:val="24"/>
        </w:rPr>
        <w:t>ping</w:t>
      </w:r>
      <w:r w:rsidRPr="00627DA9">
        <w:rPr>
          <w:color w:val="000000" w:themeColor="text1"/>
          <w:szCs w:val="24"/>
        </w:rPr>
        <w:t xml:space="preserve"> just inside the clouds. Further investigation is needed</w:t>
      </w:r>
      <w:r w:rsidR="00A7348D" w:rsidRPr="00627DA9">
        <w:rPr>
          <w:color w:val="000000" w:themeColor="text1"/>
          <w:szCs w:val="24"/>
        </w:rPr>
        <w:t xml:space="preserve"> to clarify this issue</w:t>
      </w:r>
      <w:r w:rsidRPr="00627DA9">
        <w:rPr>
          <w:color w:val="000000" w:themeColor="text1"/>
          <w:szCs w:val="24"/>
        </w:rPr>
        <w:t xml:space="preserve">. </w:t>
      </w:r>
      <w:r w:rsidR="00A40E03" w:rsidRPr="00627DA9">
        <w:rPr>
          <w:color w:val="000000" w:themeColor="text1"/>
          <w:szCs w:val="24"/>
        </w:rPr>
        <w:t>However</w:t>
      </w:r>
      <w:r w:rsidR="002D102D" w:rsidRPr="00627DA9">
        <w:rPr>
          <w:color w:val="000000" w:themeColor="text1"/>
          <w:szCs w:val="24"/>
        </w:rPr>
        <w:t>,</w:t>
      </w:r>
      <w:r w:rsidRPr="00627DA9">
        <w:rPr>
          <w:color w:val="000000" w:themeColor="text1"/>
          <w:szCs w:val="24"/>
        </w:rPr>
        <w:t xml:space="preserve"> as indicated by Fig.</w:t>
      </w:r>
      <w:r w:rsidR="00A7348D" w:rsidRPr="00627DA9">
        <w:rPr>
          <w:color w:val="000000" w:themeColor="text1"/>
          <w:szCs w:val="24"/>
        </w:rPr>
        <w:t xml:space="preserve"> 3</w:t>
      </w:r>
      <w:r w:rsidRPr="00627DA9">
        <w:rPr>
          <w:color w:val="000000" w:themeColor="text1"/>
          <w:szCs w:val="24"/>
        </w:rPr>
        <w:t>, majority of the lateral entrainment</w:t>
      </w:r>
      <w:r w:rsidR="00A40E03" w:rsidRPr="00627DA9">
        <w:rPr>
          <w:color w:val="000000" w:themeColor="text1"/>
          <w:szCs w:val="24"/>
        </w:rPr>
        <w:t>s</w:t>
      </w:r>
      <w:r w:rsidRPr="00627DA9">
        <w:rPr>
          <w:color w:val="000000" w:themeColor="text1"/>
          <w:szCs w:val="24"/>
        </w:rPr>
        <w:t xml:space="preserve"> in the TC inner core meet the instability criterion. Stable lateral entrainment is rare and atypical, which </w:t>
      </w:r>
      <w:r w:rsidR="002D102D" w:rsidRPr="00627DA9">
        <w:rPr>
          <w:color w:val="000000" w:themeColor="text1"/>
          <w:szCs w:val="24"/>
        </w:rPr>
        <w:t>may</w:t>
      </w:r>
      <w:r w:rsidRPr="00627DA9">
        <w:rPr>
          <w:color w:val="000000" w:themeColor="text1"/>
          <w:szCs w:val="24"/>
        </w:rPr>
        <w:t xml:space="preserve"> be caused by various reasons </w:t>
      </w:r>
      <w:r w:rsidR="002D102D" w:rsidRPr="00627DA9">
        <w:rPr>
          <w:color w:val="000000" w:themeColor="text1"/>
          <w:szCs w:val="24"/>
        </w:rPr>
        <w:t>related to</w:t>
      </w:r>
      <w:r w:rsidR="00A7348D" w:rsidRPr="00627DA9">
        <w:rPr>
          <w:color w:val="000000" w:themeColor="text1"/>
          <w:szCs w:val="24"/>
        </w:rPr>
        <w:t xml:space="preserve"> the</w:t>
      </w:r>
      <w:r w:rsidRPr="00627DA9">
        <w:rPr>
          <w:color w:val="000000" w:themeColor="text1"/>
          <w:szCs w:val="24"/>
        </w:rPr>
        <w:t xml:space="preserve"> perturbations in moist thermodynamics of TCs. </w:t>
      </w:r>
    </w:p>
    <w:p w14:paraId="66AD0780" w14:textId="77777777" w:rsidR="00264DD3" w:rsidRPr="00627DA9" w:rsidRDefault="00264DD3" w:rsidP="00264DD3">
      <w:pPr>
        <w:spacing w:after="100"/>
        <w:jc w:val="center"/>
        <w:rPr>
          <w:color w:val="000000" w:themeColor="text1"/>
          <w:szCs w:val="24"/>
        </w:rPr>
      </w:pPr>
      <w:r w:rsidRPr="00627DA9">
        <w:rPr>
          <w:noProof/>
          <w:color w:val="000000" w:themeColor="text1"/>
          <w:szCs w:val="24"/>
        </w:rPr>
        <w:drawing>
          <wp:inline distT="0" distB="0" distL="0" distR="0" wp14:anchorId="5A70A6CE" wp14:editId="2EBC0B79">
            <wp:extent cx="5149850" cy="4121150"/>
            <wp:effectExtent l="0" t="0" r="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9850" cy="4121150"/>
                    </a:xfrm>
                    <a:prstGeom prst="rect">
                      <a:avLst/>
                    </a:prstGeom>
                    <a:noFill/>
                    <a:ln>
                      <a:noFill/>
                    </a:ln>
                  </pic:spPr>
                </pic:pic>
              </a:graphicData>
            </a:graphic>
          </wp:inline>
        </w:drawing>
      </w:r>
    </w:p>
    <w:p w14:paraId="1705ADA4" w14:textId="77C17AEA" w:rsidR="00264DD3" w:rsidRPr="00627DA9" w:rsidRDefault="00264DD3" w:rsidP="009B6861">
      <w:pPr>
        <w:spacing w:after="300"/>
        <w:jc w:val="both"/>
        <w:rPr>
          <w:i/>
          <w:iCs/>
          <w:color w:val="000000" w:themeColor="text1"/>
          <w:szCs w:val="24"/>
        </w:rPr>
      </w:pPr>
      <w:r w:rsidRPr="00627DA9">
        <w:rPr>
          <w:i/>
          <w:iCs/>
          <w:color w:val="000000" w:themeColor="text1"/>
          <w:szCs w:val="24"/>
        </w:rPr>
        <w:t xml:space="preserve">Fig. </w:t>
      </w:r>
      <w:r w:rsidR="00A7348D" w:rsidRPr="00627DA9">
        <w:rPr>
          <w:i/>
          <w:iCs/>
          <w:color w:val="000000" w:themeColor="text1"/>
          <w:szCs w:val="24"/>
        </w:rPr>
        <w:t>S1</w:t>
      </w:r>
      <w:r w:rsidRPr="00627DA9">
        <w:rPr>
          <w:i/>
          <w:iCs/>
          <w:color w:val="000000" w:themeColor="text1"/>
          <w:szCs w:val="24"/>
        </w:rPr>
        <w:t xml:space="preserve">: Radial profiles of </w:t>
      </w:r>
      <w:r w:rsidR="00B65D5A" w:rsidRPr="00627DA9">
        <w:rPr>
          <w:i/>
          <w:iCs/>
          <w:color w:val="000000" w:themeColor="text1"/>
          <w:szCs w:val="24"/>
        </w:rPr>
        <w:t xml:space="preserve">relative humidity, equivalent potential temperature, mixing ratio, and potential temperature from </w:t>
      </w:r>
      <w:r w:rsidRPr="00627DA9">
        <w:rPr>
          <w:i/>
          <w:iCs/>
          <w:color w:val="000000" w:themeColor="text1"/>
          <w:szCs w:val="24"/>
        </w:rPr>
        <w:t>one of the legs into Hurricane Patricia (2015)</w:t>
      </w:r>
      <w:r w:rsidR="00B65D5A" w:rsidRPr="00627DA9">
        <w:rPr>
          <w:i/>
          <w:iCs/>
          <w:color w:val="000000" w:themeColor="text1"/>
          <w:szCs w:val="24"/>
        </w:rPr>
        <w:t xml:space="preserve"> that record</w:t>
      </w:r>
      <w:r w:rsidR="005B501B" w:rsidRPr="00627DA9">
        <w:rPr>
          <w:i/>
          <w:iCs/>
          <w:color w:val="000000" w:themeColor="text1"/>
          <w:szCs w:val="24"/>
        </w:rPr>
        <w:t>ed</w:t>
      </w:r>
      <w:r w:rsidR="00B65D5A" w:rsidRPr="00627DA9">
        <w:rPr>
          <w:i/>
          <w:iCs/>
          <w:color w:val="000000" w:themeColor="text1"/>
          <w:szCs w:val="24"/>
        </w:rPr>
        <w:t xml:space="preserve"> a stable lateral entrainment at the outer edge of the eyewall indicated by the solid black triangle in Fig. 3.  </w:t>
      </w:r>
    </w:p>
    <w:p w14:paraId="0A8EFD4B" w14:textId="64D3AF70" w:rsidR="005479CB" w:rsidRPr="00627DA9" w:rsidRDefault="005479CB" w:rsidP="00E625E0">
      <w:pPr>
        <w:spacing w:after="100"/>
        <w:jc w:val="both"/>
        <w:rPr>
          <w:color w:val="000000" w:themeColor="text1"/>
          <w:szCs w:val="24"/>
        </w:rPr>
      </w:pPr>
      <w:r w:rsidRPr="00627DA9">
        <w:rPr>
          <w:color w:val="000000" w:themeColor="text1"/>
          <w:szCs w:val="24"/>
        </w:rPr>
        <w:t>S3.2 Numerical simulations</w:t>
      </w:r>
    </w:p>
    <w:p w14:paraId="43DDF865" w14:textId="20121EC3" w:rsidR="00DB62FE" w:rsidRPr="00627DA9" w:rsidRDefault="005479CB" w:rsidP="00E625E0">
      <w:pPr>
        <w:spacing w:after="100"/>
        <w:jc w:val="both"/>
        <w:rPr>
          <w:color w:val="000000" w:themeColor="text1"/>
          <w:szCs w:val="24"/>
        </w:rPr>
      </w:pPr>
      <w:r w:rsidRPr="00627DA9">
        <w:rPr>
          <w:color w:val="000000" w:themeColor="text1"/>
          <w:szCs w:val="24"/>
        </w:rPr>
        <w:tab/>
        <w:t xml:space="preserve">As shown in Figs. 4c and 4d, </w:t>
      </w:r>
      <w:r w:rsidR="00E625E0" w:rsidRPr="00627DA9">
        <w:rPr>
          <w:color w:val="000000" w:themeColor="text1"/>
          <w:szCs w:val="24"/>
        </w:rPr>
        <w:t xml:space="preserve">most of the vertical column at the outer edge of eyewall clouds satisfies the lateral entrainment instability </w:t>
      </w:r>
      <w:r w:rsidR="005A27E1" w:rsidRPr="00627DA9">
        <w:rPr>
          <w:color w:val="000000" w:themeColor="text1"/>
          <w:szCs w:val="24"/>
        </w:rPr>
        <w:t xml:space="preserve">criterion </w:t>
      </w:r>
      <w:r w:rsidR="00E625E0" w:rsidRPr="00627DA9">
        <w:rPr>
          <w:color w:val="000000" w:themeColor="text1"/>
          <w:szCs w:val="24"/>
        </w:rPr>
        <w:t>except a shallow layer in-between 1 and 2 km. To understand wh</w:t>
      </w:r>
      <w:r w:rsidR="006C2F62" w:rsidRPr="00627DA9">
        <w:rPr>
          <w:color w:val="000000" w:themeColor="text1"/>
          <w:szCs w:val="24"/>
        </w:rPr>
        <w:t>at</w:t>
      </w:r>
      <w:r w:rsidR="00E625E0" w:rsidRPr="00627DA9">
        <w:rPr>
          <w:color w:val="000000" w:themeColor="text1"/>
          <w:szCs w:val="24"/>
        </w:rPr>
        <w:t xml:space="preserve"> causes the stable lateral entrainment in this shallow layer, we examined the vertical profiles of various thermodynamic and dynamic </w:t>
      </w:r>
      <w:r w:rsidR="00E625E0" w:rsidRPr="00627DA9">
        <w:rPr>
          <w:color w:val="000000" w:themeColor="text1"/>
          <w:szCs w:val="24"/>
        </w:rPr>
        <w:lastRenderedPageBreak/>
        <w:t xml:space="preserve">variables at the three grid points </w:t>
      </w:r>
      <w:r w:rsidR="006C2F62" w:rsidRPr="00627DA9">
        <w:rPr>
          <w:color w:val="000000" w:themeColor="text1"/>
          <w:szCs w:val="24"/>
        </w:rPr>
        <w:t xml:space="preserve">in the vicinity of the outer edge of the eyewall </w:t>
      </w:r>
      <w:r w:rsidR="00E625E0" w:rsidRPr="00627DA9">
        <w:rPr>
          <w:color w:val="000000" w:themeColor="text1"/>
          <w:szCs w:val="24"/>
        </w:rPr>
        <w:t xml:space="preserve">indicated in Fig. 4a and 4b. As an example, Fig. </w:t>
      </w:r>
      <w:r w:rsidR="006C2F62" w:rsidRPr="00627DA9">
        <w:rPr>
          <w:color w:val="000000" w:themeColor="text1"/>
          <w:szCs w:val="24"/>
        </w:rPr>
        <w:t>S2</w:t>
      </w:r>
      <w:r w:rsidR="00E625E0" w:rsidRPr="00627DA9">
        <w:rPr>
          <w:color w:val="000000" w:themeColor="text1"/>
          <w:szCs w:val="24"/>
        </w:rPr>
        <w:t xml:space="preserve"> shows </w:t>
      </w:r>
      <w:r w:rsidR="005A27E1" w:rsidRPr="00627DA9">
        <w:rPr>
          <w:color w:val="000000" w:themeColor="text1"/>
          <w:szCs w:val="24"/>
        </w:rPr>
        <w:t xml:space="preserve">the </w:t>
      </w:r>
      <w:r w:rsidR="00E625E0" w:rsidRPr="00627DA9">
        <w:rPr>
          <w:color w:val="000000" w:themeColor="text1"/>
          <w:szCs w:val="24"/>
        </w:rPr>
        <w:t xml:space="preserve">vertical profiles of total water mixing ratio </w:t>
      </w:r>
      <m:oMath>
        <m:sSub>
          <m:sSubPr>
            <m:ctrlPr>
              <w:rPr>
                <w:rFonts w:ascii="Cambria Math" w:eastAsia="SimSun" w:hAnsi="Cambria Math"/>
                <w:i/>
                <w:color w:val="000000" w:themeColor="text1"/>
                <w:szCs w:val="24"/>
              </w:rPr>
            </m:ctrlPr>
          </m:sSubPr>
          <m:e>
            <m:r>
              <w:rPr>
                <w:rFonts w:ascii="Cambria Math" w:eastAsia="SimSun" w:hAnsi="Cambria Math"/>
                <w:color w:val="000000" w:themeColor="text1"/>
                <w:szCs w:val="24"/>
              </w:rPr>
              <m:t>q</m:t>
            </m:r>
          </m:e>
          <m:sub>
            <m:r>
              <w:rPr>
                <w:rFonts w:ascii="Cambria Math" w:eastAsia="SimSun" w:hAnsi="Cambria Math"/>
                <w:color w:val="000000" w:themeColor="text1"/>
                <w:szCs w:val="24"/>
              </w:rPr>
              <m:t>t</m:t>
            </m:r>
          </m:sub>
        </m:sSub>
      </m:oMath>
      <w:r w:rsidR="00E625E0" w:rsidRPr="00627DA9">
        <w:rPr>
          <w:color w:val="000000" w:themeColor="text1"/>
          <w:szCs w:val="24"/>
        </w:rPr>
        <w:t xml:space="preserve">, </w:t>
      </w:r>
      <m:oMath>
        <m:sSub>
          <m:sSubPr>
            <m:ctrlPr>
              <w:rPr>
                <w:rFonts w:ascii="Cambria Math" w:eastAsia="SimSun" w:hAnsi="Cambria Math"/>
                <w:i/>
                <w:color w:val="000000" w:themeColor="text1"/>
                <w:szCs w:val="24"/>
              </w:rPr>
            </m:ctrlPr>
          </m:sSubPr>
          <m:e>
            <m:r>
              <w:rPr>
                <w:rFonts w:ascii="Cambria Math" w:eastAsia="SimSun" w:hAnsi="Cambria Math"/>
                <w:color w:val="000000" w:themeColor="text1"/>
                <w:szCs w:val="24"/>
              </w:rPr>
              <m:t>θ</m:t>
            </m:r>
          </m:e>
          <m:sub>
            <m:r>
              <w:rPr>
                <w:rFonts w:ascii="Cambria Math" w:eastAsia="SimSun" w:hAnsi="Cambria Math"/>
                <w:color w:val="000000" w:themeColor="text1"/>
                <w:szCs w:val="24"/>
              </w:rPr>
              <m:t>e</m:t>
            </m:r>
          </m:sub>
        </m:sSub>
      </m:oMath>
      <w:r w:rsidR="00E625E0" w:rsidRPr="00627DA9">
        <w:rPr>
          <w:color w:val="000000" w:themeColor="text1"/>
          <w:szCs w:val="24"/>
        </w:rPr>
        <w:t xml:space="preserve">, </w:t>
      </w:r>
      <m:oMath>
        <m:r>
          <w:rPr>
            <w:rFonts w:ascii="Cambria Math" w:eastAsia="SimSun" w:hAnsi="Cambria Math"/>
            <w:color w:val="000000" w:themeColor="text1"/>
            <w:szCs w:val="24"/>
          </w:rPr>
          <m:t>θ</m:t>
        </m:r>
      </m:oMath>
      <w:r w:rsidR="00E625E0" w:rsidRPr="00627DA9">
        <w:rPr>
          <w:color w:val="000000" w:themeColor="text1"/>
          <w:szCs w:val="24"/>
        </w:rPr>
        <w:t xml:space="preserve">, and vertical velocity </w:t>
      </w:r>
      <m:oMath>
        <m:r>
          <w:rPr>
            <w:rFonts w:ascii="Cambria Math" w:hAnsi="Cambria Math"/>
            <w:color w:val="000000" w:themeColor="text1"/>
            <w:szCs w:val="24"/>
          </w:rPr>
          <m:t>w</m:t>
        </m:r>
      </m:oMath>
      <w:r w:rsidR="00E625E0" w:rsidRPr="00627DA9">
        <w:rPr>
          <w:color w:val="000000" w:themeColor="text1"/>
          <w:szCs w:val="24"/>
        </w:rPr>
        <w:t xml:space="preserve"> at the three grid points from the HWRF simulation of Hurricane Patricia (2015). Outside the clouds, the profiles of </w:t>
      </w:r>
      <w:bookmarkStart w:id="0" w:name="_Hlk127992850"/>
      <m:oMath>
        <m:sSub>
          <m:sSubPr>
            <m:ctrlPr>
              <w:rPr>
                <w:rFonts w:ascii="Cambria Math" w:eastAsia="SimSun" w:hAnsi="Cambria Math"/>
                <w:i/>
                <w:color w:val="000000" w:themeColor="text1"/>
                <w:szCs w:val="24"/>
              </w:rPr>
            </m:ctrlPr>
          </m:sSubPr>
          <m:e>
            <m:r>
              <w:rPr>
                <w:rFonts w:ascii="Cambria Math" w:eastAsia="SimSun" w:hAnsi="Cambria Math"/>
                <w:color w:val="000000" w:themeColor="text1"/>
                <w:szCs w:val="24"/>
              </w:rPr>
              <m:t>q</m:t>
            </m:r>
          </m:e>
          <m:sub>
            <m:r>
              <w:rPr>
                <w:rFonts w:ascii="Cambria Math" w:eastAsia="SimSun" w:hAnsi="Cambria Math"/>
                <w:color w:val="000000" w:themeColor="text1"/>
                <w:szCs w:val="24"/>
              </w:rPr>
              <m:t>t</m:t>
            </m:r>
          </m:sub>
        </m:sSub>
      </m:oMath>
      <w:bookmarkEnd w:id="0"/>
      <w:r w:rsidR="00E625E0" w:rsidRPr="00627DA9">
        <w:rPr>
          <w:color w:val="000000" w:themeColor="text1"/>
          <w:szCs w:val="24"/>
        </w:rPr>
        <w:t xml:space="preserve"> and </w:t>
      </w:r>
      <m:oMath>
        <m:r>
          <w:rPr>
            <w:rFonts w:ascii="Cambria Math" w:eastAsia="SimSun" w:hAnsi="Cambria Math"/>
            <w:color w:val="000000" w:themeColor="text1"/>
            <w:szCs w:val="24"/>
          </w:rPr>
          <m:t>θ</m:t>
        </m:r>
      </m:oMath>
      <w:r w:rsidR="00E625E0" w:rsidRPr="00627DA9">
        <w:rPr>
          <w:color w:val="000000" w:themeColor="text1"/>
          <w:szCs w:val="24"/>
        </w:rPr>
        <w:t xml:space="preserve"> (red) show a slight discontinuity with a decrease of </w:t>
      </w:r>
      <m:oMath>
        <m:sSub>
          <m:sSubPr>
            <m:ctrlPr>
              <w:rPr>
                <w:rFonts w:ascii="Cambria Math" w:eastAsia="SimSun" w:hAnsi="Cambria Math"/>
                <w:i/>
                <w:color w:val="000000" w:themeColor="text1"/>
                <w:szCs w:val="24"/>
              </w:rPr>
            </m:ctrlPr>
          </m:sSubPr>
          <m:e>
            <m:r>
              <w:rPr>
                <w:rFonts w:ascii="Cambria Math" w:eastAsia="SimSun" w:hAnsi="Cambria Math"/>
                <w:color w:val="000000" w:themeColor="text1"/>
                <w:szCs w:val="24"/>
              </w:rPr>
              <m:t>q</m:t>
            </m:r>
          </m:e>
          <m:sub>
            <m:r>
              <w:rPr>
                <w:rFonts w:ascii="Cambria Math" w:eastAsia="SimSun" w:hAnsi="Cambria Math"/>
                <w:color w:val="000000" w:themeColor="text1"/>
                <w:szCs w:val="24"/>
              </w:rPr>
              <m:t>t</m:t>
            </m:r>
          </m:sub>
        </m:sSub>
      </m:oMath>
      <w:r w:rsidR="00E625E0" w:rsidRPr="00627DA9">
        <w:rPr>
          <w:color w:val="000000" w:themeColor="text1"/>
          <w:szCs w:val="24"/>
        </w:rPr>
        <w:t xml:space="preserve"> and increase of </w:t>
      </w:r>
      <m:oMath>
        <m:r>
          <w:rPr>
            <w:rFonts w:ascii="Cambria Math" w:eastAsia="SimSun" w:hAnsi="Cambria Math"/>
            <w:color w:val="000000" w:themeColor="text1"/>
            <w:szCs w:val="24"/>
          </w:rPr>
          <m:t>θ</m:t>
        </m:r>
      </m:oMath>
      <w:r w:rsidR="00E625E0" w:rsidRPr="00627DA9">
        <w:rPr>
          <w:color w:val="000000" w:themeColor="text1"/>
          <w:szCs w:val="24"/>
        </w:rPr>
        <w:t xml:space="preserve"> just below 2 km. This discontinuity in </w:t>
      </w:r>
      <m:oMath>
        <m:sSub>
          <m:sSubPr>
            <m:ctrlPr>
              <w:rPr>
                <w:rFonts w:ascii="Cambria Math" w:eastAsia="SimSun" w:hAnsi="Cambria Math"/>
                <w:i/>
                <w:color w:val="000000" w:themeColor="text1"/>
                <w:szCs w:val="24"/>
              </w:rPr>
            </m:ctrlPr>
          </m:sSubPr>
          <m:e>
            <m:r>
              <w:rPr>
                <w:rFonts w:ascii="Cambria Math" w:eastAsia="SimSun" w:hAnsi="Cambria Math"/>
                <w:color w:val="000000" w:themeColor="text1"/>
                <w:szCs w:val="24"/>
              </w:rPr>
              <m:t>q</m:t>
            </m:r>
          </m:e>
          <m:sub>
            <m:r>
              <w:rPr>
                <w:rFonts w:ascii="Cambria Math" w:eastAsia="SimSun" w:hAnsi="Cambria Math"/>
                <w:color w:val="000000" w:themeColor="text1"/>
                <w:szCs w:val="24"/>
              </w:rPr>
              <m:t>t</m:t>
            </m:r>
          </m:sub>
        </m:sSub>
      </m:oMath>
      <w:r w:rsidR="00E625E0" w:rsidRPr="00627DA9">
        <w:rPr>
          <w:color w:val="000000" w:themeColor="text1"/>
          <w:szCs w:val="24"/>
        </w:rPr>
        <w:t xml:space="preserve"> and </w:t>
      </w:r>
      <m:oMath>
        <m:r>
          <w:rPr>
            <w:rFonts w:ascii="Cambria Math" w:eastAsia="SimSun" w:hAnsi="Cambria Math"/>
            <w:color w:val="000000" w:themeColor="text1"/>
            <w:szCs w:val="24"/>
          </w:rPr>
          <m:t>θ</m:t>
        </m:r>
      </m:oMath>
      <w:r w:rsidR="00E625E0" w:rsidRPr="00627DA9">
        <w:rPr>
          <w:color w:val="000000" w:themeColor="text1"/>
          <w:szCs w:val="24"/>
        </w:rPr>
        <w:t xml:space="preserve"> may be analogous to the cap that tops the typical convective boundary layer, which</w:t>
      </w:r>
      <w:r w:rsidR="0041296E" w:rsidRPr="00627DA9">
        <w:rPr>
          <w:color w:val="000000" w:themeColor="text1"/>
          <w:szCs w:val="24"/>
        </w:rPr>
        <w:t xml:space="preserve"> forms mainly through</w:t>
      </w:r>
      <w:r w:rsidR="00E625E0" w:rsidRPr="00627DA9">
        <w:rPr>
          <w:color w:val="000000" w:themeColor="text1"/>
          <w:szCs w:val="24"/>
        </w:rPr>
        <w:t xml:space="preserve"> the</w:t>
      </w:r>
      <w:r w:rsidR="007731D1" w:rsidRPr="00627DA9">
        <w:rPr>
          <w:color w:val="000000" w:themeColor="text1"/>
          <w:szCs w:val="24"/>
        </w:rPr>
        <w:t xml:space="preserve"> </w:t>
      </w:r>
      <w:r w:rsidR="00E625E0" w:rsidRPr="00627DA9">
        <w:rPr>
          <w:color w:val="000000" w:themeColor="text1"/>
          <w:szCs w:val="24"/>
        </w:rPr>
        <w:t xml:space="preserve">adiabatic warming and drying </w:t>
      </w:r>
      <w:r w:rsidR="0041296E" w:rsidRPr="00627DA9">
        <w:rPr>
          <w:color w:val="000000" w:themeColor="text1"/>
          <w:szCs w:val="24"/>
        </w:rPr>
        <w:t xml:space="preserve">process </w:t>
      </w:r>
      <w:r w:rsidR="00E625E0" w:rsidRPr="00627DA9">
        <w:rPr>
          <w:color w:val="000000" w:themeColor="text1"/>
          <w:szCs w:val="24"/>
        </w:rPr>
        <w:t xml:space="preserve">caused by subsidence. As indicated by Fig. </w:t>
      </w:r>
      <w:r w:rsidR="0041296E" w:rsidRPr="00627DA9">
        <w:rPr>
          <w:color w:val="000000" w:themeColor="text1"/>
          <w:szCs w:val="24"/>
        </w:rPr>
        <w:t>S2</w:t>
      </w:r>
      <w:r w:rsidR="00E625E0" w:rsidRPr="00627DA9">
        <w:rPr>
          <w:color w:val="000000" w:themeColor="text1"/>
          <w:szCs w:val="24"/>
        </w:rPr>
        <w:t xml:space="preserve">d, outside the clouds there is a downdraft </w:t>
      </w:r>
      <w:r w:rsidR="00F34493" w:rsidRPr="00627DA9">
        <w:rPr>
          <w:color w:val="000000" w:themeColor="text1"/>
          <w:szCs w:val="24"/>
        </w:rPr>
        <w:t xml:space="preserve">(red) </w:t>
      </w:r>
      <w:r w:rsidR="00E625E0" w:rsidRPr="00627DA9">
        <w:rPr>
          <w:color w:val="000000" w:themeColor="text1"/>
          <w:szCs w:val="24"/>
        </w:rPr>
        <w:t xml:space="preserve">that peaks between 2 and 3 km. It is this downdraft </w:t>
      </w:r>
      <w:r w:rsidR="00D53292" w:rsidRPr="00627DA9">
        <w:rPr>
          <w:color w:val="000000" w:themeColor="text1"/>
          <w:szCs w:val="24"/>
        </w:rPr>
        <w:t xml:space="preserve">that </w:t>
      </w:r>
      <w:r w:rsidR="00E625E0" w:rsidRPr="00627DA9">
        <w:rPr>
          <w:color w:val="000000" w:themeColor="text1"/>
          <w:szCs w:val="24"/>
        </w:rPr>
        <w:t>causes the subsidence warming, leading to the temperature increase near 2 km in altitude</w:t>
      </w:r>
      <w:r w:rsidR="0041296E" w:rsidRPr="00627DA9">
        <w:rPr>
          <w:color w:val="000000" w:themeColor="text1"/>
          <w:szCs w:val="24"/>
        </w:rPr>
        <w:t xml:space="preserve">. The resultant </w:t>
      </w:r>
      <w:r w:rsidR="00406A23" w:rsidRPr="00627DA9">
        <w:rPr>
          <w:color w:val="000000" w:themeColor="text1"/>
          <w:szCs w:val="24"/>
        </w:rPr>
        <w:t xml:space="preserve">discontinuity in </w:t>
      </w:r>
      <w:r w:rsidR="0041296E" w:rsidRPr="00627DA9">
        <w:rPr>
          <w:color w:val="000000" w:themeColor="text1"/>
          <w:szCs w:val="24"/>
        </w:rPr>
        <w:t>temperature and moisture serves a role</w:t>
      </w:r>
      <w:r w:rsidR="00406A23" w:rsidRPr="00627DA9">
        <w:rPr>
          <w:color w:val="000000" w:themeColor="text1"/>
          <w:szCs w:val="24"/>
        </w:rPr>
        <w:t xml:space="preserve"> in</w:t>
      </w:r>
      <w:r w:rsidR="00E625E0" w:rsidRPr="00627DA9">
        <w:rPr>
          <w:color w:val="000000" w:themeColor="text1"/>
          <w:szCs w:val="24"/>
        </w:rPr>
        <w:t xml:space="preserve"> separat</w:t>
      </w:r>
      <w:r w:rsidR="00406A23" w:rsidRPr="00627DA9">
        <w:rPr>
          <w:color w:val="000000" w:themeColor="text1"/>
          <w:szCs w:val="24"/>
        </w:rPr>
        <w:t>ing</w:t>
      </w:r>
      <w:r w:rsidR="00E625E0" w:rsidRPr="00627DA9">
        <w:rPr>
          <w:color w:val="000000" w:themeColor="text1"/>
          <w:szCs w:val="24"/>
        </w:rPr>
        <w:t xml:space="preserve"> the convective boundary layer from the free atmosphere above. No such discontinuity, however, is seen inside the clouds since the turbulence generated by the boundary layer processes and cloud processes is intimately connected. The subsidence warming outside the clouds reduces the difference of </w:t>
      </w:r>
      <m:oMath>
        <m:sSub>
          <m:sSubPr>
            <m:ctrlPr>
              <w:rPr>
                <w:rFonts w:ascii="Cambria Math" w:eastAsia="SimSun" w:hAnsi="Cambria Math"/>
                <w:i/>
                <w:color w:val="000000" w:themeColor="text1"/>
                <w:szCs w:val="24"/>
              </w:rPr>
            </m:ctrlPr>
          </m:sSubPr>
          <m:e>
            <m:r>
              <w:rPr>
                <w:rFonts w:ascii="Cambria Math" w:eastAsia="SimSun" w:hAnsi="Cambria Math"/>
                <w:color w:val="000000" w:themeColor="text1"/>
                <w:szCs w:val="24"/>
              </w:rPr>
              <m:t>θ</m:t>
            </m:r>
          </m:e>
          <m:sub>
            <m:r>
              <w:rPr>
                <w:rFonts w:ascii="Cambria Math" w:eastAsia="SimSun" w:hAnsi="Cambria Math"/>
                <w:color w:val="000000" w:themeColor="text1"/>
                <w:szCs w:val="24"/>
              </w:rPr>
              <m:t>e</m:t>
            </m:r>
          </m:sub>
        </m:sSub>
      </m:oMath>
      <w:r w:rsidR="00E625E0" w:rsidRPr="00627DA9">
        <w:rPr>
          <w:color w:val="000000" w:themeColor="text1"/>
          <w:szCs w:val="24"/>
        </w:rPr>
        <w:t xml:space="preserve"> across the cloud boundaries, leading to  </w:t>
      </w:r>
      <m:oMath>
        <m:r>
          <w:rPr>
            <w:rFonts w:ascii="Cambria Math" w:hAnsi="Cambria Math"/>
            <w:color w:val="000000" w:themeColor="text1"/>
            <w:szCs w:val="24"/>
          </w:rPr>
          <m:t>∆</m:t>
        </m:r>
        <m:sSub>
          <m:sSubPr>
            <m:ctrlPr>
              <w:rPr>
                <w:rFonts w:ascii="Cambria Math" w:eastAsia="SimSun" w:hAnsi="Cambria Math"/>
                <w:i/>
                <w:color w:val="000000" w:themeColor="text1"/>
                <w:szCs w:val="24"/>
              </w:rPr>
            </m:ctrlPr>
          </m:sSubPr>
          <m:e>
            <m:r>
              <w:rPr>
                <w:rFonts w:ascii="Cambria Math" w:eastAsia="SimSun" w:hAnsi="Cambria Math"/>
                <w:color w:val="000000" w:themeColor="text1"/>
                <w:szCs w:val="24"/>
              </w:rPr>
              <m:t>θ</m:t>
            </m:r>
          </m:e>
          <m:sub>
            <m:r>
              <w:rPr>
                <w:rFonts w:ascii="Cambria Math" w:eastAsia="SimSun" w:hAnsi="Cambria Math"/>
                <w:color w:val="000000" w:themeColor="text1"/>
                <w:szCs w:val="24"/>
              </w:rPr>
              <m:t>e</m:t>
            </m:r>
          </m:sub>
        </m:sSub>
        <m:r>
          <w:rPr>
            <w:rFonts w:ascii="Cambria Math" w:eastAsia="SimSun" w:hAnsi="Cambria Math"/>
            <w:color w:val="000000" w:themeColor="text1"/>
            <w:szCs w:val="24"/>
          </w:rPr>
          <m:t>&gt;</m:t>
        </m:r>
        <m:f>
          <m:fPr>
            <m:ctrlPr>
              <w:rPr>
                <w:rFonts w:ascii="Cambria Math" w:hAnsi="Cambria Math"/>
                <w:i/>
                <w:color w:val="000000" w:themeColor="text1"/>
                <w:szCs w:val="24"/>
              </w:rPr>
            </m:ctrlPr>
          </m:fPr>
          <m:num>
            <m:acc>
              <m:accPr>
                <m:chr m:val="̅"/>
                <m:ctrlPr>
                  <w:rPr>
                    <w:rFonts w:ascii="Cambria Math" w:hAnsi="Cambria Math"/>
                    <w:i/>
                    <w:color w:val="000000" w:themeColor="text1"/>
                    <w:szCs w:val="24"/>
                  </w:rPr>
                </m:ctrlPr>
              </m:accPr>
              <m:e>
                <m:r>
                  <w:rPr>
                    <w:rFonts w:ascii="Cambria Math" w:hAnsi="Cambria Math"/>
                    <w:color w:val="000000" w:themeColor="text1"/>
                    <w:szCs w:val="24"/>
                  </w:rPr>
                  <m:t>θ</m:t>
                </m:r>
              </m:e>
            </m:acc>
          </m:num>
          <m:den>
            <m:r>
              <w:rPr>
                <w:rFonts w:ascii="Cambria Math" w:hAnsi="Cambria Math"/>
                <w:color w:val="000000" w:themeColor="text1"/>
                <w:szCs w:val="24"/>
              </w:rPr>
              <m:t>α</m:t>
            </m:r>
          </m:den>
        </m:f>
        <m:r>
          <w:rPr>
            <w:rFonts w:ascii="Cambria Math" w:hAnsi="Cambria Math"/>
            <w:color w:val="000000" w:themeColor="text1"/>
            <w:szCs w:val="24"/>
          </w:rPr>
          <m:t>∆</m:t>
        </m:r>
        <m:sSub>
          <m:sSubPr>
            <m:ctrlPr>
              <w:rPr>
                <w:rFonts w:ascii="Cambria Math" w:hAnsi="Cambria Math"/>
                <w:i/>
                <w:color w:val="000000" w:themeColor="text1"/>
                <w:szCs w:val="24"/>
              </w:rPr>
            </m:ctrlPr>
          </m:sSubPr>
          <m:e>
            <m:r>
              <w:rPr>
                <w:rFonts w:ascii="Cambria Math" w:hAnsi="Cambria Math"/>
                <w:color w:val="000000" w:themeColor="text1"/>
                <w:szCs w:val="24"/>
              </w:rPr>
              <m:t>q</m:t>
            </m:r>
          </m:e>
          <m:sub>
            <m:r>
              <w:rPr>
                <w:rFonts w:ascii="Cambria Math" w:hAnsi="Cambria Math"/>
                <w:color w:val="000000" w:themeColor="text1"/>
                <w:szCs w:val="24"/>
              </w:rPr>
              <m:t>t</m:t>
            </m:r>
          </m:sub>
        </m:sSub>
      </m:oMath>
      <w:r w:rsidR="00E625E0" w:rsidRPr="00627DA9">
        <w:rPr>
          <w:color w:val="000000" w:themeColor="text1"/>
          <w:szCs w:val="24"/>
        </w:rPr>
        <w:t xml:space="preserve"> (i.e., stable lateral entrainment). Similar process </w:t>
      </w:r>
      <w:r w:rsidR="00406A23" w:rsidRPr="00627DA9">
        <w:rPr>
          <w:color w:val="000000" w:themeColor="text1"/>
          <w:szCs w:val="24"/>
        </w:rPr>
        <w:t xml:space="preserve">also </w:t>
      </w:r>
      <w:r w:rsidR="00E625E0" w:rsidRPr="00627DA9">
        <w:rPr>
          <w:color w:val="000000" w:themeColor="text1"/>
          <w:szCs w:val="24"/>
        </w:rPr>
        <w:t>occurs the HAFS simulation of Hurricane Michael (2018).</w:t>
      </w:r>
    </w:p>
    <w:p w14:paraId="61393B49" w14:textId="49D79C53" w:rsidR="00406A23" w:rsidRPr="00627DA9" w:rsidRDefault="00406A23" w:rsidP="00406A23">
      <w:pPr>
        <w:spacing w:after="100"/>
        <w:jc w:val="center"/>
        <w:rPr>
          <w:color w:val="000000" w:themeColor="text1"/>
          <w:szCs w:val="24"/>
        </w:rPr>
      </w:pPr>
      <w:r w:rsidRPr="00627DA9">
        <w:rPr>
          <w:noProof/>
          <w:color w:val="000000" w:themeColor="text1"/>
          <w:szCs w:val="24"/>
        </w:rPr>
        <w:drawing>
          <wp:inline distT="0" distB="0" distL="0" distR="0" wp14:anchorId="7A57A2AC" wp14:editId="5CE149C3">
            <wp:extent cx="5334000" cy="400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14:paraId="622FA9AC" w14:textId="2FB10BA5" w:rsidR="00EA2B8B" w:rsidRPr="00112A90" w:rsidRDefault="00406A23" w:rsidP="00112A90">
      <w:pPr>
        <w:spacing w:after="100"/>
        <w:jc w:val="both"/>
        <w:rPr>
          <w:i/>
          <w:iCs/>
          <w:color w:val="000000" w:themeColor="text1"/>
          <w:szCs w:val="24"/>
        </w:rPr>
      </w:pPr>
      <w:r w:rsidRPr="00627DA9">
        <w:rPr>
          <w:i/>
          <w:iCs/>
          <w:color w:val="000000" w:themeColor="text1"/>
          <w:szCs w:val="24"/>
        </w:rPr>
        <w:t xml:space="preserve">Fig. S2: Vertical profiles of total water mixing ratio </w:t>
      </w:r>
      <m:oMath>
        <m:sSub>
          <m:sSubPr>
            <m:ctrlPr>
              <w:rPr>
                <w:rFonts w:ascii="Cambria Math" w:eastAsia="SimSun" w:hAnsi="Cambria Math"/>
                <w:i/>
                <w:iCs/>
                <w:color w:val="000000" w:themeColor="text1"/>
                <w:szCs w:val="24"/>
              </w:rPr>
            </m:ctrlPr>
          </m:sSubPr>
          <m:e>
            <m:r>
              <w:rPr>
                <w:rFonts w:ascii="Cambria Math" w:eastAsia="SimSun" w:hAnsi="Cambria Math"/>
                <w:color w:val="000000" w:themeColor="text1"/>
                <w:szCs w:val="24"/>
              </w:rPr>
              <m:t>q</m:t>
            </m:r>
          </m:e>
          <m:sub>
            <m:r>
              <w:rPr>
                <w:rFonts w:ascii="Cambria Math" w:eastAsia="SimSun" w:hAnsi="Cambria Math"/>
                <w:color w:val="000000" w:themeColor="text1"/>
                <w:szCs w:val="24"/>
              </w:rPr>
              <m:t>t</m:t>
            </m:r>
          </m:sub>
        </m:sSub>
      </m:oMath>
      <w:r w:rsidRPr="00627DA9">
        <w:rPr>
          <w:i/>
          <w:iCs/>
          <w:color w:val="000000" w:themeColor="text1"/>
          <w:szCs w:val="24"/>
        </w:rPr>
        <w:t xml:space="preserve">, equivalent potential temperature </w:t>
      </w:r>
      <m:oMath>
        <m:sSub>
          <m:sSubPr>
            <m:ctrlPr>
              <w:rPr>
                <w:rFonts w:ascii="Cambria Math" w:eastAsia="SimSun" w:hAnsi="Cambria Math"/>
                <w:i/>
                <w:iCs/>
                <w:color w:val="000000" w:themeColor="text1"/>
                <w:szCs w:val="24"/>
              </w:rPr>
            </m:ctrlPr>
          </m:sSubPr>
          <m:e>
            <m:r>
              <w:rPr>
                <w:rFonts w:ascii="Cambria Math" w:eastAsia="SimSun" w:hAnsi="Cambria Math"/>
                <w:color w:val="000000" w:themeColor="text1"/>
                <w:szCs w:val="24"/>
              </w:rPr>
              <m:t>θ</m:t>
            </m:r>
          </m:e>
          <m:sub>
            <m:r>
              <w:rPr>
                <w:rFonts w:ascii="Cambria Math" w:eastAsia="SimSun" w:hAnsi="Cambria Math"/>
                <w:color w:val="000000" w:themeColor="text1"/>
                <w:szCs w:val="24"/>
              </w:rPr>
              <m:t>e</m:t>
            </m:r>
          </m:sub>
        </m:sSub>
      </m:oMath>
      <w:r w:rsidRPr="00627DA9">
        <w:rPr>
          <w:i/>
          <w:iCs/>
          <w:color w:val="000000" w:themeColor="text1"/>
          <w:szCs w:val="24"/>
        </w:rPr>
        <w:t xml:space="preserve">, potential temperature </w:t>
      </w:r>
      <m:oMath>
        <m:r>
          <w:rPr>
            <w:rFonts w:ascii="Cambria Math" w:eastAsia="SimSun" w:hAnsi="Cambria Math"/>
            <w:color w:val="000000" w:themeColor="text1"/>
            <w:szCs w:val="24"/>
          </w:rPr>
          <m:t>θ</m:t>
        </m:r>
      </m:oMath>
      <w:r w:rsidRPr="00627DA9">
        <w:rPr>
          <w:i/>
          <w:iCs/>
          <w:color w:val="000000" w:themeColor="text1"/>
          <w:szCs w:val="24"/>
        </w:rPr>
        <w:t xml:space="preserve">, and vertical velocity </w:t>
      </w:r>
      <m:oMath>
        <m:r>
          <w:rPr>
            <w:rFonts w:ascii="Cambria Math" w:hAnsi="Cambria Math"/>
            <w:color w:val="000000" w:themeColor="text1"/>
            <w:szCs w:val="24"/>
          </w:rPr>
          <m:t>w</m:t>
        </m:r>
      </m:oMath>
      <w:r w:rsidRPr="00627DA9">
        <w:rPr>
          <w:i/>
          <w:iCs/>
          <w:color w:val="000000" w:themeColor="text1"/>
          <w:szCs w:val="24"/>
        </w:rPr>
        <w:t xml:space="preserve"> at the three grid points indicated in Fig. 4b from the HWRF simulation of Hurricane Patricia (2015).</w:t>
      </w:r>
      <w:r w:rsidR="00142582" w:rsidRPr="00627DA9">
        <w:rPr>
          <w:color w:val="000000" w:themeColor="text1"/>
          <w:szCs w:val="24"/>
        </w:rPr>
        <w:t xml:space="preserve"> </w:t>
      </w:r>
    </w:p>
    <w:sectPr w:rsidR="00EA2B8B" w:rsidRPr="00112A90" w:rsidSect="00F125EE">
      <w:headerReference w:type="default" r:id="rId13"/>
      <w:footerReference w:type="default" r:id="rId14"/>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6E941" w14:textId="77777777" w:rsidR="00BC6F39" w:rsidRDefault="00BC6F39">
      <w:r>
        <w:separator/>
      </w:r>
    </w:p>
  </w:endnote>
  <w:endnote w:type="continuationSeparator" w:id="0">
    <w:p w14:paraId="0FC87100" w14:textId="77777777" w:rsidR="00BC6F39" w:rsidRDefault="00BC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TimesNewRomanPSMT">
    <w:altName w:val="Times New Roman"/>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E7ED" w14:textId="77777777" w:rsidR="00F125EE" w:rsidRDefault="00114193">
    <w:pPr>
      <w:pStyle w:val="Footer"/>
      <w:jc w:val="right"/>
    </w:pPr>
    <w:r>
      <w:fldChar w:fldCharType="begin"/>
    </w:r>
    <w:r>
      <w:instrText xml:space="preserve"> PAGE   \* MERGEFORMAT </w:instrText>
    </w:r>
    <w:r>
      <w:fldChar w:fldCharType="separate"/>
    </w:r>
    <w:r w:rsidR="001867CF">
      <w:rPr>
        <w:noProof/>
      </w:rPr>
      <w:t>1</w:t>
    </w:r>
    <w:r>
      <w:fldChar w:fldCharType="end"/>
    </w:r>
  </w:p>
  <w:p w14:paraId="486656F3" w14:textId="77777777" w:rsidR="00F125EE" w:rsidRDefault="00F12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C0ED3" w14:textId="77777777" w:rsidR="00BC6F39" w:rsidRDefault="00BC6F39">
      <w:r>
        <w:separator/>
      </w:r>
    </w:p>
  </w:footnote>
  <w:footnote w:type="continuationSeparator" w:id="0">
    <w:p w14:paraId="230ED02C" w14:textId="77777777" w:rsidR="00BC6F39" w:rsidRDefault="00BC6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3C1C" w14:textId="77777777" w:rsidR="003A2FD8" w:rsidRPr="005001AC" w:rsidRDefault="003A2FD8" w:rsidP="005001AC">
    <w:pPr>
      <w:jc w:val="right"/>
      <w:rPr>
        <w:sz w:val="20"/>
      </w:rPr>
    </w:pPr>
  </w:p>
  <w:p w14:paraId="18F8F636" w14:textId="77777777" w:rsidR="003A2FD8" w:rsidRDefault="003A2F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1901DB9"/>
    <w:multiLevelType w:val="hybridMultilevel"/>
    <w:tmpl w:val="00B686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D4332"/>
    <w:multiLevelType w:val="multilevel"/>
    <w:tmpl w:val="4EC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D37AC4"/>
    <w:multiLevelType w:val="hybridMultilevel"/>
    <w:tmpl w:val="F89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4574860">
    <w:abstractNumId w:val="9"/>
  </w:num>
  <w:num w:numId="2" w16cid:durableId="1228955111">
    <w:abstractNumId w:val="7"/>
  </w:num>
  <w:num w:numId="3" w16cid:durableId="186259616">
    <w:abstractNumId w:val="6"/>
  </w:num>
  <w:num w:numId="4" w16cid:durableId="1686637347">
    <w:abstractNumId w:val="5"/>
  </w:num>
  <w:num w:numId="5" w16cid:durableId="381906566">
    <w:abstractNumId w:val="4"/>
  </w:num>
  <w:num w:numId="6" w16cid:durableId="859199317">
    <w:abstractNumId w:val="8"/>
  </w:num>
  <w:num w:numId="7" w16cid:durableId="2141456414">
    <w:abstractNumId w:val="3"/>
  </w:num>
  <w:num w:numId="8" w16cid:durableId="1066950846">
    <w:abstractNumId w:val="2"/>
  </w:num>
  <w:num w:numId="9" w16cid:durableId="1399935377">
    <w:abstractNumId w:val="1"/>
  </w:num>
  <w:num w:numId="10" w16cid:durableId="1060982621">
    <w:abstractNumId w:val="0"/>
  </w:num>
  <w:num w:numId="11" w16cid:durableId="229074775">
    <w:abstractNumId w:val="11"/>
  </w:num>
  <w:num w:numId="12" w16cid:durableId="794061010">
    <w:abstractNumId w:val="12"/>
  </w:num>
  <w:num w:numId="13" w16cid:durableId="2949156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30F"/>
    <w:rsid w:val="00015F74"/>
    <w:rsid w:val="00043571"/>
    <w:rsid w:val="0005464A"/>
    <w:rsid w:val="00061152"/>
    <w:rsid w:val="00065EBD"/>
    <w:rsid w:val="00083B44"/>
    <w:rsid w:val="000850DC"/>
    <w:rsid w:val="00094365"/>
    <w:rsid w:val="000B2E64"/>
    <w:rsid w:val="000B74A8"/>
    <w:rsid w:val="000C2771"/>
    <w:rsid w:val="000D68BD"/>
    <w:rsid w:val="000E4087"/>
    <w:rsid w:val="000F0DCE"/>
    <w:rsid w:val="00110AE8"/>
    <w:rsid w:val="00111843"/>
    <w:rsid w:val="00112A90"/>
    <w:rsid w:val="00112C5B"/>
    <w:rsid w:val="00113908"/>
    <w:rsid w:val="00114193"/>
    <w:rsid w:val="001154E6"/>
    <w:rsid w:val="00115A38"/>
    <w:rsid w:val="0011687B"/>
    <w:rsid w:val="00124F82"/>
    <w:rsid w:val="001278E3"/>
    <w:rsid w:val="00130743"/>
    <w:rsid w:val="00130B50"/>
    <w:rsid w:val="00131353"/>
    <w:rsid w:val="00142582"/>
    <w:rsid w:val="00147ED5"/>
    <w:rsid w:val="0016337A"/>
    <w:rsid w:val="00164269"/>
    <w:rsid w:val="00177854"/>
    <w:rsid w:val="00183127"/>
    <w:rsid w:val="001867CF"/>
    <w:rsid w:val="001966FD"/>
    <w:rsid w:val="00197826"/>
    <w:rsid w:val="001A1BDE"/>
    <w:rsid w:val="001B26BE"/>
    <w:rsid w:val="001C4256"/>
    <w:rsid w:val="001C7B4E"/>
    <w:rsid w:val="001D7C4D"/>
    <w:rsid w:val="001E27F6"/>
    <w:rsid w:val="001F0876"/>
    <w:rsid w:val="001F167C"/>
    <w:rsid w:val="001F5E91"/>
    <w:rsid w:val="0020183F"/>
    <w:rsid w:val="002077B9"/>
    <w:rsid w:val="00221929"/>
    <w:rsid w:val="00221C70"/>
    <w:rsid w:val="002251AF"/>
    <w:rsid w:val="00227D86"/>
    <w:rsid w:val="00230CC2"/>
    <w:rsid w:val="00243B68"/>
    <w:rsid w:val="00262D72"/>
    <w:rsid w:val="00264DD3"/>
    <w:rsid w:val="002734F1"/>
    <w:rsid w:val="002800B6"/>
    <w:rsid w:val="00282EF5"/>
    <w:rsid w:val="002925B9"/>
    <w:rsid w:val="002A1A32"/>
    <w:rsid w:val="002B35D4"/>
    <w:rsid w:val="002C030F"/>
    <w:rsid w:val="002D102D"/>
    <w:rsid w:val="002D3352"/>
    <w:rsid w:val="002F2645"/>
    <w:rsid w:val="002F3966"/>
    <w:rsid w:val="00320E2C"/>
    <w:rsid w:val="00331D75"/>
    <w:rsid w:val="00355362"/>
    <w:rsid w:val="00363E44"/>
    <w:rsid w:val="00395E86"/>
    <w:rsid w:val="003A2FD8"/>
    <w:rsid w:val="003B40E6"/>
    <w:rsid w:val="003C007A"/>
    <w:rsid w:val="003C3AF8"/>
    <w:rsid w:val="003E1980"/>
    <w:rsid w:val="003F6E14"/>
    <w:rsid w:val="00405336"/>
    <w:rsid w:val="00406A23"/>
    <w:rsid w:val="0041296E"/>
    <w:rsid w:val="00443F8B"/>
    <w:rsid w:val="004451CA"/>
    <w:rsid w:val="00454820"/>
    <w:rsid w:val="004568BC"/>
    <w:rsid w:val="004571D5"/>
    <w:rsid w:val="00461DAC"/>
    <w:rsid w:val="00462F1B"/>
    <w:rsid w:val="0046356B"/>
    <w:rsid w:val="00477182"/>
    <w:rsid w:val="004779CB"/>
    <w:rsid w:val="00481118"/>
    <w:rsid w:val="00486010"/>
    <w:rsid w:val="00491C4A"/>
    <w:rsid w:val="004B2481"/>
    <w:rsid w:val="004D2A8C"/>
    <w:rsid w:val="004D5713"/>
    <w:rsid w:val="004E42D8"/>
    <w:rsid w:val="004E7BA2"/>
    <w:rsid w:val="004F7EDF"/>
    <w:rsid w:val="005001AC"/>
    <w:rsid w:val="00512356"/>
    <w:rsid w:val="00514171"/>
    <w:rsid w:val="00517016"/>
    <w:rsid w:val="00527D71"/>
    <w:rsid w:val="00527D84"/>
    <w:rsid w:val="005314B5"/>
    <w:rsid w:val="0054432F"/>
    <w:rsid w:val="005479CB"/>
    <w:rsid w:val="00552C23"/>
    <w:rsid w:val="005607DD"/>
    <w:rsid w:val="00565110"/>
    <w:rsid w:val="00572DFF"/>
    <w:rsid w:val="005924D5"/>
    <w:rsid w:val="005A27E1"/>
    <w:rsid w:val="005A558C"/>
    <w:rsid w:val="005B186E"/>
    <w:rsid w:val="005B501B"/>
    <w:rsid w:val="005C3BD3"/>
    <w:rsid w:val="005C6651"/>
    <w:rsid w:val="005C6B58"/>
    <w:rsid w:val="005D6D71"/>
    <w:rsid w:val="005E28F8"/>
    <w:rsid w:val="005E6513"/>
    <w:rsid w:val="005F53E0"/>
    <w:rsid w:val="00607D96"/>
    <w:rsid w:val="00611F9E"/>
    <w:rsid w:val="00613655"/>
    <w:rsid w:val="006237D4"/>
    <w:rsid w:val="00627DA9"/>
    <w:rsid w:val="006510FB"/>
    <w:rsid w:val="00651114"/>
    <w:rsid w:val="006622CF"/>
    <w:rsid w:val="00664A12"/>
    <w:rsid w:val="0066722B"/>
    <w:rsid w:val="00670299"/>
    <w:rsid w:val="0068469F"/>
    <w:rsid w:val="00686CB3"/>
    <w:rsid w:val="00690A9B"/>
    <w:rsid w:val="00691985"/>
    <w:rsid w:val="006962C1"/>
    <w:rsid w:val="006A1B64"/>
    <w:rsid w:val="006B03AD"/>
    <w:rsid w:val="006C2F62"/>
    <w:rsid w:val="006F5879"/>
    <w:rsid w:val="006F602A"/>
    <w:rsid w:val="007108F5"/>
    <w:rsid w:val="00713AF2"/>
    <w:rsid w:val="00713E5B"/>
    <w:rsid w:val="0072649B"/>
    <w:rsid w:val="007402FC"/>
    <w:rsid w:val="007411A1"/>
    <w:rsid w:val="007563F2"/>
    <w:rsid w:val="00764008"/>
    <w:rsid w:val="007731D1"/>
    <w:rsid w:val="00773A50"/>
    <w:rsid w:val="007A2E8F"/>
    <w:rsid w:val="007A41B6"/>
    <w:rsid w:val="007B797A"/>
    <w:rsid w:val="00807D35"/>
    <w:rsid w:val="00810D0D"/>
    <w:rsid w:val="008115D9"/>
    <w:rsid w:val="00825950"/>
    <w:rsid w:val="00827DE3"/>
    <w:rsid w:val="008563B9"/>
    <w:rsid w:val="008833EE"/>
    <w:rsid w:val="00885C9B"/>
    <w:rsid w:val="008927D0"/>
    <w:rsid w:val="00896ED7"/>
    <w:rsid w:val="008C2D29"/>
    <w:rsid w:val="008D5D2A"/>
    <w:rsid w:val="008E2CF1"/>
    <w:rsid w:val="008F08DC"/>
    <w:rsid w:val="008F5A8A"/>
    <w:rsid w:val="009055D1"/>
    <w:rsid w:val="00914B63"/>
    <w:rsid w:val="00922705"/>
    <w:rsid w:val="00924546"/>
    <w:rsid w:val="00924A43"/>
    <w:rsid w:val="00932FE5"/>
    <w:rsid w:val="009354F3"/>
    <w:rsid w:val="009447DC"/>
    <w:rsid w:val="009462A5"/>
    <w:rsid w:val="00961BA5"/>
    <w:rsid w:val="009743A9"/>
    <w:rsid w:val="0097490C"/>
    <w:rsid w:val="00975720"/>
    <w:rsid w:val="009859A7"/>
    <w:rsid w:val="009A5287"/>
    <w:rsid w:val="009A6539"/>
    <w:rsid w:val="009B0D74"/>
    <w:rsid w:val="009B2AC5"/>
    <w:rsid w:val="009B6861"/>
    <w:rsid w:val="009B7984"/>
    <w:rsid w:val="009C0AA5"/>
    <w:rsid w:val="009C4AC3"/>
    <w:rsid w:val="009D162E"/>
    <w:rsid w:val="009D5ECC"/>
    <w:rsid w:val="009E3168"/>
    <w:rsid w:val="009F4BED"/>
    <w:rsid w:val="009F7D93"/>
    <w:rsid w:val="00A0030A"/>
    <w:rsid w:val="00A276DF"/>
    <w:rsid w:val="00A27C1C"/>
    <w:rsid w:val="00A3084A"/>
    <w:rsid w:val="00A3248E"/>
    <w:rsid w:val="00A3403B"/>
    <w:rsid w:val="00A40E03"/>
    <w:rsid w:val="00A41B1D"/>
    <w:rsid w:val="00A50033"/>
    <w:rsid w:val="00A51A12"/>
    <w:rsid w:val="00A627D4"/>
    <w:rsid w:val="00A64CB8"/>
    <w:rsid w:val="00A7348D"/>
    <w:rsid w:val="00A74DA2"/>
    <w:rsid w:val="00A92733"/>
    <w:rsid w:val="00AA76F3"/>
    <w:rsid w:val="00AC7DA6"/>
    <w:rsid w:val="00AD499C"/>
    <w:rsid w:val="00AE031C"/>
    <w:rsid w:val="00AF1297"/>
    <w:rsid w:val="00B227D2"/>
    <w:rsid w:val="00B30334"/>
    <w:rsid w:val="00B3147F"/>
    <w:rsid w:val="00B36869"/>
    <w:rsid w:val="00B43B31"/>
    <w:rsid w:val="00B47CFA"/>
    <w:rsid w:val="00B57F00"/>
    <w:rsid w:val="00B626CB"/>
    <w:rsid w:val="00B65D5A"/>
    <w:rsid w:val="00B7560C"/>
    <w:rsid w:val="00B77E40"/>
    <w:rsid w:val="00B82C22"/>
    <w:rsid w:val="00B93DBA"/>
    <w:rsid w:val="00B9440A"/>
    <w:rsid w:val="00B952C1"/>
    <w:rsid w:val="00B968D7"/>
    <w:rsid w:val="00BA0312"/>
    <w:rsid w:val="00BA3953"/>
    <w:rsid w:val="00BA44D4"/>
    <w:rsid w:val="00BB2D2A"/>
    <w:rsid w:val="00BC1823"/>
    <w:rsid w:val="00BC6F39"/>
    <w:rsid w:val="00BD58CF"/>
    <w:rsid w:val="00BF1BEB"/>
    <w:rsid w:val="00BF1BF9"/>
    <w:rsid w:val="00C02086"/>
    <w:rsid w:val="00C04CC1"/>
    <w:rsid w:val="00C071FC"/>
    <w:rsid w:val="00C22C02"/>
    <w:rsid w:val="00C27F6F"/>
    <w:rsid w:val="00C30E83"/>
    <w:rsid w:val="00C412B5"/>
    <w:rsid w:val="00C41C95"/>
    <w:rsid w:val="00C50C6D"/>
    <w:rsid w:val="00C600D9"/>
    <w:rsid w:val="00C618A7"/>
    <w:rsid w:val="00C634D7"/>
    <w:rsid w:val="00C673F7"/>
    <w:rsid w:val="00C73E09"/>
    <w:rsid w:val="00C824DE"/>
    <w:rsid w:val="00C84F93"/>
    <w:rsid w:val="00C854BE"/>
    <w:rsid w:val="00CC1384"/>
    <w:rsid w:val="00CD3720"/>
    <w:rsid w:val="00CE4B53"/>
    <w:rsid w:val="00CE6EAA"/>
    <w:rsid w:val="00CF1848"/>
    <w:rsid w:val="00CF3501"/>
    <w:rsid w:val="00CF5C2F"/>
    <w:rsid w:val="00CF692D"/>
    <w:rsid w:val="00D04BCF"/>
    <w:rsid w:val="00D10134"/>
    <w:rsid w:val="00D143D9"/>
    <w:rsid w:val="00D4372A"/>
    <w:rsid w:val="00D53292"/>
    <w:rsid w:val="00D54427"/>
    <w:rsid w:val="00D5649E"/>
    <w:rsid w:val="00D56EE0"/>
    <w:rsid w:val="00D60BB0"/>
    <w:rsid w:val="00D65708"/>
    <w:rsid w:val="00D8159F"/>
    <w:rsid w:val="00DA5416"/>
    <w:rsid w:val="00DB62FE"/>
    <w:rsid w:val="00DD1D04"/>
    <w:rsid w:val="00DD1E2C"/>
    <w:rsid w:val="00DD79D7"/>
    <w:rsid w:val="00DE06AB"/>
    <w:rsid w:val="00DE6BDE"/>
    <w:rsid w:val="00E20431"/>
    <w:rsid w:val="00E207C1"/>
    <w:rsid w:val="00E257C8"/>
    <w:rsid w:val="00E35FEE"/>
    <w:rsid w:val="00E40896"/>
    <w:rsid w:val="00E43D2D"/>
    <w:rsid w:val="00E43F4A"/>
    <w:rsid w:val="00E449CB"/>
    <w:rsid w:val="00E625E0"/>
    <w:rsid w:val="00E63760"/>
    <w:rsid w:val="00E64049"/>
    <w:rsid w:val="00E67CEC"/>
    <w:rsid w:val="00E9773B"/>
    <w:rsid w:val="00EA2B8B"/>
    <w:rsid w:val="00EA6A58"/>
    <w:rsid w:val="00EB39DC"/>
    <w:rsid w:val="00EC13A3"/>
    <w:rsid w:val="00EC501B"/>
    <w:rsid w:val="00EC7C85"/>
    <w:rsid w:val="00ED69CA"/>
    <w:rsid w:val="00EE35AB"/>
    <w:rsid w:val="00EE7E4B"/>
    <w:rsid w:val="00EF25A3"/>
    <w:rsid w:val="00F125EE"/>
    <w:rsid w:val="00F12E98"/>
    <w:rsid w:val="00F22029"/>
    <w:rsid w:val="00F23E46"/>
    <w:rsid w:val="00F315F1"/>
    <w:rsid w:val="00F34493"/>
    <w:rsid w:val="00F3515C"/>
    <w:rsid w:val="00F473E7"/>
    <w:rsid w:val="00F47BA3"/>
    <w:rsid w:val="00F56E67"/>
    <w:rsid w:val="00F630EA"/>
    <w:rsid w:val="00F6474F"/>
    <w:rsid w:val="00F7007E"/>
    <w:rsid w:val="00F73193"/>
    <w:rsid w:val="00F74F95"/>
    <w:rsid w:val="00F80705"/>
    <w:rsid w:val="00FA1481"/>
    <w:rsid w:val="00FA2A53"/>
    <w:rsid w:val="00FA343A"/>
    <w:rsid w:val="00FB1C42"/>
    <w:rsid w:val="00FB32EC"/>
    <w:rsid w:val="00FD4B7D"/>
    <w:rsid w:val="00FD718D"/>
    <w:rsid w:val="00FF04E3"/>
    <w:rsid w:val="00FF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D9FF7"/>
  <w15:docId w15:val="{B954A64D-9A8E-4A20-9FE3-DA471ABF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link w:val="Heading1"/>
    <w:semiHidden/>
    <w:rsid w:val="00FF04E3"/>
    <w:rPr>
      <w:b/>
      <w:bCs/>
      <w:kern w:val="32"/>
      <w:sz w:val="24"/>
      <w:szCs w:val="24"/>
    </w:rPr>
  </w:style>
  <w:style w:type="character" w:customStyle="1" w:styleId="Heading2Char">
    <w:name w:val="Heading 2 Char"/>
    <w:link w:val="Heading2"/>
    <w:semiHidden/>
    <w:rsid w:val="00FF04E3"/>
    <w:rPr>
      <w:rFonts w:ascii="Cambria" w:hAnsi="Cambria"/>
      <w:b/>
      <w:bCs/>
      <w:i/>
      <w:iCs/>
      <w:sz w:val="28"/>
      <w:szCs w:val="28"/>
    </w:rPr>
  </w:style>
  <w:style w:type="character" w:customStyle="1" w:styleId="Heading5Char">
    <w:name w:val="Heading 5 Char"/>
    <w:link w:val="Heading5"/>
    <w:semiHidden/>
    <w:rsid w:val="00FF04E3"/>
    <w:rPr>
      <w:rFonts w:ascii="Calibri" w:hAnsi="Calibri"/>
      <w:b/>
      <w:bCs/>
      <w:i/>
      <w:iCs/>
      <w:sz w:val="26"/>
      <w:szCs w:val="26"/>
    </w:rPr>
  </w:style>
  <w:style w:type="character" w:customStyle="1" w:styleId="Heading6Char">
    <w:name w:val="Heading 6 Char"/>
    <w:link w:val="Heading6"/>
    <w:semiHidden/>
    <w:rsid w:val="00FF04E3"/>
    <w:rPr>
      <w:rFonts w:ascii="Calibri" w:hAnsi="Calibri"/>
      <w:b/>
      <w:bCs/>
      <w:sz w:val="22"/>
      <w:szCs w:val="22"/>
    </w:rPr>
  </w:style>
  <w:style w:type="character" w:customStyle="1" w:styleId="Heading7Char">
    <w:name w:val="Heading 7 Char"/>
    <w:link w:val="Heading7"/>
    <w:semiHidden/>
    <w:rsid w:val="00FF04E3"/>
    <w:rPr>
      <w:rFonts w:ascii="Calibri" w:hAnsi="Calibri"/>
      <w:sz w:val="24"/>
      <w:szCs w:val="24"/>
    </w:rPr>
  </w:style>
  <w:style w:type="character" w:customStyle="1" w:styleId="Heading8Char">
    <w:name w:val="Heading 8 Char"/>
    <w:link w:val="Heading8"/>
    <w:semiHidden/>
    <w:rsid w:val="00FF04E3"/>
    <w:rPr>
      <w:rFonts w:ascii="Calibri" w:hAnsi="Calibri"/>
      <w:i/>
      <w:iCs/>
      <w:sz w:val="24"/>
      <w:szCs w:val="24"/>
    </w:rPr>
  </w:style>
  <w:style w:type="character" w:customStyle="1" w:styleId="Heading9Char">
    <w:name w:val="Heading 9 Char"/>
    <w:link w:val="Heading9"/>
    <w:semiHidden/>
    <w:rsid w:val="00FF04E3"/>
    <w:rPr>
      <w:rFonts w:ascii="Cambria" w:hAnsi="Cambria"/>
      <w:sz w:val="22"/>
      <w:szCs w:val="22"/>
    </w:rPr>
  </w:style>
  <w:style w:type="paragraph" w:customStyle="1" w:styleId="SMHeading">
    <w:name w:val="SM Heading"/>
    <w:basedOn w:val="Heading1"/>
    <w:qFormat/>
    <w:rsid w:val="00221929"/>
    <w:pPr>
      <w:ind w:left="990" w:hanging="990"/>
    </w:pPr>
    <w:rPr>
      <w:rFonts w:ascii="Myriad Pro" w:hAnsi="Myriad Pro"/>
      <w:b w:val="0"/>
      <w:sz w:val="22"/>
      <w:szCs w:val="22"/>
    </w:rPr>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link w:val="Closing"/>
    <w:semiHidden/>
    <w:rsid w:val="00FF04E3"/>
    <w:rPr>
      <w:sz w:val="24"/>
    </w:rPr>
  </w:style>
  <w:style w:type="paragraph" w:styleId="CommentText">
    <w:name w:val="annotation text"/>
    <w:basedOn w:val="Normal"/>
    <w:link w:val="CommentTextChar"/>
    <w:semiHidden/>
    <w:rsid w:val="00405336"/>
    <w:rPr>
      <w:sz w:val="20"/>
    </w:rPr>
  </w:style>
  <w:style w:type="character" w:customStyle="1" w:styleId="CommentTextChar">
    <w:name w:val="Comment Text Char"/>
    <w:basedOn w:val="DefaultParagraphFont"/>
    <w:link w:val="CommentText"/>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customStyle="1" w:styleId="FooterChar">
    <w:name w:val="Footer Char"/>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semiHidden/>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uiPriority w:val="99"/>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uiPriority w:val="10"/>
    <w:qFormat/>
    <w:rsid w:val="00405336"/>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rsid w:val="007402FC"/>
    <w:rPr>
      <w:color w:val="0000FF"/>
      <w:u w:val="single"/>
    </w:rPr>
  </w:style>
  <w:style w:type="paragraph" w:customStyle="1" w:styleId="body-copy-normal">
    <w:name w:val="body-copy-normal"/>
    <w:basedOn w:val="Normal"/>
    <w:rsid w:val="00FF3503"/>
    <w:pPr>
      <w:spacing w:before="100" w:beforeAutospacing="1" w:after="100" w:afterAutospacing="1"/>
    </w:pPr>
    <w:rPr>
      <w:szCs w:val="24"/>
    </w:rPr>
  </w:style>
  <w:style w:type="paragraph" w:customStyle="1" w:styleId="body-copy-ndent">
    <w:name w:val="body-copy-ndent"/>
    <w:basedOn w:val="Normal"/>
    <w:rsid w:val="00FF3503"/>
    <w:pPr>
      <w:spacing w:before="100" w:beforeAutospacing="1" w:after="100" w:afterAutospacing="1"/>
    </w:pPr>
    <w:rPr>
      <w:szCs w:val="24"/>
    </w:rPr>
  </w:style>
  <w:style w:type="character" w:styleId="Strong">
    <w:name w:val="Strong"/>
    <w:uiPriority w:val="22"/>
    <w:qFormat/>
    <w:rsid w:val="00FF3503"/>
    <w:rPr>
      <w:b/>
      <w:bCs/>
    </w:rPr>
  </w:style>
  <w:style w:type="character" w:styleId="CommentReference">
    <w:name w:val="annotation reference"/>
    <w:semiHidden/>
    <w:rsid w:val="002800B6"/>
    <w:rPr>
      <w:sz w:val="16"/>
      <w:szCs w:val="16"/>
    </w:rPr>
  </w:style>
  <w:style w:type="paragraph" w:customStyle="1" w:styleId="Authors">
    <w:name w:val="Authors"/>
    <w:basedOn w:val="Normal"/>
    <w:rsid w:val="0005464A"/>
    <w:pPr>
      <w:spacing w:before="120" w:after="360"/>
    </w:pPr>
    <w:rPr>
      <w:b/>
      <w:szCs w:val="24"/>
    </w:rPr>
  </w:style>
  <w:style w:type="table" w:styleId="TableGrid">
    <w:name w:val="Table Grid"/>
    <w:basedOn w:val="TableNormal"/>
    <w:uiPriority w:val="39"/>
    <w:rsid w:val="00221929"/>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basedOn w:val="Normal"/>
    <w:link w:val="FigureCaptionChar"/>
    <w:qFormat/>
    <w:rsid w:val="00221929"/>
    <w:pPr>
      <w:autoSpaceDE w:val="0"/>
      <w:autoSpaceDN w:val="0"/>
      <w:adjustRightInd w:val="0"/>
      <w:spacing w:line="480" w:lineRule="auto"/>
      <w:ind w:left="1080" w:hanging="1080"/>
      <w:jc w:val="both"/>
    </w:pPr>
    <w:rPr>
      <w:rFonts w:ascii="TimesNewRomanPSMT" w:eastAsia="SimSun" w:hAnsi="TimesNewRomanPSMT" w:cs="TimesNewRomanPSMT"/>
      <w:szCs w:val="24"/>
    </w:rPr>
  </w:style>
  <w:style w:type="character" w:customStyle="1" w:styleId="FigureCaptionChar">
    <w:name w:val="Figure Caption Char"/>
    <w:basedOn w:val="DefaultParagraphFont"/>
    <w:link w:val="FigureCaption"/>
    <w:rsid w:val="00221929"/>
    <w:rPr>
      <w:rFonts w:ascii="TimesNewRomanPSMT" w:eastAsia="SimSun" w:hAnsi="TimesNewRomanPSMT" w:cs="TimesNewRomanPSMT"/>
      <w:sz w:val="24"/>
      <w:szCs w:val="24"/>
    </w:rPr>
  </w:style>
  <w:style w:type="paragraph" w:customStyle="1" w:styleId="Heading">
    <w:name w:val="Heading"/>
    <w:basedOn w:val="Normal"/>
    <w:link w:val="HeadingChar"/>
    <w:qFormat/>
    <w:rsid w:val="00221929"/>
    <w:pPr>
      <w:spacing w:before="120"/>
    </w:pPr>
    <w:rPr>
      <w:b/>
      <w:szCs w:val="24"/>
    </w:rPr>
  </w:style>
  <w:style w:type="character" w:customStyle="1" w:styleId="HeadingChar">
    <w:name w:val="Heading Char"/>
    <w:basedOn w:val="DefaultParagraphFont"/>
    <w:link w:val="Heading"/>
    <w:rsid w:val="00221929"/>
    <w:rPr>
      <w:b/>
      <w:sz w:val="24"/>
      <w:szCs w:val="24"/>
    </w:rPr>
  </w:style>
  <w:style w:type="paragraph" w:customStyle="1" w:styleId="Affiliation">
    <w:name w:val="Affiliation"/>
    <w:basedOn w:val="Normal"/>
    <w:qFormat/>
    <w:rsid w:val="00FA343A"/>
    <w:pPr>
      <w:spacing w:before="120"/>
    </w:pPr>
    <w:rPr>
      <w:szCs w:val="24"/>
    </w:rPr>
  </w:style>
  <w:style w:type="paragraph" w:styleId="Revision">
    <w:name w:val="Revision"/>
    <w:hidden/>
    <w:uiPriority w:val="99"/>
    <w:semiHidden/>
    <w:rsid w:val="002734F1"/>
    <w:rPr>
      <w:sz w:val="24"/>
    </w:rPr>
  </w:style>
  <w:style w:type="character" w:styleId="Emphasis">
    <w:name w:val="Emphasis"/>
    <w:basedOn w:val="DefaultParagraphFont"/>
    <w:uiPriority w:val="20"/>
    <w:qFormat/>
    <w:rsid w:val="007A41B6"/>
    <w:rPr>
      <w:i/>
      <w:iCs/>
    </w:rPr>
  </w:style>
  <w:style w:type="character" w:customStyle="1" w:styleId="text-node">
    <w:name w:val="text-node"/>
    <w:basedOn w:val="DefaultParagraphFont"/>
    <w:rsid w:val="007A41B6"/>
  </w:style>
  <w:style w:type="character" w:customStyle="1" w:styleId="page">
    <w:name w:val="page"/>
    <w:basedOn w:val="DefaultParagraphFont"/>
    <w:rsid w:val="00CE4B53"/>
  </w:style>
  <w:style w:type="character" w:customStyle="1" w:styleId="hlfld-title">
    <w:name w:val="hlfld-title"/>
    <w:basedOn w:val="DefaultParagraphFont"/>
    <w:rsid w:val="00CE4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3527">
      <w:bodyDiv w:val="1"/>
      <w:marLeft w:val="0"/>
      <w:marRight w:val="0"/>
      <w:marTop w:val="0"/>
      <w:marBottom w:val="0"/>
      <w:divBdr>
        <w:top w:val="none" w:sz="0" w:space="0" w:color="auto"/>
        <w:left w:val="none" w:sz="0" w:space="0" w:color="auto"/>
        <w:bottom w:val="none" w:sz="0" w:space="0" w:color="auto"/>
        <w:right w:val="none" w:sz="0" w:space="0" w:color="auto"/>
      </w:divBdr>
    </w:div>
    <w:div w:id="940841139">
      <w:bodyDiv w:val="1"/>
      <w:marLeft w:val="0"/>
      <w:marRight w:val="0"/>
      <w:marTop w:val="0"/>
      <w:marBottom w:val="0"/>
      <w:divBdr>
        <w:top w:val="none" w:sz="0" w:space="0" w:color="auto"/>
        <w:left w:val="none" w:sz="0" w:space="0" w:color="auto"/>
        <w:bottom w:val="none" w:sz="0" w:space="0" w:color="auto"/>
        <w:right w:val="none" w:sz="0" w:space="0" w:color="auto"/>
      </w:divBdr>
    </w:div>
    <w:div w:id="1223639762">
      <w:bodyDiv w:val="1"/>
      <w:marLeft w:val="0"/>
      <w:marRight w:val="0"/>
      <w:marTop w:val="0"/>
      <w:marBottom w:val="0"/>
      <w:divBdr>
        <w:top w:val="none" w:sz="0" w:space="0" w:color="auto"/>
        <w:left w:val="none" w:sz="0" w:space="0" w:color="auto"/>
        <w:bottom w:val="none" w:sz="0" w:space="0" w:color="auto"/>
        <w:right w:val="none" w:sz="0" w:space="0" w:color="auto"/>
      </w:divBdr>
    </w:div>
    <w:div w:id="1273397245">
      <w:bodyDiv w:val="1"/>
      <w:marLeft w:val="0"/>
      <w:marRight w:val="0"/>
      <w:marTop w:val="0"/>
      <w:marBottom w:val="0"/>
      <w:divBdr>
        <w:top w:val="none" w:sz="0" w:space="0" w:color="auto"/>
        <w:left w:val="none" w:sz="0" w:space="0" w:color="auto"/>
        <w:bottom w:val="none" w:sz="0" w:space="0" w:color="auto"/>
        <w:right w:val="none" w:sz="0" w:space="0" w:color="auto"/>
      </w:divBdr>
    </w:div>
    <w:div w:id="14502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tcenter.org/HurrWRF/users/docs/index.php" TargetMode="External"/><Relationship Id="rId4" Type="http://schemas.openxmlformats.org/officeDocument/2006/relationships/settings" Target="settings.xml"/><Relationship Id="rId9" Type="http://schemas.openxmlformats.org/officeDocument/2006/relationships/hyperlink" Target="mailto:zhup@fi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38A19-2AC0-442F-A971-9EAF8542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4</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creator>Brooks Hanson;Dawit Tegbaru;Brian Sedora</dc:creator>
  <cp:lastModifiedBy>Ping Zhu</cp:lastModifiedBy>
  <cp:revision>40</cp:revision>
  <cp:lastPrinted>2014-09-30T16:49:00Z</cp:lastPrinted>
  <dcterms:created xsi:type="dcterms:W3CDTF">2022-12-06T14:44:00Z</dcterms:created>
  <dcterms:modified xsi:type="dcterms:W3CDTF">2023-02-27T17:17:00Z</dcterms:modified>
</cp:coreProperties>
</file>