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3AB4" w14:textId="77777777" w:rsidR="00B954D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84D8CC" w14:textId="77777777" w:rsidR="00B954D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files:</w:t>
      </w:r>
    </w:p>
    <w:p w14:paraId="607DC693" w14:textId="77777777" w:rsidR="00B954D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Supplementary figures to support the main manuscript.</w:t>
      </w:r>
    </w:p>
    <w:p w14:paraId="5437E5A5" w14:textId="77777777" w:rsidR="00B954D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5A85605F" wp14:editId="49CEF680">
            <wp:extent cx="6706802" cy="4781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994" cy="478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1D3FD" w14:textId="77777777" w:rsidR="00B954D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S1: </w:t>
      </w:r>
      <w:r w:rsidRPr="004E0841">
        <w:rPr>
          <w:rFonts w:ascii="Times New Roman" w:hAnsi="Times New Roman" w:cs="Times New Roman"/>
          <w:sz w:val="24"/>
          <w:szCs w:val="24"/>
        </w:rPr>
        <w:t xml:space="preserve">Projected </w:t>
      </w:r>
      <w:r>
        <w:rPr>
          <w:rFonts w:ascii="Times New Roman" w:hAnsi="Times New Roman" w:cs="Times New Roman"/>
          <w:sz w:val="24"/>
          <w:szCs w:val="24"/>
        </w:rPr>
        <w:t>potential vertical accretion</w:t>
      </w:r>
      <w:r w:rsidRPr="004E0841">
        <w:rPr>
          <w:rFonts w:ascii="Times New Roman" w:hAnsi="Times New Roman" w:cs="Times New Roman"/>
          <w:sz w:val="24"/>
          <w:szCs w:val="24"/>
        </w:rPr>
        <w:t xml:space="preserve"> rates (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4E0841">
        <w:rPr>
          <w:rFonts w:ascii="Times New Roman" w:hAnsi="Times New Roman" w:cs="Times New Roman"/>
          <w:sz w:val="24"/>
          <w:szCs w:val="24"/>
        </w:rPr>
        <w:t xml:space="preserve"> y</w:t>
      </w:r>
      <w:r w:rsidRPr="004E08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4E0841">
        <w:rPr>
          <w:rFonts w:ascii="Times New Roman" w:hAnsi="Times New Roman" w:cs="Times New Roman"/>
          <w:sz w:val="24"/>
          <w:szCs w:val="24"/>
        </w:rPr>
        <w:t>) in the Atlantic (a, d), Indian (b, e), and Pacific (c, f) Oceans by 2050 (a, b, c) and 2100 (d, e, f), allowing for four levels of adaptive capacity: no evolution, symbiont evolution only, symbiont shuffling only, and symbiont evolution and shuffling combined under RCP2.6, 4.5 ad 8.5. Medians, quartiles and 95% whiskers displayed.</w:t>
      </w:r>
    </w:p>
    <w:p w14:paraId="4CDE8413" w14:textId="77777777" w:rsidR="00B954D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7DADCA" w14:textId="77777777" w:rsidR="00B954D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noProof/>
          <w:lang w:val="en-CA" w:eastAsia="en-CA"/>
        </w:rPr>
        <w:lastRenderedPageBreak/>
        <w:drawing>
          <wp:inline distT="0" distB="0" distL="0" distR="0" wp14:anchorId="23D36C1C" wp14:editId="00E73F53">
            <wp:extent cx="5731510" cy="42233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BB90A9-26F4-472D-A709-32E218AE625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0CC89" w14:textId="77777777" w:rsidR="00B954D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S2: Locations of study reefs and their net carbonate production (kg CaCO</w:t>
      </w:r>
      <w:r w:rsidRPr="004E084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4E0841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4E0841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) under scenarios of no evolution (A, B, C) and evolution (D, E, F) at RCP2.6 (A, D), RCP4.5 (B, E) and RCP8.5 (C, F) by 2100. </w:t>
      </w:r>
    </w:p>
    <w:p w14:paraId="5F339FC6" w14:textId="77777777" w:rsidR="00B954DE" w:rsidRPr="0026798E" w:rsidRDefault="00B954DE" w:rsidP="00B954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DF07F5" w14:textId="77777777" w:rsidR="00835412" w:rsidRDefault="00835412"/>
    <w:sectPr w:rsidR="00835412" w:rsidSect="00B94468">
      <w:pgSz w:w="11906" w:h="16838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4DE"/>
    <w:rsid w:val="006A62BA"/>
    <w:rsid w:val="00835412"/>
    <w:rsid w:val="009D4D9A"/>
    <w:rsid w:val="00B9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A28A4"/>
  <w15:chartTrackingRefBased/>
  <w15:docId w15:val="{45E41ACB-1BC4-45B0-941E-88639098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95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D9C54326-8B19-4E69-AE0E-4E76F30B72D9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>Victoria university of Wellington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Cornwall</dc:creator>
  <cp:keywords/>
  <dc:description/>
  <cp:lastModifiedBy>Christopher Cornwall</cp:lastModifiedBy>
  <cp:revision>1</cp:revision>
  <dcterms:created xsi:type="dcterms:W3CDTF">2023-02-14T02:04:00Z</dcterms:created>
  <dcterms:modified xsi:type="dcterms:W3CDTF">2023-02-14T02:05:00Z</dcterms:modified>
</cp:coreProperties>
</file>