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92433" w14:textId="77777777" w:rsidR="005870E8" w:rsidRPr="005870E8" w:rsidRDefault="005870E8" w:rsidP="0062420D">
      <w:pPr>
        <w:pStyle w:val="MStitle"/>
        <w:spacing w:line="360" w:lineRule="auto"/>
        <w:rPr>
          <w:b w:val="0"/>
          <w:i/>
          <w:sz w:val="32"/>
          <w:szCs w:val="22"/>
        </w:rPr>
      </w:pPr>
      <w:bookmarkStart w:id="0" w:name="_Hlk102993664"/>
      <w:r w:rsidRPr="005870E8">
        <w:rPr>
          <w:b w:val="0"/>
          <w:i/>
          <w:sz w:val="32"/>
          <w:szCs w:val="22"/>
        </w:rPr>
        <w:t>Supplement of</w:t>
      </w:r>
    </w:p>
    <w:p w14:paraId="280E9ECE" w14:textId="77777777" w:rsidR="005870E8" w:rsidRPr="005870E8" w:rsidRDefault="005870E8" w:rsidP="00A72E4B">
      <w:pPr>
        <w:pStyle w:val="MStitle"/>
        <w:rPr>
          <w:sz w:val="32"/>
          <w:szCs w:val="22"/>
        </w:rPr>
      </w:pPr>
      <w:bookmarkStart w:id="1" w:name="_Hlk101194264"/>
      <w:bookmarkEnd w:id="1"/>
      <w:r w:rsidRPr="005870E8">
        <w:rPr>
          <w:sz w:val="32"/>
          <w:szCs w:val="22"/>
        </w:rPr>
        <w:t>Source appointment of volatile organic compounds and evaluation of anthropogenic monoterpene emission estimates in Atlanta, Georgia</w:t>
      </w:r>
    </w:p>
    <w:p w14:paraId="53EF1C5A" w14:textId="77777777" w:rsidR="005870E8" w:rsidRPr="005870E8" w:rsidRDefault="005870E8" w:rsidP="0062420D">
      <w:pPr>
        <w:pStyle w:val="Authors"/>
        <w:spacing w:line="360" w:lineRule="auto"/>
        <w:rPr>
          <w:sz w:val="22"/>
          <w:szCs w:val="22"/>
        </w:rPr>
      </w:pPr>
      <w:r w:rsidRPr="005870E8">
        <w:rPr>
          <w:sz w:val="22"/>
          <w:szCs w:val="22"/>
        </w:rPr>
        <w:t>Yuyang Peng et al.</w:t>
      </w:r>
    </w:p>
    <w:p w14:paraId="171F8888" w14:textId="77777777" w:rsidR="005870E8" w:rsidRPr="005870E8" w:rsidRDefault="005870E8" w:rsidP="0062420D">
      <w:pPr>
        <w:pStyle w:val="Authors"/>
        <w:spacing w:line="360" w:lineRule="auto"/>
        <w:rPr>
          <w:sz w:val="22"/>
          <w:szCs w:val="22"/>
        </w:rPr>
      </w:pPr>
    </w:p>
    <w:p w14:paraId="2FC58919" w14:textId="64AF4C48" w:rsidR="005870E8" w:rsidRPr="005870E8" w:rsidRDefault="005870E8" w:rsidP="0011541A">
      <w:pPr>
        <w:pStyle w:val="Correspondence"/>
        <w:rPr>
          <w:sz w:val="18"/>
          <w:szCs w:val="22"/>
        </w:rPr>
      </w:pPr>
      <w:r w:rsidRPr="005870E8">
        <w:rPr>
          <w:i/>
          <w:sz w:val="18"/>
          <w:szCs w:val="22"/>
        </w:rPr>
        <w:t>Correspondence to</w:t>
      </w:r>
      <w:r w:rsidRPr="005870E8">
        <w:rPr>
          <w:sz w:val="18"/>
          <w:szCs w:val="22"/>
        </w:rPr>
        <w:t>: Jennifer Kaiser (Jennifer.kaiser@ce.gatech.edu)</w:t>
      </w:r>
    </w:p>
    <w:bookmarkEnd w:id="0"/>
    <w:p w14:paraId="7289E07F" w14:textId="56E125B4" w:rsidR="005870E8" w:rsidRPr="005870E8" w:rsidRDefault="005870E8" w:rsidP="006A7534">
      <w:pPr>
        <w:jc w:val="left"/>
        <w:rPr>
          <w:rFonts w:cs="Times New Roman"/>
          <w:sz w:val="22"/>
          <w:szCs w:val="28"/>
        </w:rPr>
      </w:pPr>
      <w:r w:rsidRPr="005870E8">
        <w:rPr>
          <w:rFonts w:cs="Times New Roman"/>
          <w:b/>
          <w:sz w:val="22"/>
          <w:szCs w:val="20"/>
        </w:rPr>
        <w:br w:type="page"/>
      </w:r>
      <w:r w:rsidRPr="005870E8">
        <w:rPr>
          <w:rFonts w:cs="Times New Roman"/>
          <w:sz w:val="22"/>
          <w:szCs w:val="28"/>
        </w:rPr>
        <w:lastRenderedPageBreak/>
        <w:t xml:space="preserve">S1. Instrumentation and theoretic sensitivity calculation </w:t>
      </w:r>
    </w:p>
    <w:p w14:paraId="2E764D11" w14:textId="77777777" w:rsidR="005870E8" w:rsidRPr="005870E8" w:rsidRDefault="005870E8" w:rsidP="002B7949">
      <w:pPr>
        <w:spacing w:after="120" w:line="276" w:lineRule="auto"/>
        <w:rPr>
          <w:rFonts w:cs="Times New Roman"/>
          <w:sz w:val="22"/>
          <w:szCs w:val="20"/>
        </w:rPr>
      </w:pPr>
      <w:r w:rsidRPr="005870E8">
        <w:rPr>
          <w:rFonts w:cs="Times New Roman"/>
          <w:sz w:val="22"/>
          <w:szCs w:val="20"/>
        </w:rPr>
        <w:t>The PTR-ToF-MS instrument excludes most alkanes and some alkenes in its measurements due to their low proton affinity comparing to that of water, and our analysis additionally excludes species with high uncertainties due to humidity dependence (e.g. formaldehyde and methanol), and species with known strong interference from fragmentation of larger VOC species at their corresponding m/z. Certain exceptions are made, e.g., in the case of m/z 81 (C</w:t>
      </w:r>
      <w:r w:rsidRPr="005870E8">
        <w:rPr>
          <w:rFonts w:cs="Times New Roman"/>
          <w:sz w:val="22"/>
          <w:szCs w:val="20"/>
          <w:vertAlign w:val="subscript"/>
        </w:rPr>
        <w:t>6</w:t>
      </w:r>
      <w:r w:rsidRPr="005870E8">
        <w:rPr>
          <w:rFonts w:cs="Times New Roman"/>
          <w:sz w:val="22"/>
          <w:szCs w:val="20"/>
        </w:rPr>
        <w:t>H</w:t>
      </w:r>
      <w:r w:rsidRPr="005870E8">
        <w:rPr>
          <w:rFonts w:cs="Times New Roman"/>
          <w:sz w:val="22"/>
          <w:szCs w:val="20"/>
          <w:vertAlign w:val="subscript"/>
        </w:rPr>
        <w:t>8</w:t>
      </w:r>
      <w:r w:rsidRPr="005870E8">
        <w:rPr>
          <w:rFonts w:cs="Times New Roman"/>
          <w:sz w:val="22"/>
          <w:szCs w:val="20"/>
        </w:rPr>
        <w:t>)H</w:t>
      </w:r>
      <w:r w:rsidRPr="005870E8">
        <w:rPr>
          <w:rFonts w:cs="Times New Roman"/>
          <w:sz w:val="22"/>
          <w:szCs w:val="20"/>
          <w:vertAlign w:val="superscript"/>
        </w:rPr>
        <w:t>+</w:t>
      </w:r>
      <w:r w:rsidRPr="005870E8">
        <w:rPr>
          <w:rFonts w:cs="Times New Roman"/>
          <w:sz w:val="22"/>
          <w:szCs w:val="20"/>
        </w:rPr>
        <w:t xml:space="preserve">. m/z 81 is a known fragment peak of monoterpenes under stronger electric fields (e.g., E/N = 120 Td). We specifically include this and several other similar fragment peaks in our NNMF to evaluate the source apportionment of monoterpenes. </w:t>
      </w:r>
    </w:p>
    <w:p w14:paraId="0B77526E" w14:textId="77777777" w:rsidR="005870E8" w:rsidRPr="005870E8" w:rsidRDefault="005870E8" w:rsidP="002B7949">
      <w:pPr>
        <w:spacing w:after="120" w:line="276" w:lineRule="auto"/>
        <w:rPr>
          <w:rFonts w:cs="Times New Roman"/>
          <w:sz w:val="22"/>
          <w:szCs w:val="20"/>
        </w:rPr>
      </w:pPr>
      <w:r w:rsidRPr="005870E8">
        <w:rPr>
          <w:rFonts w:cs="Times New Roman"/>
          <w:sz w:val="22"/>
          <w:szCs w:val="20"/>
        </w:rPr>
        <w:t xml:space="preserve">For species without a calibration standard, we estimate their PTR-ToF-MS instrument sensitivities using a theoretical method outlined in in </w:t>
      </w:r>
      <w:r w:rsidRPr="005870E8">
        <w:rPr>
          <w:rFonts w:cs="Times New Roman"/>
          <w:noProof/>
          <w:sz w:val="22"/>
          <w:szCs w:val="20"/>
        </w:rPr>
        <w:t>Sekimoto et al. (2017)</w:t>
      </w:r>
      <w:r w:rsidRPr="005870E8">
        <w:rPr>
          <w:rFonts w:cs="Times New Roman"/>
          <w:sz w:val="22"/>
          <w:szCs w:val="20"/>
        </w:rPr>
        <w:t xml:space="preserve"> that is based on the reactivity of species in the instrument. This method uses a linear regression method of corrected sensitivity vs. kinetic reaction rate constants. To estimate the slope of this regression, we convert measured sensitivity of species we have (Isoprene, toluene, benzene, </w:t>
      </w:r>
      <w:r w:rsidRPr="005870E8">
        <w:rPr>
          <w:rFonts w:cs="Times New Roman"/>
          <w:color w:val="000000"/>
          <w:sz w:val="22"/>
          <w:szCs w:val="20"/>
        </w:rPr>
        <w:t>α-pinene</w:t>
      </w:r>
      <w:r w:rsidRPr="005870E8">
        <w:rPr>
          <w:rFonts w:cs="Times New Roman"/>
          <w:sz w:val="22"/>
          <w:szCs w:val="20"/>
        </w:rPr>
        <w:t xml:space="preserve">, acetone, acetonitrile, and methyl acetate) using Eqn. S1.1 adapted from Equation 6 in </w:t>
      </w:r>
      <w:r w:rsidRPr="005870E8">
        <w:rPr>
          <w:rFonts w:cs="Times New Roman"/>
          <w:noProof/>
          <w:sz w:val="22"/>
          <w:szCs w:val="20"/>
        </w:rPr>
        <w:t>Sekimoto et al. (2017)</w:t>
      </w:r>
      <w:r w:rsidRPr="005870E8">
        <w:rPr>
          <w:rFonts w:cs="Times New Roman"/>
          <w:sz w:val="22"/>
          <w:szCs w:val="20"/>
        </w:rPr>
        <w:t>:</w:t>
      </w:r>
    </w:p>
    <w:p w14:paraId="7BA203D9" w14:textId="77777777" w:rsidR="005870E8" w:rsidRPr="005870E8" w:rsidRDefault="005870E8" w:rsidP="002B7949">
      <w:pPr>
        <w:spacing w:after="120" w:line="276" w:lineRule="auto"/>
        <w:rPr>
          <w:rFonts w:cs="Times New Roman"/>
          <w:sz w:val="22"/>
          <w:szCs w:val="20"/>
        </w:rPr>
      </w:pPr>
      <m:oMath>
        <m:r>
          <w:rPr>
            <w:rFonts w:ascii="Cambria Math" w:hAnsi="Cambria Math" w:cs="Times New Roman"/>
            <w:sz w:val="22"/>
            <w:szCs w:val="20"/>
          </w:rPr>
          <m:t>Sen</m:t>
        </m:r>
        <m:sSub>
          <m:sSubPr>
            <m:ctrlPr>
              <w:rPr>
                <w:rFonts w:ascii="Cambria Math" w:hAnsi="Cambria Math" w:cs="Times New Roman"/>
                <w:i/>
                <w:sz w:val="22"/>
                <w:szCs w:val="20"/>
              </w:rPr>
            </m:ctrlPr>
          </m:sSubPr>
          <m:e>
            <m:r>
              <w:rPr>
                <w:rFonts w:ascii="Cambria Math" w:hAnsi="Cambria Math" w:cs="Times New Roman"/>
                <w:sz w:val="22"/>
                <w:szCs w:val="20"/>
              </w:rPr>
              <m:t>s</m:t>
            </m:r>
          </m:e>
          <m:sub>
            <m:r>
              <w:rPr>
                <w:rFonts w:ascii="Cambria Math" w:hAnsi="Cambria Math" w:cs="Times New Roman"/>
                <w:sz w:val="22"/>
                <w:szCs w:val="20"/>
              </w:rPr>
              <m:t>corr</m:t>
            </m:r>
          </m:sub>
        </m:sSub>
        <m:r>
          <w:rPr>
            <w:rFonts w:ascii="Cambria Math" w:hAnsi="Cambria Math" w:cs="Times New Roman"/>
            <w:sz w:val="22"/>
            <w:szCs w:val="20"/>
          </w:rPr>
          <m:t>[</m:t>
        </m:r>
        <m:f>
          <m:fPr>
            <m:ctrlPr>
              <w:rPr>
                <w:rFonts w:ascii="Cambria Math" w:hAnsi="Cambria Math" w:cs="Times New Roman"/>
                <w:i/>
                <w:sz w:val="22"/>
                <w:szCs w:val="20"/>
              </w:rPr>
            </m:ctrlPr>
          </m:fPr>
          <m:num>
            <m:r>
              <w:rPr>
                <w:rFonts w:ascii="Cambria Math" w:hAnsi="Cambria Math" w:cs="Times New Roman"/>
                <w:sz w:val="22"/>
                <w:szCs w:val="20"/>
              </w:rPr>
              <m:t>ncps</m:t>
            </m:r>
          </m:num>
          <m:den>
            <m:r>
              <w:rPr>
                <w:rFonts w:ascii="Cambria Math" w:hAnsi="Cambria Math" w:cs="Times New Roman"/>
                <w:sz w:val="22"/>
                <w:szCs w:val="20"/>
              </w:rPr>
              <m:t>ppbv</m:t>
            </m:r>
          </m:den>
        </m:f>
        <m:r>
          <w:rPr>
            <w:rFonts w:ascii="Cambria Math" w:hAnsi="Cambria Math" w:cs="Times New Roman"/>
            <w:sz w:val="22"/>
            <w:szCs w:val="20"/>
          </w:rPr>
          <m:t>]=Sen</m:t>
        </m:r>
        <m:sSub>
          <m:sSubPr>
            <m:ctrlPr>
              <w:rPr>
                <w:rFonts w:ascii="Cambria Math" w:hAnsi="Cambria Math" w:cs="Times New Roman"/>
                <w:i/>
                <w:sz w:val="22"/>
                <w:szCs w:val="20"/>
              </w:rPr>
            </m:ctrlPr>
          </m:sSubPr>
          <m:e>
            <m:r>
              <w:rPr>
                <w:rFonts w:ascii="Cambria Math" w:hAnsi="Cambria Math" w:cs="Times New Roman"/>
                <w:sz w:val="22"/>
                <w:szCs w:val="20"/>
              </w:rPr>
              <m:t>s</m:t>
            </m:r>
          </m:e>
          <m:sub>
            <m:r>
              <w:rPr>
                <w:rFonts w:ascii="Cambria Math" w:hAnsi="Cambria Math" w:cs="Times New Roman"/>
                <w:sz w:val="22"/>
                <w:szCs w:val="20"/>
              </w:rPr>
              <m:t>meas</m:t>
            </m:r>
          </m:sub>
        </m:sSub>
        <m:r>
          <w:rPr>
            <w:rFonts w:ascii="Cambria Math" w:hAnsi="Cambria Math" w:cs="Times New Roman"/>
            <w:sz w:val="22"/>
            <w:szCs w:val="20"/>
          </w:rPr>
          <m:t>[</m:t>
        </m:r>
        <m:f>
          <m:fPr>
            <m:ctrlPr>
              <w:rPr>
                <w:rFonts w:ascii="Cambria Math" w:hAnsi="Cambria Math" w:cs="Times New Roman"/>
                <w:i/>
                <w:sz w:val="22"/>
                <w:szCs w:val="20"/>
              </w:rPr>
            </m:ctrlPr>
          </m:fPr>
          <m:num>
            <m:r>
              <w:rPr>
                <w:rFonts w:ascii="Cambria Math" w:hAnsi="Cambria Math" w:cs="Times New Roman"/>
                <w:sz w:val="22"/>
                <w:szCs w:val="20"/>
              </w:rPr>
              <m:t>ncps</m:t>
            </m:r>
          </m:num>
          <m:den>
            <m:r>
              <w:rPr>
                <w:rFonts w:ascii="Cambria Math" w:hAnsi="Cambria Math" w:cs="Times New Roman"/>
                <w:sz w:val="22"/>
                <w:szCs w:val="20"/>
              </w:rPr>
              <m:t>ppbv</m:t>
            </m:r>
          </m:den>
        </m:f>
        <m:r>
          <w:rPr>
            <w:rFonts w:ascii="Cambria Math" w:hAnsi="Cambria Math" w:cs="Times New Roman"/>
            <w:sz w:val="22"/>
            <w:szCs w:val="20"/>
          </w:rPr>
          <m:t>]×</m:t>
        </m:r>
        <m:f>
          <m:fPr>
            <m:ctrlPr>
              <w:rPr>
                <w:rFonts w:ascii="Cambria Math" w:hAnsi="Cambria Math" w:cs="Times New Roman"/>
                <w:i/>
                <w:sz w:val="22"/>
                <w:szCs w:val="20"/>
              </w:rPr>
            </m:ctrlPr>
          </m:fPr>
          <m:num>
            <m:r>
              <w:rPr>
                <w:rFonts w:ascii="Cambria Math" w:hAnsi="Cambria Math" w:cs="Times New Roman"/>
                <w:sz w:val="22"/>
                <w:szCs w:val="20"/>
              </w:rPr>
              <m:t>100</m:t>
            </m:r>
          </m:num>
          <m:den>
            <m:sSub>
              <m:sSubPr>
                <m:ctrlPr>
                  <w:rPr>
                    <w:rFonts w:ascii="Cambria Math" w:hAnsi="Cambria Math" w:cs="Times New Roman"/>
                    <w:i/>
                    <w:sz w:val="22"/>
                    <w:szCs w:val="20"/>
                  </w:rPr>
                </m:ctrlPr>
              </m:sSubPr>
              <m:e>
                <m:r>
                  <w:rPr>
                    <w:rFonts w:ascii="Cambria Math" w:hAnsi="Cambria Math" w:cs="Times New Roman"/>
                    <w:sz w:val="22"/>
                    <w:szCs w:val="20"/>
                  </w:rPr>
                  <m:t>F</m:t>
                </m:r>
              </m:e>
              <m:sub>
                <m:r>
                  <w:rPr>
                    <w:rFonts w:ascii="Cambria Math" w:hAnsi="Cambria Math" w:cs="Times New Roman"/>
                    <w:sz w:val="22"/>
                    <w:szCs w:val="20"/>
                  </w:rPr>
                  <m:t>VOC·</m:t>
                </m:r>
                <m:sSup>
                  <m:sSupPr>
                    <m:ctrlPr>
                      <w:rPr>
                        <w:rFonts w:ascii="Cambria Math" w:hAnsi="Cambria Math" w:cs="Times New Roman"/>
                        <w:i/>
                        <w:sz w:val="22"/>
                        <w:szCs w:val="20"/>
                      </w:rPr>
                    </m:ctrlPr>
                  </m:sSupPr>
                  <m:e>
                    <m:r>
                      <w:rPr>
                        <w:rFonts w:ascii="Cambria Math" w:hAnsi="Cambria Math" w:cs="Times New Roman"/>
                        <w:sz w:val="22"/>
                        <w:szCs w:val="20"/>
                      </w:rPr>
                      <m:t>H</m:t>
                    </m:r>
                  </m:e>
                  <m:sup>
                    <m:r>
                      <w:rPr>
                        <w:rFonts w:ascii="Cambria Math" w:hAnsi="Cambria Math" w:cs="Times New Roman"/>
                        <w:sz w:val="22"/>
                        <w:szCs w:val="20"/>
                      </w:rPr>
                      <m:t>+</m:t>
                    </m:r>
                  </m:sup>
                </m:sSup>
              </m:sub>
            </m:sSub>
            <m:r>
              <w:rPr>
                <w:rFonts w:ascii="Cambria Math" w:hAnsi="Cambria Math" w:cs="Times New Roman"/>
                <w:sz w:val="22"/>
                <w:szCs w:val="20"/>
              </w:rPr>
              <m:t>[%]</m:t>
            </m:r>
          </m:den>
        </m:f>
        <m:r>
          <w:rPr>
            <w:rFonts w:ascii="Cambria Math" w:hAnsi="Cambria Math" w:cs="Times New Roman"/>
            <w:sz w:val="22"/>
            <w:szCs w:val="20"/>
          </w:rPr>
          <m:t>×</m:t>
        </m:r>
        <m:f>
          <m:fPr>
            <m:ctrlPr>
              <w:rPr>
                <w:rFonts w:ascii="Cambria Math" w:hAnsi="Cambria Math" w:cs="Times New Roman"/>
                <w:i/>
                <w:sz w:val="22"/>
                <w:szCs w:val="20"/>
              </w:rPr>
            </m:ctrlPr>
          </m:fPr>
          <m:num>
            <m:sSub>
              <m:sSubPr>
                <m:ctrlPr>
                  <w:rPr>
                    <w:rFonts w:ascii="Cambria Math" w:hAnsi="Cambria Math" w:cs="Times New Roman"/>
                    <w:i/>
                    <w:sz w:val="22"/>
                    <w:szCs w:val="20"/>
                  </w:rPr>
                </m:ctrlPr>
              </m:sSubPr>
              <m:e>
                <m:r>
                  <w:rPr>
                    <w:rFonts w:ascii="Cambria Math" w:hAnsi="Cambria Math" w:cs="Times New Roman"/>
                    <w:sz w:val="22"/>
                    <w:szCs w:val="20"/>
                  </w:rPr>
                  <m:t>T</m:t>
                </m:r>
              </m:e>
              <m:sub>
                <m:sSub>
                  <m:sSubPr>
                    <m:ctrlPr>
                      <w:rPr>
                        <w:rFonts w:ascii="Cambria Math" w:hAnsi="Cambria Math" w:cs="Times New Roman"/>
                        <w:i/>
                        <w:sz w:val="22"/>
                        <w:szCs w:val="20"/>
                      </w:rPr>
                    </m:ctrlPr>
                  </m:sSubPr>
                  <m:e>
                    <m:r>
                      <w:rPr>
                        <w:rFonts w:ascii="Cambria Math" w:hAnsi="Cambria Math" w:cs="Times New Roman"/>
                        <w:sz w:val="22"/>
                        <w:szCs w:val="20"/>
                      </w:rPr>
                      <m:t>H</m:t>
                    </m:r>
                  </m:e>
                  <m:sub>
                    <m:r>
                      <w:rPr>
                        <w:rFonts w:ascii="Cambria Math" w:hAnsi="Cambria Math" w:cs="Times New Roman"/>
                        <w:sz w:val="22"/>
                        <w:szCs w:val="20"/>
                      </w:rPr>
                      <m:t>3</m:t>
                    </m:r>
                  </m:sub>
                </m:sSub>
                <m:sSup>
                  <m:sSupPr>
                    <m:ctrlPr>
                      <w:rPr>
                        <w:rFonts w:ascii="Cambria Math" w:hAnsi="Cambria Math" w:cs="Times New Roman"/>
                        <w:i/>
                        <w:sz w:val="22"/>
                        <w:szCs w:val="20"/>
                      </w:rPr>
                    </m:ctrlPr>
                  </m:sSupPr>
                  <m:e>
                    <m:r>
                      <w:rPr>
                        <w:rFonts w:ascii="Cambria Math" w:hAnsi="Cambria Math" w:cs="Times New Roman"/>
                        <w:sz w:val="22"/>
                        <w:szCs w:val="20"/>
                      </w:rPr>
                      <m:t>O</m:t>
                    </m:r>
                  </m:e>
                  <m:sup>
                    <m:r>
                      <w:rPr>
                        <w:rFonts w:ascii="Cambria Math" w:hAnsi="Cambria Math" w:cs="Times New Roman"/>
                        <w:sz w:val="22"/>
                        <w:szCs w:val="20"/>
                      </w:rPr>
                      <m:t>+</m:t>
                    </m:r>
                  </m:sup>
                </m:sSup>
              </m:sub>
            </m:sSub>
          </m:num>
          <m:den>
            <m:sSub>
              <m:sSubPr>
                <m:ctrlPr>
                  <w:rPr>
                    <w:rFonts w:ascii="Cambria Math" w:hAnsi="Cambria Math" w:cs="Times New Roman"/>
                    <w:i/>
                    <w:sz w:val="22"/>
                    <w:szCs w:val="20"/>
                  </w:rPr>
                </m:ctrlPr>
              </m:sSubPr>
              <m:e>
                <m:r>
                  <w:rPr>
                    <w:rFonts w:ascii="Cambria Math" w:hAnsi="Cambria Math" w:cs="Times New Roman"/>
                    <w:sz w:val="22"/>
                    <w:szCs w:val="20"/>
                  </w:rPr>
                  <m:t>T</m:t>
                </m:r>
              </m:e>
              <m:sub>
                <m:r>
                  <w:rPr>
                    <w:rFonts w:ascii="Cambria Math" w:hAnsi="Cambria Math" w:cs="Times New Roman"/>
                    <w:sz w:val="22"/>
                    <w:szCs w:val="20"/>
                  </w:rPr>
                  <m:t>VOC·</m:t>
                </m:r>
                <m:sSup>
                  <m:sSupPr>
                    <m:ctrlPr>
                      <w:rPr>
                        <w:rFonts w:ascii="Cambria Math" w:hAnsi="Cambria Math" w:cs="Times New Roman"/>
                        <w:i/>
                        <w:sz w:val="22"/>
                        <w:szCs w:val="20"/>
                      </w:rPr>
                    </m:ctrlPr>
                  </m:sSupPr>
                  <m:e>
                    <m:r>
                      <w:rPr>
                        <w:rFonts w:ascii="Cambria Math" w:hAnsi="Cambria Math" w:cs="Times New Roman"/>
                        <w:sz w:val="22"/>
                        <w:szCs w:val="20"/>
                      </w:rPr>
                      <m:t>H</m:t>
                    </m:r>
                  </m:e>
                  <m:sup>
                    <m:r>
                      <w:rPr>
                        <w:rFonts w:ascii="Cambria Math" w:hAnsi="Cambria Math" w:cs="Times New Roman"/>
                        <w:sz w:val="22"/>
                        <w:szCs w:val="20"/>
                      </w:rPr>
                      <m:t>+</m:t>
                    </m:r>
                  </m:sup>
                </m:sSup>
              </m:sub>
            </m:sSub>
          </m:den>
        </m:f>
      </m:oMath>
      <w:r w:rsidRPr="005870E8">
        <w:rPr>
          <w:rFonts w:cs="Times New Roman"/>
          <w:sz w:val="22"/>
          <w:szCs w:val="20"/>
        </w:rPr>
        <w:tab/>
        <w:t xml:space="preserve">      </w:t>
      </w:r>
      <w:r w:rsidRPr="005870E8">
        <w:rPr>
          <w:rFonts w:cs="Times New Roman"/>
          <w:sz w:val="22"/>
          <w:szCs w:val="20"/>
        </w:rPr>
        <w:tab/>
      </w:r>
      <w:r w:rsidRPr="005870E8">
        <w:rPr>
          <w:rFonts w:cs="Times New Roman"/>
          <w:sz w:val="22"/>
          <w:szCs w:val="20"/>
        </w:rPr>
        <w:tab/>
      </w:r>
      <w:r w:rsidRPr="005870E8">
        <w:rPr>
          <w:rFonts w:cs="Times New Roman"/>
          <w:sz w:val="22"/>
          <w:szCs w:val="20"/>
        </w:rPr>
        <w:tab/>
        <w:t>[S1.1]</w:t>
      </w:r>
    </w:p>
    <w:p w14:paraId="117A9D63" w14:textId="01371CD7" w:rsidR="005870E8" w:rsidRPr="005870E8" w:rsidRDefault="00C84DC2" w:rsidP="002B7949">
      <w:pPr>
        <w:spacing w:after="120" w:line="276" w:lineRule="auto"/>
        <w:rPr>
          <w:rFonts w:cs="Times New Roman"/>
          <w:sz w:val="22"/>
          <w:szCs w:val="20"/>
        </w:rPr>
      </w:pPr>
      <w:r w:rsidRPr="005870E8">
        <w:rPr>
          <w:rFonts w:cs="Times New Roman"/>
          <w:noProof/>
          <w:sz w:val="22"/>
          <w:szCs w:val="20"/>
        </w:rPr>
        <w:drawing>
          <wp:anchor distT="0" distB="0" distL="114300" distR="114300" simplePos="0" relativeHeight="251674624" behindDoc="0" locked="0" layoutInCell="1" allowOverlap="1" wp14:anchorId="56DDE314" wp14:editId="527E12A0">
            <wp:simplePos x="0" y="0"/>
            <wp:positionH relativeFrom="column">
              <wp:posOffset>1380490</wp:posOffset>
            </wp:positionH>
            <wp:positionV relativeFrom="paragraph">
              <wp:posOffset>658495</wp:posOffset>
            </wp:positionV>
            <wp:extent cx="3044825" cy="2870200"/>
            <wp:effectExtent l="0" t="0" r="0" b="0"/>
            <wp:wrapTopAndBottom/>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4825"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0E8">
        <w:rPr>
          <w:rFonts w:cs="Times New Roman"/>
          <w:noProof/>
          <w:sz w:val="22"/>
          <w:szCs w:val="20"/>
        </w:rPr>
        <mc:AlternateContent>
          <mc:Choice Requires="wps">
            <w:drawing>
              <wp:anchor distT="45720" distB="45720" distL="114300" distR="114300" simplePos="0" relativeHeight="251662336" behindDoc="0" locked="0" layoutInCell="1" allowOverlap="1" wp14:anchorId="2E664FFF" wp14:editId="6E1C84DE">
                <wp:simplePos x="0" y="0"/>
                <wp:positionH relativeFrom="column">
                  <wp:posOffset>19050</wp:posOffset>
                </wp:positionH>
                <wp:positionV relativeFrom="paragraph">
                  <wp:posOffset>3712845</wp:posOffset>
                </wp:positionV>
                <wp:extent cx="5744210" cy="523875"/>
                <wp:effectExtent l="0" t="0" r="27940" b="28575"/>
                <wp:wrapTopAndBottom/>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523875"/>
                        </a:xfrm>
                        <a:prstGeom prst="rect">
                          <a:avLst/>
                        </a:prstGeom>
                        <a:solidFill>
                          <a:srgbClr val="FFFFFF"/>
                        </a:solidFill>
                        <a:ln w="9525">
                          <a:solidFill>
                            <a:srgbClr val="000000"/>
                          </a:solidFill>
                          <a:miter lim="800000"/>
                          <a:headEnd/>
                          <a:tailEnd/>
                        </a:ln>
                      </wps:spPr>
                      <wps:txbx>
                        <w:txbxContent>
                          <w:p w14:paraId="0CD53D45" w14:textId="77777777" w:rsidR="005870E8" w:rsidRPr="00C84DC2" w:rsidRDefault="005870E8" w:rsidP="00E86A0E">
                            <w:pPr>
                              <w:spacing w:line="276" w:lineRule="auto"/>
                              <w:rPr>
                                <w:sz w:val="22"/>
                                <w:szCs w:val="20"/>
                              </w:rPr>
                            </w:pPr>
                            <w:r w:rsidRPr="00C84DC2">
                              <w:rPr>
                                <w:sz w:val="22"/>
                                <w:szCs w:val="20"/>
                              </w:rPr>
                              <w:t>Figure S1 – sensitivity correlation between corrected sensitivity vs. kinetic reaction rate constants. Slope of regression line is 17.92 for our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664FFF" id="_x0000_t202" coordsize="21600,21600" o:spt="202" path="m,l,21600r21600,l21600,xe">
                <v:stroke joinstyle="miter"/>
                <v:path gradientshapeok="t" o:connecttype="rect"/>
              </v:shapetype>
              <v:shape id="Text Box 49" o:spid="_x0000_s1026" type="#_x0000_t202" style="position:absolute;left:0;text-align:left;margin-left:1.5pt;margin-top:292.35pt;width:452.3pt;height:41.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SZFAIAACYEAAAOAAAAZHJzL2Uyb0RvYy54bWysU9tu2zAMfR+wfxD0vthx4yU14hRdugwD&#10;ugvQ7QNkWY6FyaImKbGzry8lu2l2exmmB4EUqUPykFzfDJ0iR2GdBF3S+SylRGgOtdT7kn79snu1&#10;os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">
                <v:textbox>
                  <w:txbxContent>
                    <w:p w14:paraId="0CD53D45" w14:textId="77777777" w:rsidR="005870E8" w:rsidRPr="00C84DC2" w:rsidRDefault="005870E8" w:rsidP="00E86A0E">
                      <w:pPr>
                        <w:spacing w:line="276" w:lineRule="auto"/>
                        <w:rPr>
                          <w:sz w:val="22"/>
                          <w:szCs w:val="20"/>
                        </w:rPr>
                      </w:pPr>
                      <w:r w:rsidRPr="00C84DC2">
                        <w:rPr>
                          <w:sz w:val="22"/>
                          <w:szCs w:val="20"/>
                        </w:rPr>
                        <w:t>Figure S1 – sensitivity correlation between corrected sensitivity vs. kinetic reaction rate constants. Slope of regression line is 17.92 for our study.</w:t>
                      </w:r>
                    </w:p>
                  </w:txbxContent>
                </v:textbox>
                <w10:wrap type="topAndBottom"/>
              </v:shape>
            </w:pict>
          </mc:Fallback>
        </mc:AlternateContent>
      </w:r>
      <w:r w:rsidR="005870E8" w:rsidRPr="005870E8">
        <w:rPr>
          <w:rFonts w:cs="Times New Roman"/>
          <w:sz w:val="22"/>
          <w:szCs w:val="20"/>
        </w:rPr>
        <w:t>for example, for isoprene:</w:t>
      </w:r>
    </w:p>
    <w:p w14:paraId="27F494B1" w14:textId="77777777" w:rsidR="005870E8" w:rsidRPr="005870E8" w:rsidRDefault="005870E8" w:rsidP="002B7949">
      <w:pPr>
        <w:spacing w:after="120" w:line="276" w:lineRule="auto"/>
        <w:rPr>
          <w:rFonts w:cs="Times New Roman"/>
          <w:sz w:val="22"/>
          <w:szCs w:val="20"/>
        </w:rPr>
      </w:pPr>
      <m:oMath>
        <m:r>
          <w:rPr>
            <w:rFonts w:ascii="Cambria Math" w:hAnsi="Cambria Math" w:cs="Times New Roman"/>
            <w:sz w:val="22"/>
            <w:szCs w:val="20"/>
          </w:rPr>
          <m:t>Sen</m:t>
        </m:r>
        <m:sSub>
          <m:sSubPr>
            <m:ctrlPr>
              <w:rPr>
                <w:rFonts w:ascii="Cambria Math" w:hAnsi="Cambria Math" w:cs="Times New Roman"/>
                <w:i/>
                <w:sz w:val="22"/>
                <w:szCs w:val="20"/>
              </w:rPr>
            </m:ctrlPr>
          </m:sSubPr>
          <m:e>
            <m:r>
              <w:rPr>
                <w:rFonts w:ascii="Cambria Math" w:hAnsi="Cambria Math" w:cs="Times New Roman"/>
                <w:sz w:val="22"/>
                <w:szCs w:val="20"/>
              </w:rPr>
              <m:t>s</m:t>
            </m:r>
          </m:e>
          <m:sub>
            <m:r>
              <w:rPr>
                <w:rFonts w:ascii="Cambria Math" w:hAnsi="Cambria Math" w:cs="Times New Roman"/>
                <w:sz w:val="22"/>
                <w:szCs w:val="20"/>
              </w:rPr>
              <m:t>corr,isop</m:t>
            </m:r>
          </m:sub>
        </m:sSub>
        <m:r>
          <w:rPr>
            <w:rFonts w:ascii="Cambria Math" w:hAnsi="Cambria Math" w:cs="Times New Roman"/>
            <w:sz w:val="22"/>
            <w:szCs w:val="20"/>
          </w:rPr>
          <m:t>=108.1 ×</m:t>
        </m:r>
        <m:f>
          <m:fPr>
            <m:ctrlPr>
              <w:rPr>
                <w:rFonts w:ascii="Cambria Math" w:hAnsi="Cambria Math" w:cs="Times New Roman"/>
                <w:i/>
                <w:sz w:val="22"/>
                <w:szCs w:val="20"/>
              </w:rPr>
            </m:ctrlPr>
          </m:fPr>
          <m:num>
            <m:r>
              <w:rPr>
                <w:rFonts w:ascii="Cambria Math" w:hAnsi="Cambria Math" w:cs="Times New Roman"/>
                <w:sz w:val="22"/>
                <w:szCs w:val="20"/>
              </w:rPr>
              <m:t>100</m:t>
            </m:r>
          </m:num>
          <m:den>
            <m:r>
              <w:rPr>
                <w:rFonts w:ascii="Cambria Math" w:hAnsi="Cambria Math" w:cs="Times New Roman"/>
                <w:sz w:val="22"/>
                <w:szCs w:val="20"/>
              </w:rPr>
              <m:t>100</m:t>
            </m:r>
          </m:den>
        </m:f>
        <m:r>
          <w:rPr>
            <w:rFonts w:ascii="Cambria Math" w:hAnsi="Cambria Math" w:cs="Times New Roman"/>
            <w:sz w:val="22"/>
            <w:szCs w:val="20"/>
          </w:rPr>
          <m:t>×</m:t>
        </m:r>
        <m:f>
          <m:fPr>
            <m:ctrlPr>
              <w:rPr>
                <w:rFonts w:ascii="Cambria Math" w:hAnsi="Cambria Math" w:cs="Times New Roman"/>
                <w:i/>
                <w:sz w:val="22"/>
                <w:szCs w:val="20"/>
              </w:rPr>
            </m:ctrlPr>
          </m:fPr>
          <m:num>
            <m:r>
              <w:rPr>
                <w:rFonts w:ascii="Cambria Math" w:hAnsi="Cambria Math" w:cs="Times New Roman"/>
                <w:sz w:val="22"/>
                <w:szCs w:val="20"/>
              </w:rPr>
              <m:t>0.17</m:t>
            </m:r>
          </m:num>
          <m:den>
            <m:r>
              <w:rPr>
                <w:rFonts w:ascii="Cambria Math" w:hAnsi="Cambria Math" w:cs="Times New Roman"/>
                <w:sz w:val="22"/>
                <w:szCs w:val="20"/>
              </w:rPr>
              <m:t>0.50</m:t>
            </m:r>
          </m:den>
        </m:f>
        <m:r>
          <w:rPr>
            <w:rFonts w:ascii="Cambria Math" w:hAnsi="Cambria Math" w:cs="Times New Roman"/>
            <w:sz w:val="22"/>
            <w:szCs w:val="20"/>
          </w:rPr>
          <m:t>=36.8</m:t>
        </m:r>
        <m:f>
          <m:fPr>
            <m:ctrlPr>
              <w:rPr>
                <w:rFonts w:ascii="Cambria Math" w:hAnsi="Cambria Math" w:cs="Times New Roman"/>
                <w:i/>
                <w:sz w:val="22"/>
                <w:szCs w:val="20"/>
              </w:rPr>
            </m:ctrlPr>
          </m:fPr>
          <m:num>
            <m:r>
              <w:rPr>
                <w:rFonts w:ascii="Cambria Math" w:hAnsi="Cambria Math" w:cs="Times New Roman"/>
                <w:sz w:val="22"/>
                <w:szCs w:val="20"/>
              </w:rPr>
              <m:t>ncps</m:t>
            </m:r>
          </m:num>
          <m:den>
            <m:r>
              <w:rPr>
                <w:rFonts w:ascii="Cambria Math" w:hAnsi="Cambria Math" w:cs="Times New Roman"/>
                <w:sz w:val="22"/>
                <w:szCs w:val="20"/>
              </w:rPr>
              <m:t>ppbv</m:t>
            </m:r>
          </m:den>
        </m:f>
      </m:oMath>
      <w:r w:rsidRPr="005870E8">
        <w:rPr>
          <w:rFonts w:cs="Times New Roman"/>
          <w:sz w:val="22"/>
          <w:szCs w:val="20"/>
        </w:rPr>
        <w:tab/>
      </w:r>
      <w:r w:rsidRPr="005870E8">
        <w:rPr>
          <w:rFonts w:cs="Times New Roman"/>
          <w:sz w:val="22"/>
          <w:szCs w:val="20"/>
        </w:rPr>
        <w:tab/>
      </w:r>
      <w:r w:rsidRPr="005870E8">
        <w:rPr>
          <w:rFonts w:cs="Times New Roman"/>
          <w:sz w:val="22"/>
          <w:szCs w:val="20"/>
        </w:rPr>
        <w:tab/>
      </w:r>
      <w:r w:rsidRPr="005870E8">
        <w:rPr>
          <w:rFonts w:cs="Times New Roman"/>
          <w:sz w:val="22"/>
          <w:szCs w:val="20"/>
        </w:rPr>
        <w:tab/>
      </w:r>
      <w:r w:rsidRPr="005870E8">
        <w:rPr>
          <w:rFonts w:cs="Times New Roman"/>
          <w:sz w:val="22"/>
          <w:szCs w:val="20"/>
        </w:rPr>
        <w:tab/>
        <w:t>[S1.2]</w:t>
      </w:r>
    </w:p>
    <w:p w14:paraId="6CF906D7" w14:textId="3F63C61C" w:rsidR="005870E8" w:rsidRPr="005870E8" w:rsidRDefault="005870E8" w:rsidP="002B7949">
      <w:pPr>
        <w:spacing w:after="120" w:line="276" w:lineRule="auto"/>
        <w:rPr>
          <w:rFonts w:cs="Times New Roman"/>
          <w:sz w:val="22"/>
          <w:szCs w:val="20"/>
        </w:rPr>
      </w:pPr>
      <w:r w:rsidRPr="005870E8">
        <w:rPr>
          <w:rFonts w:cs="Times New Roman"/>
          <w:sz w:val="22"/>
          <w:szCs w:val="20"/>
        </w:rPr>
        <w:t xml:space="preserve">The transmission value is interpolated from the transmission curve (determined by </w:t>
      </w:r>
      <w:r w:rsidRPr="005870E8">
        <w:rPr>
          <w:rFonts w:cs="Times New Roman"/>
          <w:color w:val="000000"/>
          <w:sz w:val="22"/>
          <w:szCs w:val="20"/>
        </w:rPr>
        <w:t>acetone, isoprene, toluene, and α-pinene)</w:t>
      </w:r>
      <w:r w:rsidRPr="005870E8">
        <w:rPr>
          <w:rFonts w:cs="Times New Roman"/>
          <w:sz w:val="22"/>
          <w:szCs w:val="20"/>
        </w:rPr>
        <w:t xml:space="preserve">, based on m/z. Using these values, we plot a sensitivity vs. </w:t>
      </w:r>
      <m:oMath>
        <m:sSub>
          <m:sSubPr>
            <m:ctrlPr>
              <w:rPr>
                <w:rFonts w:ascii="Cambria Math" w:hAnsi="Cambria Math" w:cs="Times New Roman"/>
                <w:i/>
                <w:sz w:val="22"/>
                <w:szCs w:val="20"/>
              </w:rPr>
            </m:ctrlPr>
          </m:sSubPr>
          <m:e>
            <m:r>
              <w:rPr>
                <w:rFonts w:ascii="Cambria Math" w:hAnsi="Cambria Math" w:cs="Times New Roman"/>
                <w:sz w:val="22"/>
                <w:szCs w:val="20"/>
              </w:rPr>
              <m:t>k</m:t>
            </m:r>
          </m:e>
          <m:sub>
            <m:r>
              <w:rPr>
                <w:rFonts w:ascii="Cambria Math" w:hAnsi="Cambria Math" w:cs="Times New Roman"/>
                <w:sz w:val="22"/>
                <w:szCs w:val="20"/>
              </w:rPr>
              <m:t>kinetic</m:t>
            </m:r>
          </m:sub>
        </m:sSub>
      </m:oMath>
      <w:r w:rsidRPr="005870E8">
        <w:rPr>
          <w:rFonts w:cs="Times New Roman"/>
          <w:sz w:val="22"/>
          <w:szCs w:val="20"/>
        </w:rPr>
        <w:t xml:space="preserve"> in Fig. S1 and </w:t>
      </w:r>
      <w:r w:rsidRPr="005870E8">
        <w:rPr>
          <w:rFonts w:cs="Times New Roman"/>
          <w:sz w:val="22"/>
          <w:szCs w:val="20"/>
        </w:rPr>
        <w:lastRenderedPageBreak/>
        <w:t>obtain a slope of 17.92. Here, we included pentene from the second tank to evaluate the calculated sensitivity correlation.</w:t>
      </w:r>
    </w:p>
    <w:p w14:paraId="28885D51" w14:textId="77777777" w:rsidR="005870E8" w:rsidRPr="005870E8" w:rsidRDefault="005870E8" w:rsidP="002B7949">
      <w:pPr>
        <w:spacing w:after="120" w:line="276" w:lineRule="auto"/>
        <w:rPr>
          <w:rFonts w:cs="Times New Roman"/>
          <w:sz w:val="22"/>
          <w:szCs w:val="20"/>
        </w:rPr>
      </w:pPr>
      <w:r w:rsidRPr="005870E8">
        <w:rPr>
          <w:rFonts w:cs="Times New Roman"/>
          <w:sz w:val="22"/>
          <w:szCs w:val="20"/>
        </w:rPr>
        <w:t xml:space="preserve">Once we have the slope, we then calculate a corrected sensitivity of other compounds, by multiplying the slope with </w:t>
      </w:r>
      <m:oMath>
        <m:sSub>
          <m:sSubPr>
            <m:ctrlPr>
              <w:rPr>
                <w:rFonts w:ascii="Cambria Math" w:hAnsi="Cambria Math" w:cs="Times New Roman"/>
                <w:i/>
                <w:sz w:val="22"/>
                <w:szCs w:val="20"/>
              </w:rPr>
            </m:ctrlPr>
          </m:sSubPr>
          <m:e>
            <m:r>
              <w:rPr>
                <w:rFonts w:ascii="Cambria Math" w:hAnsi="Cambria Math" w:cs="Times New Roman"/>
                <w:sz w:val="22"/>
                <w:szCs w:val="20"/>
              </w:rPr>
              <m:t>k</m:t>
            </m:r>
          </m:e>
          <m:sub>
            <m:r>
              <w:rPr>
                <w:rFonts w:ascii="Cambria Math" w:hAnsi="Cambria Math" w:cs="Times New Roman"/>
                <w:sz w:val="22"/>
                <w:szCs w:val="20"/>
              </w:rPr>
              <m:t>kinetic</m:t>
            </m:r>
          </m:sub>
        </m:sSub>
      </m:oMath>
      <w:r w:rsidRPr="005870E8">
        <w:rPr>
          <w:rFonts w:cs="Times New Roman"/>
          <w:sz w:val="22"/>
          <w:szCs w:val="20"/>
        </w:rPr>
        <w:t>, as shown in the following equation:</w:t>
      </w:r>
    </w:p>
    <w:p w14:paraId="1270C5F8" w14:textId="77777777" w:rsidR="005870E8" w:rsidRPr="005870E8" w:rsidRDefault="005870E8" w:rsidP="002B7949">
      <w:pPr>
        <w:spacing w:after="120" w:line="276" w:lineRule="auto"/>
        <w:rPr>
          <w:rFonts w:cs="Times New Roman"/>
          <w:sz w:val="22"/>
          <w:szCs w:val="20"/>
        </w:rPr>
      </w:pPr>
      <m:oMath>
        <m:r>
          <w:rPr>
            <w:rFonts w:ascii="Cambria Math" w:hAnsi="Cambria Math" w:cs="Times New Roman"/>
            <w:sz w:val="22"/>
            <w:szCs w:val="20"/>
          </w:rPr>
          <m:t>Sen</m:t>
        </m:r>
        <m:sSub>
          <m:sSubPr>
            <m:ctrlPr>
              <w:rPr>
                <w:rFonts w:ascii="Cambria Math" w:hAnsi="Cambria Math" w:cs="Times New Roman"/>
                <w:sz w:val="22"/>
                <w:szCs w:val="20"/>
              </w:rPr>
            </m:ctrlPr>
          </m:sSubPr>
          <m:e>
            <m:r>
              <w:rPr>
                <w:rFonts w:ascii="Cambria Math" w:hAnsi="Cambria Math" w:cs="Times New Roman"/>
                <w:sz w:val="22"/>
                <w:szCs w:val="20"/>
              </w:rPr>
              <m:t>s</m:t>
            </m:r>
          </m:e>
          <m:sub>
            <m:r>
              <w:rPr>
                <w:rFonts w:ascii="Cambria Math" w:hAnsi="Cambria Math" w:cs="Times New Roman"/>
                <w:sz w:val="22"/>
                <w:szCs w:val="20"/>
              </w:rPr>
              <m:t>theo</m:t>
            </m:r>
            <m:r>
              <m:rPr>
                <m:sty m:val="p"/>
              </m:rPr>
              <w:rPr>
                <w:rFonts w:ascii="Cambria Math" w:hAnsi="Cambria Math" w:cs="Times New Roman"/>
                <w:sz w:val="22"/>
                <w:szCs w:val="20"/>
              </w:rPr>
              <m:t>.</m:t>
            </m:r>
          </m:sub>
        </m:sSub>
        <m:d>
          <m:dPr>
            <m:begChr m:val="["/>
            <m:endChr m:val="]"/>
            <m:ctrlPr>
              <w:rPr>
                <w:rFonts w:ascii="Cambria Math" w:hAnsi="Cambria Math" w:cs="Times New Roman"/>
                <w:sz w:val="22"/>
                <w:szCs w:val="20"/>
              </w:rPr>
            </m:ctrlPr>
          </m:dPr>
          <m:e>
            <m:f>
              <m:fPr>
                <m:ctrlPr>
                  <w:rPr>
                    <w:rFonts w:ascii="Cambria Math" w:hAnsi="Cambria Math" w:cs="Times New Roman"/>
                    <w:sz w:val="22"/>
                    <w:szCs w:val="20"/>
                  </w:rPr>
                </m:ctrlPr>
              </m:fPr>
              <m:num>
                <m:r>
                  <w:rPr>
                    <w:rFonts w:ascii="Cambria Math" w:hAnsi="Cambria Math" w:cs="Times New Roman"/>
                    <w:sz w:val="22"/>
                    <w:szCs w:val="20"/>
                  </w:rPr>
                  <m:t>ncps</m:t>
                </m:r>
              </m:num>
              <m:den>
                <m:r>
                  <w:rPr>
                    <w:rFonts w:ascii="Cambria Math" w:hAnsi="Cambria Math" w:cs="Times New Roman"/>
                    <w:sz w:val="22"/>
                    <w:szCs w:val="20"/>
                  </w:rPr>
                  <m:t>ppbv</m:t>
                </m:r>
              </m:den>
            </m:f>
          </m:e>
        </m:d>
        <m:r>
          <m:rPr>
            <m:sty m:val="p"/>
          </m:rPr>
          <w:rPr>
            <w:rFonts w:ascii="Cambria Math" w:hAnsi="Cambria Math" w:cs="Times New Roman"/>
            <w:sz w:val="22"/>
            <w:szCs w:val="20"/>
          </w:rPr>
          <m:t>=</m:t>
        </m:r>
        <m:f>
          <m:fPr>
            <m:ctrlPr>
              <w:rPr>
                <w:rFonts w:ascii="Cambria Math" w:hAnsi="Cambria Math" w:cs="Times New Roman"/>
                <w:sz w:val="22"/>
                <w:szCs w:val="20"/>
              </w:rPr>
            </m:ctrlPr>
          </m:fPr>
          <m:num>
            <m:sSub>
              <m:sSubPr>
                <m:ctrlPr>
                  <w:rPr>
                    <w:rFonts w:ascii="Cambria Math" w:hAnsi="Cambria Math" w:cs="Times New Roman"/>
                    <w:sz w:val="22"/>
                    <w:szCs w:val="20"/>
                  </w:rPr>
                </m:ctrlPr>
              </m:sSubPr>
              <m:e>
                <m:r>
                  <w:rPr>
                    <w:rFonts w:ascii="Cambria Math" w:hAnsi="Cambria Math" w:cs="Times New Roman"/>
                    <w:sz w:val="22"/>
                    <w:szCs w:val="20"/>
                  </w:rPr>
                  <m:t>T</m:t>
                </m:r>
              </m:e>
              <m:sub>
                <m:r>
                  <w:rPr>
                    <w:rFonts w:ascii="Cambria Math" w:hAnsi="Cambria Math" w:cs="Times New Roman"/>
                    <w:sz w:val="22"/>
                    <w:szCs w:val="20"/>
                  </w:rPr>
                  <m:t>VOC</m:t>
                </m:r>
                <m:r>
                  <m:rPr>
                    <m:sty m:val="p"/>
                  </m:rPr>
                  <w:rPr>
                    <w:rFonts w:ascii="Cambria Math" w:hAnsi="Cambria Math" w:cs="Times New Roman"/>
                    <w:sz w:val="22"/>
                    <w:szCs w:val="20"/>
                  </w:rPr>
                  <m:t>·</m:t>
                </m:r>
                <m:sSup>
                  <m:sSupPr>
                    <m:ctrlPr>
                      <w:rPr>
                        <w:rFonts w:ascii="Cambria Math" w:hAnsi="Cambria Math" w:cs="Times New Roman"/>
                        <w:sz w:val="22"/>
                        <w:szCs w:val="20"/>
                      </w:rPr>
                    </m:ctrlPr>
                  </m:sSupPr>
                  <m:e>
                    <m:r>
                      <w:rPr>
                        <w:rFonts w:ascii="Cambria Math" w:hAnsi="Cambria Math" w:cs="Times New Roman"/>
                        <w:sz w:val="22"/>
                        <w:szCs w:val="20"/>
                      </w:rPr>
                      <m:t>H</m:t>
                    </m:r>
                  </m:e>
                  <m:sup>
                    <m:r>
                      <m:rPr>
                        <m:sty m:val="p"/>
                      </m:rPr>
                      <w:rPr>
                        <w:rFonts w:ascii="Cambria Math" w:hAnsi="Cambria Math" w:cs="Times New Roman"/>
                        <w:sz w:val="22"/>
                        <w:szCs w:val="20"/>
                      </w:rPr>
                      <m:t>+</m:t>
                    </m:r>
                  </m:sup>
                </m:sSup>
              </m:sub>
            </m:sSub>
          </m:num>
          <m:den>
            <m:sSub>
              <m:sSubPr>
                <m:ctrlPr>
                  <w:rPr>
                    <w:rFonts w:ascii="Cambria Math" w:hAnsi="Cambria Math" w:cs="Times New Roman"/>
                    <w:sz w:val="22"/>
                    <w:szCs w:val="20"/>
                  </w:rPr>
                </m:ctrlPr>
              </m:sSubPr>
              <m:e>
                <m:r>
                  <w:rPr>
                    <w:rFonts w:ascii="Cambria Math" w:hAnsi="Cambria Math" w:cs="Times New Roman"/>
                    <w:sz w:val="22"/>
                    <w:szCs w:val="20"/>
                  </w:rPr>
                  <m:t>T</m:t>
                </m:r>
              </m:e>
              <m:sub>
                <m:sSub>
                  <m:sSubPr>
                    <m:ctrlPr>
                      <w:rPr>
                        <w:rFonts w:ascii="Cambria Math" w:hAnsi="Cambria Math" w:cs="Times New Roman"/>
                        <w:sz w:val="22"/>
                        <w:szCs w:val="20"/>
                      </w:rPr>
                    </m:ctrlPr>
                  </m:sSubPr>
                  <m:e>
                    <m:r>
                      <w:rPr>
                        <w:rFonts w:ascii="Cambria Math" w:hAnsi="Cambria Math" w:cs="Times New Roman"/>
                        <w:sz w:val="22"/>
                        <w:szCs w:val="20"/>
                      </w:rPr>
                      <m:t>H</m:t>
                    </m:r>
                  </m:e>
                  <m:sub>
                    <m:r>
                      <m:rPr>
                        <m:sty m:val="p"/>
                      </m:rPr>
                      <w:rPr>
                        <w:rFonts w:ascii="Cambria Math" w:hAnsi="Cambria Math" w:cs="Times New Roman"/>
                        <w:sz w:val="22"/>
                        <w:szCs w:val="20"/>
                      </w:rPr>
                      <m:t>3</m:t>
                    </m:r>
                  </m:sub>
                </m:sSub>
                <m:sSup>
                  <m:sSupPr>
                    <m:ctrlPr>
                      <w:rPr>
                        <w:rFonts w:ascii="Cambria Math" w:hAnsi="Cambria Math" w:cs="Times New Roman"/>
                        <w:sz w:val="22"/>
                        <w:szCs w:val="20"/>
                      </w:rPr>
                    </m:ctrlPr>
                  </m:sSupPr>
                  <m:e>
                    <m:r>
                      <w:rPr>
                        <w:rFonts w:ascii="Cambria Math" w:hAnsi="Cambria Math" w:cs="Times New Roman"/>
                        <w:sz w:val="22"/>
                        <w:szCs w:val="20"/>
                      </w:rPr>
                      <m:t>O</m:t>
                    </m:r>
                  </m:e>
                  <m:sup>
                    <m:r>
                      <m:rPr>
                        <m:sty m:val="p"/>
                      </m:rPr>
                      <w:rPr>
                        <w:rFonts w:ascii="Cambria Math" w:hAnsi="Cambria Math" w:cs="Times New Roman"/>
                        <w:sz w:val="22"/>
                        <w:szCs w:val="20"/>
                      </w:rPr>
                      <m:t>+</m:t>
                    </m:r>
                  </m:sup>
                </m:sSup>
              </m:sub>
            </m:sSub>
          </m:den>
        </m:f>
        <m:r>
          <m:rPr>
            <m:sty m:val="p"/>
          </m:rPr>
          <w:rPr>
            <w:rFonts w:ascii="Cambria Math" w:hAnsi="Cambria Math" w:cs="Times New Roman"/>
            <w:sz w:val="22"/>
            <w:szCs w:val="20"/>
          </w:rPr>
          <m:t xml:space="preserve"> × </m:t>
        </m:r>
        <m:f>
          <m:fPr>
            <m:ctrlPr>
              <w:rPr>
                <w:rFonts w:ascii="Cambria Math" w:hAnsi="Cambria Math" w:cs="Times New Roman"/>
                <w:sz w:val="22"/>
                <w:szCs w:val="20"/>
              </w:rPr>
            </m:ctrlPr>
          </m:fPr>
          <m:num>
            <m:sSub>
              <m:sSubPr>
                <m:ctrlPr>
                  <w:rPr>
                    <w:rFonts w:ascii="Cambria Math" w:hAnsi="Cambria Math" w:cs="Times New Roman"/>
                    <w:sz w:val="22"/>
                    <w:szCs w:val="20"/>
                  </w:rPr>
                </m:ctrlPr>
              </m:sSubPr>
              <m:e>
                <m:r>
                  <w:rPr>
                    <w:rFonts w:ascii="Cambria Math" w:hAnsi="Cambria Math" w:cs="Times New Roman"/>
                    <w:sz w:val="22"/>
                    <w:szCs w:val="20"/>
                  </w:rPr>
                  <m:t>F</m:t>
                </m:r>
              </m:e>
              <m:sub>
                <m:r>
                  <w:rPr>
                    <w:rFonts w:ascii="Cambria Math" w:hAnsi="Cambria Math" w:cs="Times New Roman"/>
                    <w:sz w:val="22"/>
                    <w:szCs w:val="20"/>
                  </w:rPr>
                  <m:t>VOC</m:t>
                </m:r>
                <m:r>
                  <m:rPr>
                    <m:sty m:val="p"/>
                  </m:rPr>
                  <w:rPr>
                    <w:rFonts w:ascii="Cambria Math" w:hAnsi="Cambria Math" w:cs="Times New Roman"/>
                    <w:sz w:val="22"/>
                    <w:szCs w:val="20"/>
                  </w:rPr>
                  <m:t>·</m:t>
                </m:r>
                <m:sSup>
                  <m:sSupPr>
                    <m:ctrlPr>
                      <w:rPr>
                        <w:rFonts w:ascii="Cambria Math" w:hAnsi="Cambria Math" w:cs="Times New Roman"/>
                        <w:sz w:val="22"/>
                        <w:szCs w:val="20"/>
                      </w:rPr>
                    </m:ctrlPr>
                  </m:sSupPr>
                  <m:e>
                    <m:r>
                      <w:rPr>
                        <w:rFonts w:ascii="Cambria Math" w:hAnsi="Cambria Math" w:cs="Times New Roman"/>
                        <w:sz w:val="22"/>
                        <w:szCs w:val="20"/>
                      </w:rPr>
                      <m:t>H</m:t>
                    </m:r>
                  </m:e>
                  <m:sup>
                    <m:r>
                      <m:rPr>
                        <m:sty m:val="p"/>
                      </m:rPr>
                      <w:rPr>
                        <w:rFonts w:ascii="Cambria Math" w:hAnsi="Cambria Math" w:cs="Times New Roman"/>
                        <w:sz w:val="22"/>
                        <w:szCs w:val="20"/>
                      </w:rPr>
                      <m:t>+</m:t>
                    </m:r>
                  </m:sup>
                </m:sSup>
              </m:sub>
            </m:sSub>
            <m:r>
              <m:rPr>
                <m:sty m:val="p"/>
              </m:rPr>
              <w:rPr>
                <w:rFonts w:ascii="Cambria Math" w:hAnsi="Cambria Math" w:cs="Times New Roman"/>
                <w:sz w:val="22"/>
                <w:szCs w:val="20"/>
              </w:rPr>
              <m:t xml:space="preserve"> [%]</m:t>
            </m:r>
          </m:num>
          <m:den>
            <m:r>
              <m:rPr>
                <m:sty m:val="p"/>
              </m:rPr>
              <w:rPr>
                <w:rFonts w:ascii="Cambria Math" w:hAnsi="Cambria Math" w:cs="Times New Roman"/>
                <w:sz w:val="22"/>
                <w:szCs w:val="20"/>
              </w:rPr>
              <m:t>100</m:t>
            </m:r>
          </m:den>
        </m:f>
        <m:r>
          <m:rPr>
            <m:sty m:val="p"/>
          </m:rPr>
          <w:rPr>
            <w:rFonts w:ascii="Cambria Math" w:hAnsi="Cambria Math" w:cs="Times New Roman"/>
            <w:sz w:val="22"/>
            <w:szCs w:val="20"/>
          </w:rPr>
          <m:t xml:space="preserve"> ×</m:t>
        </m:r>
        <m:r>
          <w:rPr>
            <w:rFonts w:ascii="Cambria Math" w:hAnsi="Cambria Math" w:cs="Times New Roman"/>
            <w:sz w:val="22"/>
            <w:szCs w:val="20"/>
          </w:rPr>
          <m:t>a</m:t>
        </m:r>
        <m:r>
          <m:rPr>
            <m:sty m:val="p"/>
          </m:rPr>
          <w:rPr>
            <w:rFonts w:ascii="Cambria Math" w:hAnsi="Cambria Math" w:cs="Times New Roman"/>
            <w:sz w:val="22"/>
            <w:szCs w:val="20"/>
          </w:rPr>
          <m:t>×</m:t>
        </m:r>
        <m:sSub>
          <m:sSubPr>
            <m:ctrlPr>
              <w:rPr>
                <w:rFonts w:ascii="Cambria Math" w:hAnsi="Cambria Math" w:cs="Times New Roman"/>
                <w:sz w:val="22"/>
                <w:szCs w:val="20"/>
              </w:rPr>
            </m:ctrlPr>
          </m:sSubPr>
          <m:e>
            <m:r>
              <w:rPr>
                <w:rFonts w:ascii="Cambria Math" w:hAnsi="Cambria Math" w:cs="Times New Roman"/>
                <w:sz w:val="22"/>
                <w:szCs w:val="20"/>
              </w:rPr>
              <m:t>k</m:t>
            </m:r>
          </m:e>
          <m:sub>
            <m:r>
              <w:rPr>
                <w:rFonts w:ascii="Cambria Math" w:hAnsi="Cambria Math" w:cs="Times New Roman"/>
                <w:sz w:val="22"/>
                <w:szCs w:val="20"/>
              </w:rPr>
              <m:t>kinetic</m:t>
            </m:r>
          </m:sub>
        </m:sSub>
        <m:r>
          <w:rPr>
            <w:rFonts w:ascii="Cambria Math" w:hAnsi="Cambria Math" w:cs="Times New Roman"/>
            <w:sz w:val="22"/>
            <w:szCs w:val="20"/>
          </w:rPr>
          <m:t xml:space="preserve">     </m:t>
        </m:r>
      </m:oMath>
      <w:r w:rsidRPr="005870E8">
        <w:rPr>
          <w:rFonts w:cs="Times New Roman"/>
          <w:sz w:val="22"/>
          <w:szCs w:val="20"/>
        </w:rPr>
        <w:tab/>
      </w:r>
      <w:r w:rsidRPr="005870E8">
        <w:rPr>
          <w:rFonts w:cs="Times New Roman"/>
          <w:sz w:val="22"/>
          <w:szCs w:val="20"/>
        </w:rPr>
        <w:tab/>
      </w:r>
      <w:r w:rsidRPr="005870E8">
        <w:rPr>
          <w:rFonts w:cs="Times New Roman"/>
          <w:sz w:val="22"/>
          <w:szCs w:val="20"/>
        </w:rPr>
        <w:tab/>
      </w:r>
      <w:r w:rsidRPr="005870E8">
        <w:rPr>
          <w:rFonts w:cs="Times New Roman"/>
          <w:sz w:val="22"/>
          <w:szCs w:val="20"/>
        </w:rPr>
        <w:tab/>
        <w:t>[S1.3]</w:t>
      </w:r>
    </w:p>
    <w:p w14:paraId="0B6770E5" w14:textId="77777777" w:rsidR="005870E8" w:rsidRPr="005870E8" w:rsidRDefault="005870E8" w:rsidP="002B7949">
      <w:pPr>
        <w:spacing w:after="120" w:line="276" w:lineRule="auto"/>
        <w:rPr>
          <w:rFonts w:cs="Times New Roman"/>
          <w:sz w:val="22"/>
          <w:szCs w:val="20"/>
        </w:rPr>
      </w:pPr>
      <w:r w:rsidRPr="005870E8">
        <w:rPr>
          <w:rFonts w:cs="Times New Roman"/>
          <w:sz w:val="22"/>
          <w:szCs w:val="20"/>
        </w:rPr>
        <w:t>Where the theoretical sensitivity (</w:t>
      </w:r>
      <m:oMath>
        <m:r>
          <w:rPr>
            <w:rFonts w:ascii="Cambria Math" w:hAnsi="Cambria Math" w:cs="Times New Roman"/>
            <w:sz w:val="22"/>
            <w:szCs w:val="20"/>
          </w:rPr>
          <m:t>Sen</m:t>
        </m:r>
        <m:sSub>
          <m:sSubPr>
            <m:ctrlPr>
              <w:rPr>
                <w:rFonts w:ascii="Cambria Math" w:hAnsi="Cambria Math" w:cs="Times New Roman"/>
                <w:i/>
                <w:sz w:val="22"/>
                <w:szCs w:val="20"/>
              </w:rPr>
            </m:ctrlPr>
          </m:sSubPr>
          <m:e>
            <m:r>
              <w:rPr>
                <w:rFonts w:ascii="Cambria Math" w:hAnsi="Cambria Math" w:cs="Times New Roman"/>
                <w:sz w:val="22"/>
                <w:szCs w:val="20"/>
              </w:rPr>
              <m:t>s</m:t>
            </m:r>
          </m:e>
          <m:sub>
            <m:r>
              <w:rPr>
                <w:rFonts w:ascii="Cambria Math" w:hAnsi="Cambria Math" w:cs="Times New Roman"/>
                <w:sz w:val="22"/>
                <w:szCs w:val="20"/>
              </w:rPr>
              <m:t>theo.</m:t>
            </m:r>
          </m:sub>
        </m:sSub>
        <m:d>
          <m:dPr>
            <m:begChr m:val="["/>
            <m:endChr m:val="]"/>
            <m:ctrlPr>
              <w:rPr>
                <w:rFonts w:ascii="Cambria Math" w:hAnsi="Cambria Math" w:cs="Times New Roman"/>
                <w:i/>
                <w:sz w:val="22"/>
                <w:szCs w:val="20"/>
              </w:rPr>
            </m:ctrlPr>
          </m:dPr>
          <m:e>
            <m:f>
              <m:fPr>
                <m:ctrlPr>
                  <w:rPr>
                    <w:rFonts w:ascii="Cambria Math" w:hAnsi="Cambria Math" w:cs="Times New Roman"/>
                    <w:i/>
                    <w:sz w:val="22"/>
                    <w:szCs w:val="20"/>
                  </w:rPr>
                </m:ctrlPr>
              </m:fPr>
              <m:num>
                <m:r>
                  <w:rPr>
                    <w:rFonts w:ascii="Cambria Math" w:hAnsi="Cambria Math" w:cs="Times New Roman"/>
                    <w:sz w:val="22"/>
                    <w:szCs w:val="20"/>
                  </w:rPr>
                  <m:t>ncps</m:t>
                </m:r>
              </m:num>
              <m:den>
                <m:r>
                  <w:rPr>
                    <w:rFonts w:ascii="Cambria Math" w:hAnsi="Cambria Math" w:cs="Times New Roman"/>
                    <w:sz w:val="22"/>
                    <w:szCs w:val="20"/>
                  </w:rPr>
                  <m:t>ppbv</m:t>
                </m:r>
              </m:den>
            </m:f>
          </m:e>
        </m:d>
      </m:oMath>
      <w:r w:rsidRPr="005870E8">
        <w:rPr>
          <w:rFonts w:cs="Times New Roman"/>
          <w:sz w:val="22"/>
          <w:szCs w:val="20"/>
        </w:rPr>
        <w:t xml:space="preserve">) is the product of the transmission efficiency of the VOC species ( </w:t>
      </w:r>
      <m:oMath>
        <m:f>
          <m:fPr>
            <m:ctrlPr>
              <w:rPr>
                <w:rFonts w:ascii="Cambria Math" w:hAnsi="Cambria Math" w:cs="Times New Roman"/>
                <w:i/>
                <w:sz w:val="22"/>
                <w:szCs w:val="20"/>
              </w:rPr>
            </m:ctrlPr>
          </m:fPr>
          <m:num>
            <m:sSub>
              <m:sSubPr>
                <m:ctrlPr>
                  <w:rPr>
                    <w:rFonts w:ascii="Cambria Math" w:hAnsi="Cambria Math" w:cs="Times New Roman"/>
                    <w:i/>
                    <w:sz w:val="22"/>
                    <w:szCs w:val="20"/>
                  </w:rPr>
                </m:ctrlPr>
              </m:sSubPr>
              <m:e>
                <m:r>
                  <w:rPr>
                    <w:rFonts w:ascii="Cambria Math" w:hAnsi="Cambria Math" w:cs="Times New Roman"/>
                    <w:sz w:val="22"/>
                    <w:szCs w:val="20"/>
                  </w:rPr>
                  <m:t>T</m:t>
                </m:r>
              </m:e>
              <m:sub>
                <m:r>
                  <w:rPr>
                    <w:rFonts w:ascii="Cambria Math" w:hAnsi="Cambria Math" w:cs="Times New Roman"/>
                    <w:sz w:val="22"/>
                    <w:szCs w:val="20"/>
                  </w:rPr>
                  <m:t>VOC·</m:t>
                </m:r>
                <m:sSup>
                  <m:sSupPr>
                    <m:ctrlPr>
                      <w:rPr>
                        <w:rFonts w:ascii="Cambria Math" w:hAnsi="Cambria Math" w:cs="Times New Roman"/>
                        <w:i/>
                        <w:sz w:val="22"/>
                        <w:szCs w:val="20"/>
                      </w:rPr>
                    </m:ctrlPr>
                  </m:sSupPr>
                  <m:e>
                    <m:r>
                      <w:rPr>
                        <w:rFonts w:ascii="Cambria Math" w:hAnsi="Cambria Math" w:cs="Times New Roman"/>
                        <w:sz w:val="22"/>
                        <w:szCs w:val="20"/>
                      </w:rPr>
                      <m:t>H</m:t>
                    </m:r>
                  </m:e>
                  <m:sup>
                    <m:r>
                      <w:rPr>
                        <w:rFonts w:ascii="Cambria Math" w:hAnsi="Cambria Math" w:cs="Times New Roman"/>
                        <w:sz w:val="22"/>
                        <w:szCs w:val="20"/>
                      </w:rPr>
                      <m:t>+</m:t>
                    </m:r>
                  </m:sup>
                </m:sSup>
              </m:sub>
            </m:sSub>
          </m:num>
          <m:den>
            <m:sSub>
              <m:sSubPr>
                <m:ctrlPr>
                  <w:rPr>
                    <w:rFonts w:ascii="Cambria Math" w:hAnsi="Cambria Math" w:cs="Times New Roman"/>
                    <w:i/>
                    <w:sz w:val="22"/>
                    <w:szCs w:val="20"/>
                  </w:rPr>
                </m:ctrlPr>
              </m:sSubPr>
              <m:e>
                <m:r>
                  <w:rPr>
                    <w:rFonts w:ascii="Cambria Math" w:hAnsi="Cambria Math" w:cs="Times New Roman"/>
                    <w:sz w:val="22"/>
                    <w:szCs w:val="20"/>
                  </w:rPr>
                  <m:t>T</m:t>
                </m:r>
              </m:e>
              <m:sub>
                <m:sSub>
                  <m:sSubPr>
                    <m:ctrlPr>
                      <w:rPr>
                        <w:rFonts w:ascii="Cambria Math" w:hAnsi="Cambria Math" w:cs="Times New Roman"/>
                        <w:i/>
                        <w:sz w:val="22"/>
                        <w:szCs w:val="20"/>
                      </w:rPr>
                    </m:ctrlPr>
                  </m:sSubPr>
                  <m:e>
                    <m:r>
                      <w:rPr>
                        <w:rFonts w:ascii="Cambria Math" w:hAnsi="Cambria Math" w:cs="Times New Roman"/>
                        <w:sz w:val="22"/>
                        <w:szCs w:val="20"/>
                      </w:rPr>
                      <m:t>H</m:t>
                    </m:r>
                  </m:e>
                  <m:sub>
                    <m:r>
                      <w:rPr>
                        <w:rFonts w:ascii="Cambria Math" w:hAnsi="Cambria Math" w:cs="Times New Roman"/>
                        <w:sz w:val="22"/>
                        <w:szCs w:val="20"/>
                      </w:rPr>
                      <m:t>3</m:t>
                    </m:r>
                  </m:sub>
                </m:sSub>
                <m:sSup>
                  <m:sSupPr>
                    <m:ctrlPr>
                      <w:rPr>
                        <w:rFonts w:ascii="Cambria Math" w:hAnsi="Cambria Math" w:cs="Times New Roman"/>
                        <w:i/>
                        <w:sz w:val="22"/>
                        <w:szCs w:val="20"/>
                      </w:rPr>
                    </m:ctrlPr>
                  </m:sSupPr>
                  <m:e>
                    <m:r>
                      <w:rPr>
                        <w:rFonts w:ascii="Cambria Math" w:hAnsi="Cambria Math" w:cs="Times New Roman"/>
                        <w:sz w:val="22"/>
                        <w:szCs w:val="20"/>
                      </w:rPr>
                      <m:t>O</m:t>
                    </m:r>
                  </m:e>
                  <m:sup>
                    <m:r>
                      <w:rPr>
                        <w:rFonts w:ascii="Cambria Math" w:hAnsi="Cambria Math" w:cs="Times New Roman"/>
                        <w:sz w:val="22"/>
                        <w:szCs w:val="20"/>
                      </w:rPr>
                      <m:t>+</m:t>
                    </m:r>
                  </m:sup>
                </m:sSup>
              </m:sub>
            </m:sSub>
          </m:den>
        </m:f>
      </m:oMath>
      <w:r w:rsidRPr="005870E8">
        <w:rPr>
          <w:rFonts w:cs="Times New Roman"/>
          <w:sz w:val="22"/>
          <w:szCs w:val="20"/>
        </w:rPr>
        <w:t xml:space="preserve">), fraction of ion at measured m/z ( </w:t>
      </w:r>
      <m:oMath>
        <m:f>
          <m:fPr>
            <m:ctrlPr>
              <w:rPr>
                <w:rFonts w:ascii="Cambria Math" w:hAnsi="Cambria Math" w:cs="Times New Roman"/>
                <w:i/>
                <w:sz w:val="22"/>
                <w:szCs w:val="20"/>
              </w:rPr>
            </m:ctrlPr>
          </m:fPr>
          <m:num>
            <m:sSub>
              <m:sSubPr>
                <m:ctrlPr>
                  <w:rPr>
                    <w:rFonts w:ascii="Cambria Math" w:hAnsi="Cambria Math" w:cs="Times New Roman"/>
                    <w:i/>
                    <w:sz w:val="22"/>
                    <w:szCs w:val="20"/>
                  </w:rPr>
                </m:ctrlPr>
              </m:sSubPr>
              <m:e>
                <m:r>
                  <w:rPr>
                    <w:rFonts w:ascii="Cambria Math" w:hAnsi="Cambria Math" w:cs="Times New Roman"/>
                    <w:sz w:val="22"/>
                    <w:szCs w:val="20"/>
                  </w:rPr>
                  <m:t>F</m:t>
                </m:r>
              </m:e>
              <m:sub>
                <m:r>
                  <w:rPr>
                    <w:rFonts w:ascii="Cambria Math" w:hAnsi="Cambria Math" w:cs="Times New Roman"/>
                    <w:sz w:val="22"/>
                    <w:szCs w:val="20"/>
                  </w:rPr>
                  <m:t>VOC·</m:t>
                </m:r>
                <m:sSup>
                  <m:sSupPr>
                    <m:ctrlPr>
                      <w:rPr>
                        <w:rFonts w:ascii="Cambria Math" w:hAnsi="Cambria Math" w:cs="Times New Roman"/>
                        <w:i/>
                        <w:sz w:val="22"/>
                        <w:szCs w:val="20"/>
                      </w:rPr>
                    </m:ctrlPr>
                  </m:sSupPr>
                  <m:e>
                    <m:r>
                      <w:rPr>
                        <w:rFonts w:ascii="Cambria Math" w:hAnsi="Cambria Math" w:cs="Times New Roman"/>
                        <w:sz w:val="22"/>
                        <w:szCs w:val="20"/>
                      </w:rPr>
                      <m:t>H</m:t>
                    </m:r>
                  </m:e>
                  <m:sup>
                    <m:r>
                      <w:rPr>
                        <w:rFonts w:ascii="Cambria Math" w:hAnsi="Cambria Math" w:cs="Times New Roman"/>
                        <w:sz w:val="22"/>
                        <w:szCs w:val="20"/>
                      </w:rPr>
                      <m:t>+</m:t>
                    </m:r>
                  </m:sup>
                </m:sSup>
              </m:sub>
            </m:sSub>
            <m:r>
              <w:rPr>
                <w:rFonts w:ascii="Cambria Math" w:hAnsi="Cambria Math" w:cs="Times New Roman"/>
                <w:sz w:val="22"/>
                <w:szCs w:val="20"/>
              </w:rPr>
              <m:t xml:space="preserve"> [%]</m:t>
            </m:r>
          </m:num>
          <m:den>
            <m:r>
              <w:rPr>
                <w:rFonts w:ascii="Cambria Math" w:hAnsi="Cambria Math" w:cs="Times New Roman"/>
                <w:sz w:val="22"/>
                <w:szCs w:val="20"/>
              </w:rPr>
              <m:t>100</m:t>
            </m:r>
          </m:den>
        </m:f>
      </m:oMath>
      <w:r w:rsidRPr="005870E8">
        <w:rPr>
          <w:rFonts w:cs="Times New Roman"/>
          <w:sz w:val="22"/>
          <w:szCs w:val="20"/>
        </w:rPr>
        <w:t>), correlation slope (</w:t>
      </w:r>
      <m:oMath>
        <m:r>
          <w:rPr>
            <w:rFonts w:ascii="Cambria Math" w:hAnsi="Cambria Math" w:cs="Times New Roman"/>
            <w:sz w:val="22"/>
            <w:szCs w:val="20"/>
          </w:rPr>
          <m:t>a=17.92</m:t>
        </m:r>
      </m:oMath>
      <w:r w:rsidRPr="005870E8">
        <w:rPr>
          <w:rFonts w:cs="Times New Roman"/>
          <w:sz w:val="22"/>
          <w:szCs w:val="20"/>
        </w:rPr>
        <w:t>) and kinetic reaction rate constant (</w:t>
      </w:r>
      <m:oMath>
        <m:sSub>
          <m:sSubPr>
            <m:ctrlPr>
              <w:rPr>
                <w:rFonts w:ascii="Cambria Math" w:hAnsi="Cambria Math" w:cs="Times New Roman"/>
                <w:i/>
                <w:sz w:val="22"/>
                <w:szCs w:val="20"/>
              </w:rPr>
            </m:ctrlPr>
          </m:sSubPr>
          <m:e>
            <m:r>
              <w:rPr>
                <w:rFonts w:ascii="Cambria Math" w:hAnsi="Cambria Math" w:cs="Times New Roman"/>
                <w:sz w:val="22"/>
                <w:szCs w:val="20"/>
              </w:rPr>
              <m:t>k</m:t>
            </m:r>
          </m:e>
          <m:sub>
            <m:r>
              <w:rPr>
                <w:rFonts w:ascii="Cambria Math" w:hAnsi="Cambria Math" w:cs="Times New Roman"/>
                <w:sz w:val="22"/>
                <w:szCs w:val="20"/>
              </w:rPr>
              <m:t>kinetic</m:t>
            </m:r>
          </m:sub>
        </m:sSub>
      </m:oMath>
      <w:r w:rsidRPr="005870E8">
        <w:rPr>
          <w:rFonts w:cs="Times New Roman"/>
          <w:sz w:val="22"/>
          <w:szCs w:val="20"/>
        </w:rPr>
        <w:t>). From there, we convert our instrument data in ncps to ppbv for each individual species, then from ppbv to ppbC based on the number of C atoms each species has. This value is our best estimate of how sensitive the PTR is to each species, taking into account fraction of parent ion at this mass (i.e., fragmentation) and transmission of the instrument under these specific settings. Calculated sensitivities that are used to derive concentration data are listed in Table S2.</w:t>
      </w:r>
    </w:p>
    <w:p w14:paraId="1A62C4B4" w14:textId="77777777" w:rsidR="005870E8" w:rsidRPr="005870E8" w:rsidRDefault="005870E8" w:rsidP="002B7949">
      <w:pPr>
        <w:spacing w:after="120" w:line="276" w:lineRule="auto"/>
        <w:rPr>
          <w:rFonts w:cs="Times New Roman"/>
          <w:sz w:val="22"/>
          <w:szCs w:val="20"/>
        </w:rPr>
      </w:pPr>
      <w:r w:rsidRPr="005870E8">
        <w:rPr>
          <w:rFonts w:cs="Times New Roman"/>
          <w:sz w:val="22"/>
          <w:szCs w:val="20"/>
        </w:rPr>
        <w:t xml:space="preserve">We also correct for baseline shifts in our data. For species in the calibration standards, the y-intercept on the ncps-ppbv regression from the calibration is used for this baseline correction. For other species calculated using the theoretical method, we use instrument readings at the corresponding m/z peak during our “zero” points in calibration, averaged to generate baseline values for each species. The baseline correction values are subtracted from signals for the entire dataset.    </w:t>
      </w:r>
    </w:p>
    <w:p w14:paraId="5A20FA1E" w14:textId="77777777" w:rsidR="005870E8" w:rsidRPr="005870E8" w:rsidRDefault="005870E8" w:rsidP="002B7949">
      <w:pPr>
        <w:spacing w:after="120" w:line="276" w:lineRule="auto"/>
        <w:rPr>
          <w:rFonts w:cs="Times New Roman"/>
          <w:sz w:val="22"/>
          <w:szCs w:val="20"/>
        </w:rPr>
      </w:pPr>
      <w:r w:rsidRPr="005870E8">
        <w:rPr>
          <w:rFonts w:cs="Times New Roman"/>
          <w:sz w:val="22"/>
          <w:szCs w:val="20"/>
        </w:rPr>
        <w:t>In addition, certain species are known to deviate from the calculated slope by a large margin using this method. In particular, ethanol is expected to have a much lower actual sensitivity than its calculated theoretical values. We attempt to correct for this known overestimation of ethanol sensitivity by applying an arbitrary scaling factor of 0.33 to the calculated theoretical sensitivity. However, such factor is a conservative estimate, and may not be sufficient to correct for this overestimation of sensitivity, especially when considering the specific conditions of our dataset (e.g., temperature and humidity, instrument setups). As a result, we expect the concentration of ethanol to be underestimated in our actual dataset and its uncertainty would be larger than most other species. This would affect the fraction of ethanol in each factor, but its fingerprint and temporal patterns are unaffected. Therefore, we still find that our NNMF is representative of the source estimates of ethanol and other species.</w:t>
      </w:r>
    </w:p>
    <w:p w14:paraId="3E282ABD" w14:textId="77777777" w:rsidR="005870E8" w:rsidRPr="005870E8" w:rsidRDefault="005870E8" w:rsidP="0062420D">
      <w:pPr>
        <w:rPr>
          <w:rFonts w:cs="Times New Roman"/>
          <w:sz w:val="22"/>
          <w:szCs w:val="20"/>
        </w:rPr>
      </w:pPr>
    </w:p>
    <w:p w14:paraId="25FC6655" w14:textId="77777777" w:rsidR="005870E8" w:rsidRPr="005870E8" w:rsidRDefault="005870E8" w:rsidP="0062420D">
      <w:pPr>
        <w:rPr>
          <w:rFonts w:cs="Times New Roman"/>
          <w:sz w:val="22"/>
          <w:szCs w:val="20"/>
        </w:rPr>
        <w:sectPr w:rsidR="005870E8" w:rsidRPr="005870E8" w:rsidSect="00970931">
          <w:pgSz w:w="12240" w:h="15840"/>
          <w:pgMar w:top="1440" w:right="1440" w:bottom="1440" w:left="1440" w:header="720" w:footer="720" w:gutter="0"/>
          <w:cols w:space="720"/>
          <w:docGrid w:linePitch="360"/>
        </w:sectPr>
      </w:pPr>
    </w:p>
    <w:p w14:paraId="5EEEA444" w14:textId="77777777" w:rsidR="005870E8" w:rsidRPr="005870E8" w:rsidRDefault="005870E8" w:rsidP="007A7C97">
      <w:pPr>
        <w:pStyle w:val="Heading1"/>
        <w:rPr>
          <w:rFonts w:cs="Times New Roman"/>
          <w:sz w:val="22"/>
          <w:szCs w:val="28"/>
        </w:rPr>
      </w:pPr>
      <w:r w:rsidRPr="005870E8">
        <w:rPr>
          <w:rFonts w:cs="Times New Roman"/>
          <w:sz w:val="22"/>
          <w:szCs w:val="28"/>
        </w:rPr>
        <w:lastRenderedPageBreak/>
        <w:t>S2. Supplemental information on NNMF analysis</w:t>
      </w:r>
    </w:p>
    <w:p w14:paraId="0420B94C" w14:textId="77777777" w:rsidR="005870E8" w:rsidRPr="005870E8" w:rsidRDefault="005870E8" w:rsidP="00C730AB">
      <w:pPr>
        <w:rPr>
          <w:rFonts w:cs="Times New Roman"/>
          <w:sz w:val="22"/>
          <w:szCs w:val="20"/>
          <w:u w:val="single"/>
        </w:rPr>
      </w:pPr>
      <w:r w:rsidRPr="005870E8">
        <w:rPr>
          <w:rFonts w:cs="Times New Roman"/>
          <w:noProof/>
          <w:sz w:val="22"/>
          <w:szCs w:val="20"/>
        </w:rPr>
        <mc:AlternateContent>
          <mc:Choice Requires="wps">
            <w:drawing>
              <wp:anchor distT="45720" distB="45720" distL="114300" distR="114300" simplePos="0" relativeHeight="251660288" behindDoc="0" locked="0" layoutInCell="1" allowOverlap="1" wp14:anchorId="75CD525B" wp14:editId="43E0C721">
                <wp:simplePos x="0" y="0"/>
                <wp:positionH relativeFrom="column">
                  <wp:posOffset>501015</wp:posOffset>
                </wp:positionH>
                <wp:positionV relativeFrom="paragraph">
                  <wp:posOffset>5740400</wp:posOffset>
                </wp:positionV>
                <wp:extent cx="5597525" cy="714375"/>
                <wp:effectExtent l="0" t="0" r="22225" b="2857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714375"/>
                        </a:xfrm>
                        <a:prstGeom prst="rect">
                          <a:avLst/>
                        </a:prstGeom>
                        <a:solidFill>
                          <a:srgbClr val="FFFFFF"/>
                        </a:solidFill>
                        <a:ln w="9525">
                          <a:solidFill>
                            <a:srgbClr val="000000"/>
                          </a:solidFill>
                          <a:miter lim="800000"/>
                          <a:headEnd/>
                          <a:tailEnd/>
                        </a:ln>
                      </wps:spPr>
                      <wps:txbx>
                        <w:txbxContent>
                          <w:p w14:paraId="63A5BF54" w14:textId="4EEA560D" w:rsidR="005870E8" w:rsidRPr="00A81DD3" w:rsidRDefault="005870E8" w:rsidP="00E86A0E">
                            <w:pPr>
                              <w:spacing w:line="276" w:lineRule="auto"/>
                              <w:rPr>
                                <w:sz w:val="22"/>
                                <w:szCs w:val="20"/>
                              </w:rPr>
                            </w:pPr>
                            <w:r w:rsidRPr="00A81DD3">
                              <w:rPr>
                                <w:sz w:val="22"/>
                                <w:szCs w:val="20"/>
                              </w:rPr>
                              <w:t>Figure S2.1 – Full NNMF factor speciation results, including all 58 species used in the factorization analysis</w:t>
                            </w:r>
                            <w:r w:rsidR="00A81DD3">
                              <w:rPr>
                                <w:sz w:val="22"/>
                                <w:szCs w:val="20"/>
                              </w:rPr>
                              <w:t>. Figure 2 is an abbreviated version of this factor speciation with major contributing species in each factor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D525B" id="Text Box 1" o:spid="_x0000_s1027" type="#_x0000_t202" style="position:absolute;left:0;text-align:left;margin-left:39.45pt;margin-top:452pt;width:440.75pt;height:5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">
                <v:textbox>
                  <w:txbxContent>
                    <w:p w14:paraId="63A5BF54" w14:textId="4EEA560D" w:rsidR="005870E8" w:rsidRPr="00A81DD3" w:rsidRDefault="005870E8" w:rsidP="00E86A0E">
                      <w:pPr>
                        <w:spacing w:line="276" w:lineRule="auto"/>
                        <w:rPr>
                          <w:sz w:val="22"/>
                          <w:szCs w:val="20"/>
                        </w:rPr>
                      </w:pPr>
                      <w:r w:rsidRPr="00A81DD3">
                        <w:rPr>
                          <w:sz w:val="22"/>
                          <w:szCs w:val="20"/>
                        </w:rPr>
                        <w:t>Figure S2.1 – Full NNMF factor speciation results, including all 58 species used in the factorization analysis</w:t>
                      </w:r>
                      <w:r w:rsidR="00A81DD3">
                        <w:rPr>
                          <w:sz w:val="22"/>
                          <w:szCs w:val="20"/>
                        </w:rPr>
                        <w:t>. Figure 2 is an abbreviated version of this factor speciation with major contributing species in each factor shown.</w:t>
                      </w:r>
                    </w:p>
                  </w:txbxContent>
                </v:textbox>
                <w10:wrap type="topAndBottom"/>
              </v:shape>
            </w:pict>
          </mc:Fallback>
        </mc:AlternateContent>
      </w:r>
      <w:r w:rsidRPr="005870E8">
        <w:rPr>
          <w:rFonts w:cs="Times New Roman"/>
          <w:noProof/>
          <w:sz w:val="22"/>
          <w:szCs w:val="20"/>
        </w:rPr>
        <w:drawing>
          <wp:anchor distT="0" distB="0" distL="114300" distR="114300" simplePos="0" relativeHeight="251671552" behindDoc="0" locked="0" layoutInCell="1" allowOverlap="1" wp14:anchorId="280088BF" wp14:editId="378ACDF8">
            <wp:simplePos x="0" y="0"/>
            <wp:positionH relativeFrom="column">
              <wp:posOffset>923152</wp:posOffset>
            </wp:positionH>
            <wp:positionV relativeFrom="paragraph">
              <wp:posOffset>298671</wp:posOffset>
            </wp:positionV>
            <wp:extent cx="4619625" cy="5376545"/>
            <wp:effectExtent l="0" t="0" r="0" b="0"/>
            <wp:wrapTopAndBottom/>
            <wp:docPr id="16" name="Picture 1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9625" cy="5376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0E8">
        <w:rPr>
          <w:rFonts w:cs="Times New Roman"/>
          <w:sz w:val="22"/>
          <w:szCs w:val="20"/>
        </w:rPr>
        <w:t xml:space="preserve"> </w:t>
      </w:r>
      <w:r w:rsidRPr="005870E8">
        <w:rPr>
          <w:rFonts w:cs="Times New Roman"/>
          <w:sz w:val="22"/>
          <w:szCs w:val="20"/>
          <w:u w:val="single"/>
        </w:rPr>
        <w:t>S2.1</w:t>
      </w:r>
      <w:r w:rsidRPr="005870E8">
        <w:rPr>
          <w:rFonts w:cs="Times New Roman"/>
          <w:b/>
          <w:sz w:val="22"/>
          <w:szCs w:val="20"/>
          <w:u w:val="single"/>
        </w:rPr>
        <w:t xml:space="preserve"> </w:t>
      </w:r>
      <w:r w:rsidRPr="005870E8">
        <w:rPr>
          <w:rFonts w:cs="Times New Roman"/>
          <w:sz w:val="22"/>
          <w:szCs w:val="20"/>
          <w:u w:val="single"/>
        </w:rPr>
        <w:t>NNMF results with all species</w:t>
      </w:r>
    </w:p>
    <w:p w14:paraId="76713DFF" w14:textId="77777777" w:rsidR="005870E8" w:rsidRPr="005870E8" w:rsidRDefault="005870E8">
      <w:pPr>
        <w:spacing w:after="160" w:line="259" w:lineRule="auto"/>
        <w:jc w:val="left"/>
        <w:rPr>
          <w:rFonts w:cs="Times New Roman"/>
          <w:sz w:val="22"/>
          <w:szCs w:val="20"/>
        </w:rPr>
      </w:pPr>
      <w:r w:rsidRPr="005870E8">
        <w:rPr>
          <w:rFonts w:cs="Times New Roman"/>
          <w:sz w:val="22"/>
          <w:szCs w:val="20"/>
        </w:rPr>
        <w:br w:type="page"/>
      </w:r>
    </w:p>
    <w:p w14:paraId="716451FA" w14:textId="3FE4C5DA" w:rsidR="005870E8" w:rsidRPr="005870E8" w:rsidRDefault="0037327C" w:rsidP="006A3515">
      <w:pPr>
        <w:spacing w:after="160" w:line="259" w:lineRule="auto"/>
        <w:jc w:val="left"/>
        <w:rPr>
          <w:rFonts w:cs="Times New Roman"/>
          <w:sz w:val="22"/>
          <w:szCs w:val="20"/>
        </w:rPr>
      </w:pPr>
      <w:r>
        <w:rPr>
          <w:rFonts w:cs="Times New Roman"/>
          <w:noProof/>
          <w:sz w:val="22"/>
          <w:szCs w:val="20"/>
        </w:rPr>
        <w:lastRenderedPageBreak/>
        <w:pict w14:anchorId="50ABBDAE">
          <v:shape id="Text Box 5" o:spid="_x0000_s1029" type="#_x0000_t202" style="position:absolute;margin-left:10.2pt;margin-top:180.4pt;width:502.5pt;height:40.5pt;z-index:2516787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">
            <v:textbox style="mso-next-textbox:#Text Box 5">
              <w:txbxContent>
                <w:p w14:paraId="2CCA39CE" w14:textId="4EAC44A5" w:rsidR="005870E8" w:rsidRPr="00A81DD3" w:rsidRDefault="005870E8" w:rsidP="006A3515">
                  <w:pPr>
                    <w:spacing w:line="276" w:lineRule="auto"/>
                    <w:rPr>
                      <w:sz w:val="22"/>
                      <w:szCs w:val="20"/>
                    </w:rPr>
                  </w:pPr>
                  <w:r w:rsidRPr="00A81DD3">
                    <w:rPr>
                      <w:sz w:val="22"/>
                      <w:szCs w:val="20"/>
                    </w:rPr>
                    <w:t xml:space="preserve">Figure S2.2 – </w:t>
                  </w:r>
                  <w:r w:rsidR="00A81DD3">
                    <w:rPr>
                      <w:sz w:val="22"/>
                      <w:szCs w:val="20"/>
                    </w:rPr>
                    <w:t>Time series of VOCs measured by the PTR-ToF-MS in each NNMF factor over the entire 7</w:t>
                  </w:r>
                  <w:r w:rsidR="0037327C">
                    <w:rPr>
                      <w:sz w:val="22"/>
                      <w:szCs w:val="20"/>
                    </w:rPr>
                    <w:t>-</w:t>
                  </w:r>
                  <w:r w:rsidR="00A81DD3">
                    <w:rPr>
                      <w:sz w:val="22"/>
                      <w:szCs w:val="20"/>
                    </w:rPr>
                    <w:t>month span. Figure 4 shows the same time series zoomed into the summer (Jul-Aug) and winter (Nov-Dec) months.</w:t>
                  </w:r>
                </w:p>
              </w:txbxContent>
            </v:textbox>
            <w10:wrap type="topAndBottom"/>
          </v:shape>
        </w:pict>
      </w:r>
      <w:r w:rsidR="005870E8" w:rsidRPr="005870E8">
        <w:rPr>
          <w:rFonts w:cs="Times New Roman"/>
          <w:noProof/>
          <w:sz w:val="22"/>
          <w:szCs w:val="20"/>
        </w:rPr>
        <w:drawing>
          <wp:anchor distT="0" distB="0" distL="114300" distR="114300" simplePos="0" relativeHeight="251666432" behindDoc="0" locked="0" layoutInCell="1" allowOverlap="1" wp14:anchorId="71BCE782" wp14:editId="770A6D9E">
            <wp:simplePos x="0" y="0"/>
            <wp:positionH relativeFrom="column">
              <wp:posOffset>0</wp:posOffset>
            </wp:positionH>
            <wp:positionV relativeFrom="paragraph">
              <wp:posOffset>-3810</wp:posOffset>
            </wp:positionV>
            <wp:extent cx="6583680" cy="2232025"/>
            <wp:effectExtent l="0" t="0" r="0" b="0"/>
            <wp:wrapTopAndBottom/>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83680" cy="2232025"/>
                    </a:xfrm>
                    <a:prstGeom prst="rect">
                      <a:avLst/>
                    </a:prstGeom>
                    <a:noFill/>
                    <a:ln>
                      <a:noFill/>
                    </a:ln>
                  </pic:spPr>
                </pic:pic>
              </a:graphicData>
            </a:graphic>
          </wp:anchor>
        </w:drawing>
      </w:r>
    </w:p>
    <w:p w14:paraId="30A9C4DB" w14:textId="5179920C" w:rsidR="005870E8" w:rsidRPr="005870E8" w:rsidRDefault="005870E8" w:rsidP="006A3515">
      <w:pPr>
        <w:spacing w:after="160" w:line="259" w:lineRule="auto"/>
        <w:jc w:val="left"/>
        <w:rPr>
          <w:rFonts w:cs="Times New Roman"/>
          <w:sz w:val="22"/>
          <w:szCs w:val="20"/>
        </w:rPr>
      </w:pPr>
    </w:p>
    <w:p w14:paraId="7BF1C1B9" w14:textId="77777777" w:rsidR="005870E8" w:rsidRPr="005870E8" w:rsidRDefault="005870E8" w:rsidP="00015CAF">
      <w:pPr>
        <w:spacing w:after="160" w:line="259" w:lineRule="auto"/>
        <w:jc w:val="center"/>
        <w:rPr>
          <w:rFonts w:cs="Times New Roman"/>
          <w:sz w:val="22"/>
          <w:szCs w:val="20"/>
        </w:rPr>
      </w:pPr>
      <w:r w:rsidRPr="005870E8">
        <w:rPr>
          <w:rFonts w:cs="Times New Roman"/>
          <w:sz w:val="22"/>
          <w:szCs w:val="20"/>
        </w:rPr>
        <w:t>Table S1. NNMF Factor Identification</w:t>
      </w:r>
    </w:p>
    <w:tbl>
      <w:tblPr>
        <w:tblStyle w:val="TableGrid"/>
        <w:tblW w:w="103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70"/>
        <w:gridCol w:w="1890"/>
        <w:gridCol w:w="4230"/>
        <w:gridCol w:w="3060"/>
      </w:tblGrid>
      <w:tr w:rsidR="005870E8" w:rsidRPr="005870E8" w14:paraId="0213CFE5" w14:textId="77777777" w:rsidTr="001532F5">
        <w:tc>
          <w:tcPr>
            <w:tcW w:w="1170" w:type="dxa"/>
            <w:vAlign w:val="center"/>
          </w:tcPr>
          <w:p w14:paraId="04A1D0F2" w14:textId="77777777" w:rsidR="005870E8" w:rsidRPr="005870E8" w:rsidRDefault="005870E8" w:rsidP="001532F5">
            <w:pPr>
              <w:spacing w:line="259" w:lineRule="auto"/>
              <w:jc w:val="center"/>
              <w:rPr>
                <w:rFonts w:eastAsia="Times New Roman" w:cs="Times New Roman"/>
                <w:b/>
                <w:color w:val="000000"/>
                <w:sz w:val="22"/>
              </w:rPr>
            </w:pPr>
            <w:r w:rsidRPr="005870E8">
              <w:rPr>
                <w:rFonts w:eastAsia="Times New Roman" w:cs="Times New Roman"/>
                <w:b/>
                <w:color w:val="000000"/>
                <w:sz w:val="22"/>
              </w:rPr>
              <w:t>Factor</w:t>
            </w:r>
          </w:p>
        </w:tc>
        <w:tc>
          <w:tcPr>
            <w:tcW w:w="1890" w:type="dxa"/>
            <w:vAlign w:val="center"/>
          </w:tcPr>
          <w:p w14:paraId="4ED97568" w14:textId="77777777" w:rsidR="005870E8" w:rsidRPr="005870E8" w:rsidRDefault="005870E8" w:rsidP="001532F5">
            <w:pPr>
              <w:spacing w:line="259" w:lineRule="auto"/>
              <w:jc w:val="center"/>
              <w:rPr>
                <w:rFonts w:eastAsia="Times New Roman" w:cs="Times New Roman"/>
                <w:b/>
                <w:color w:val="000000"/>
                <w:sz w:val="22"/>
              </w:rPr>
            </w:pPr>
            <w:r w:rsidRPr="005870E8">
              <w:rPr>
                <w:rFonts w:eastAsia="Times New Roman" w:cs="Times New Roman"/>
                <w:b/>
                <w:color w:val="000000"/>
                <w:sz w:val="22"/>
              </w:rPr>
              <w:t>Source sector</w:t>
            </w:r>
          </w:p>
        </w:tc>
        <w:tc>
          <w:tcPr>
            <w:tcW w:w="4230" w:type="dxa"/>
            <w:vAlign w:val="center"/>
          </w:tcPr>
          <w:p w14:paraId="0779F80B" w14:textId="77777777" w:rsidR="005870E8" w:rsidRPr="005870E8" w:rsidRDefault="005870E8" w:rsidP="001532F5">
            <w:pPr>
              <w:spacing w:line="259" w:lineRule="auto"/>
              <w:jc w:val="center"/>
              <w:rPr>
                <w:rFonts w:eastAsia="Times New Roman" w:cs="Times New Roman"/>
                <w:b/>
                <w:color w:val="000000"/>
                <w:sz w:val="22"/>
              </w:rPr>
            </w:pPr>
            <w:r w:rsidRPr="005870E8">
              <w:rPr>
                <w:rFonts w:eastAsia="Times New Roman" w:cs="Times New Roman"/>
                <w:b/>
                <w:color w:val="000000"/>
                <w:sz w:val="22"/>
              </w:rPr>
              <w:t>Contributing species</w:t>
            </w:r>
          </w:p>
        </w:tc>
        <w:tc>
          <w:tcPr>
            <w:tcW w:w="3060" w:type="dxa"/>
            <w:vAlign w:val="center"/>
          </w:tcPr>
          <w:p w14:paraId="6D2D68A1" w14:textId="77777777" w:rsidR="005870E8" w:rsidRPr="005870E8" w:rsidRDefault="005870E8" w:rsidP="001532F5">
            <w:pPr>
              <w:spacing w:line="259" w:lineRule="auto"/>
              <w:jc w:val="center"/>
              <w:rPr>
                <w:rFonts w:eastAsia="Times New Roman" w:cs="Times New Roman"/>
                <w:b/>
                <w:color w:val="000000"/>
                <w:sz w:val="22"/>
              </w:rPr>
            </w:pPr>
            <w:r w:rsidRPr="005870E8">
              <w:rPr>
                <w:rFonts w:eastAsia="Times New Roman" w:cs="Times New Roman"/>
                <w:b/>
                <w:color w:val="000000"/>
                <w:sz w:val="22"/>
              </w:rPr>
              <w:t>References</w:t>
            </w:r>
          </w:p>
        </w:tc>
      </w:tr>
      <w:tr w:rsidR="005870E8" w:rsidRPr="005870E8" w14:paraId="4D794CA7" w14:textId="77777777" w:rsidTr="001532F5">
        <w:tc>
          <w:tcPr>
            <w:tcW w:w="1170" w:type="dxa"/>
            <w:vAlign w:val="center"/>
          </w:tcPr>
          <w:p w14:paraId="4D1B2AC7"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1</w:t>
            </w:r>
          </w:p>
        </w:tc>
        <w:tc>
          <w:tcPr>
            <w:tcW w:w="1890" w:type="dxa"/>
            <w:vAlign w:val="center"/>
          </w:tcPr>
          <w:p w14:paraId="2645030B"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Biogenic – isoprene</w:t>
            </w:r>
          </w:p>
        </w:tc>
        <w:tc>
          <w:tcPr>
            <w:tcW w:w="4230" w:type="dxa"/>
            <w:vAlign w:val="center"/>
          </w:tcPr>
          <w:p w14:paraId="409272F2"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Isoprene (m/z 69 C</w:t>
            </w:r>
            <w:r w:rsidRPr="005870E8">
              <w:rPr>
                <w:rFonts w:eastAsia="Times New Roman" w:cs="Times New Roman"/>
                <w:color w:val="000000"/>
                <w:sz w:val="22"/>
                <w:vertAlign w:val="subscript"/>
              </w:rPr>
              <w:t>5</w:t>
            </w:r>
            <w:r w:rsidRPr="005870E8">
              <w:rPr>
                <w:rFonts w:eastAsia="Times New Roman" w:cs="Times New Roman"/>
                <w:color w:val="000000"/>
                <w:sz w:val="22"/>
              </w:rPr>
              <w:t>H</w:t>
            </w:r>
            <w:r w:rsidRPr="005870E8">
              <w:rPr>
                <w:rFonts w:eastAsia="Times New Roman" w:cs="Times New Roman"/>
                <w:color w:val="000000"/>
                <w:sz w:val="22"/>
                <w:vertAlign w:val="subscript"/>
              </w:rPr>
              <w:t>8</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r w:rsidRPr="005870E8">
              <w:rPr>
                <w:rFonts w:eastAsia="Times New Roman" w:cs="Times New Roman"/>
                <w:color w:val="000000"/>
                <w:sz w:val="22"/>
              </w:rPr>
              <w:br/>
              <w:t>MVK/MACR (m/z 71 C</w:t>
            </w:r>
            <w:r w:rsidRPr="005870E8">
              <w:rPr>
                <w:rFonts w:eastAsia="Times New Roman" w:cs="Times New Roman"/>
                <w:color w:val="000000"/>
                <w:sz w:val="22"/>
                <w:vertAlign w:val="subscript"/>
              </w:rPr>
              <w:t>4</w:t>
            </w:r>
            <w:r w:rsidRPr="005870E8">
              <w:rPr>
                <w:rFonts w:eastAsia="Times New Roman" w:cs="Times New Roman"/>
                <w:color w:val="000000"/>
                <w:sz w:val="22"/>
              </w:rPr>
              <w:t>H</w:t>
            </w:r>
            <w:r w:rsidRPr="005870E8">
              <w:rPr>
                <w:rFonts w:eastAsia="Times New Roman" w:cs="Times New Roman"/>
                <w:color w:val="000000"/>
                <w:sz w:val="22"/>
                <w:vertAlign w:val="subscript"/>
              </w:rPr>
              <w:t>6</w:t>
            </w:r>
            <w:r w:rsidRPr="005870E8">
              <w:rPr>
                <w:rFonts w:eastAsia="Times New Roman" w:cs="Times New Roman"/>
                <w:color w:val="000000"/>
                <w:sz w:val="22"/>
              </w:rPr>
              <w:t>O·H</w:t>
            </w:r>
            <w:r w:rsidRPr="005870E8">
              <w:rPr>
                <w:rFonts w:eastAsia="Times New Roman" w:cs="Times New Roman"/>
                <w:color w:val="000000"/>
                <w:sz w:val="22"/>
                <w:vertAlign w:val="superscript"/>
              </w:rPr>
              <w:t>+</w:t>
            </w:r>
            <w:r w:rsidRPr="005870E8">
              <w:rPr>
                <w:rFonts w:eastAsia="Times New Roman" w:cs="Times New Roman"/>
                <w:color w:val="000000"/>
                <w:sz w:val="22"/>
              </w:rPr>
              <w:t>)</w:t>
            </w:r>
            <w:r w:rsidRPr="005870E8">
              <w:rPr>
                <w:rFonts w:eastAsia="Times New Roman" w:cs="Times New Roman"/>
                <w:color w:val="000000"/>
                <w:sz w:val="22"/>
              </w:rPr>
              <w:br/>
              <w:t>Monoterpenes (m/z 137 C</w:t>
            </w:r>
            <w:r w:rsidRPr="005870E8">
              <w:rPr>
                <w:rFonts w:eastAsia="Times New Roman" w:cs="Times New Roman"/>
                <w:color w:val="000000"/>
                <w:sz w:val="22"/>
                <w:vertAlign w:val="subscript"/>
              </w:rPr>
              <w:t>10</w:t>
            </w:r>
            <w:r w:rsidRPr="005870E8">
              <w:rPr>
                <w:rFonts w:eastAsia="Times New Roman" w:cs="Times New Roman"/>
                <w:color w:val="000000"/>
                <w:sz w:val="22"/>
              </w:rPr>
              <w:t>H</w:t>
            </w:r>
            <w:r w:rsidRPr="005870E8">
              <w:rPr>
                <w:rFonts w:eastAsia="Times New Roman" w:cs="Times New Roman"/>
                <w:color w:val="000000"/>
                <w:sz w:val="22"/>
                <w:vertAlign w:val="subscript"/>
              </w:rPr>
              <w:t>16</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p>
        </w:tc>
        <w:tc>
          <w:tcPr>
            <w:tcW w:w="3060" w:type="dxa"/>
            <w:vAlign w:val="center"/>
          </w:tcPr>
          <w:p w14:paraId="4D507F5C"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(Seinfeld and Pandis, 2016)</w:t>
            </w:r>
          </w:p>
          <w:p w14:paraId="2432D746"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(Guenther et al., 2012)</w:t>
            </w:r>
          </w:p>
        </w:tc>
      </w:tr>
      <w:tr w:rsidR="005870E8" w:rsidRPr="005870E8" w14:paraId="2DECC0BF" w14:textId="77777777" w:rsidTr="001532F5">
        <w:tc>
          <w:tcPr>
            <w:tcW w:w="1170" w:type="dxa"/>
            <w:vAlign w:val="center"/>
          </w:tcPr>
          <w:p w14:paraId="417E93A9"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2</w:t>
            </w:r>
          </w:p>
        </w:tc>
        <w:tc>
          <w:tcPr>
            <w:tcW w:w="1890" w:type="dxa"/>
            <w:vAlign w:val="center"/>
          </w:tcPr>
          <w:p w14:paraId="2FF390F0"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 xml:space="preserve">Biogenic – </w:t>
            </w:r>
          </w:p>
          <w:p w14:paraId="2E0C1929"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other terpenes</w:t>
            </w:r>
          </w:p>
        </w:tc>
        <w:tc>
          <w:tcPr>
            <w:tcW w:w="4230" w:type="dxa"/>
            <w:vAlign w:val="center"/>
          </w:tcPr>
          <w:p w14:paraId="212E08CC"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Monoterpenes (m/z 137 C</w:t>
            </w:r>
            <w:r w:rsidRPr="005870E8">
              <w:rPr>
                <w:rFonts w:eastAsia="Times New Roman" w:cs="Times New Roman"/>
                <w:color w:val="000000"/>
                <w:sz w:val="22"/>
                <w:vertAlign w:val="subscript"/>
              </w:rPr>
              <w:t>10</w:t>
            </w:r>
            <w:r w:rsidRPr="005870E8">
              <w:rPr>
                <w:rFonts w:eastAsia="Times New Roman" w:cs="Times New Roman"/>
                <w:color w:val="000000"/>
                <w:sz w:val="22"/>
              </w:rPr>
              <w:t>H</w:t>
            </w:r>
            <w:r w:rsidRPr="005870E8">
              <w:rPr>
                <w:rFonts w:eastAsia="Times New Roman" w:cs="Times New Roman"/>
                <w:color w:val="000000"/>
                <w:sz w:val="22"/>
                <w:vertAlign w:val="subscript"/>
              </w:rPr>
              <w:t>16</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p>
          <w:p w14:paraId="7E1437D9"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Sesquiterpenes (m/z 205 C</w:t>
            </w:r>
            <w:r w:rsidRPr="005870E8">
              <w:rPr>
                <w:rFonts w:eastAsia="Times New Roman" w:cs="Times New Roman"/>
                <w:color w:val="000000"/>
                <w:sz w:val="22"/>
                <w:vertAlign w:val="subscript"/>
              </w:rPr>
              <w:t>15</w:t>
            </w:r>
            <w:r w:rsidRPr="005870E8">
              <w:rPr>
                <w:rFonts w:eastAsia="Times New Roman" w:cs="Times New Roman"/>
                <w:color w:val="000000"/>
                <w:sz w:val="22"/>
              </w:rPr>
              <w:t>H</w:t>
            </w:r>
            <w:r w:rsidRPr="005870E8">
              <w:rPr>
                <w:rFonts w:eastAsia="Times New Roman" w:cs="Times New Roman"/>
                <w:color w:val="000000"/>
                <w:sz w:val="22"/>
                <w:vertAlign w:val="subscript"/>
              </w:rPr>
              <w:t>24</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p>
        </w:tc>
        <w:tc>
          <w:tcPr>
            <w:tcW w:w="3060" w:type="dxa"/>
            <w:vAlign w:val="center"/>
          </w:tcPr>
          <w:p w14:paraId="68AF7372"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(Guenther et al., 2012)</w:t>
            </w:r>
          </w:p>
        </w:tc>
      </w:tr>
      <w:tr w:rsidR="005870E8" w:rsidRPr="005870E8" w14:paraId="4EC393CC" w14:textId="77777777" w:rsidTr="001532F5">
        <w:tc>
          <w:tcPr>
            <w:tcW w:w="1170" w:type="dxa"/>
            <w:vAlign w:val="center"/>
          </w:tcPr>
          <w:p w14:paraId="6EAB1B2D"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3</w:t>
            </w:r>
          </w:p>
        </w:tc>
        <w:tc>
          <w:tcPr>
            <w:tcW w:w="1890" w:type="dxa"/>
            <w:vAlign w:val="center"/>
          </w:tcPr>
          <w:p w14:paraId="353E8B9A"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Traffic - fresh</w:t>
            </w:r>
          </w:p>
        </w:tc>
        <w:tc>
          <w:tcPr>
            <w:tcW w:w="4230" w:type="dxa"/>
            <w:vAlign w:val="center"/>
          </w:tcPr>
          <w:p w14:paraId="3B7E6F55"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Toluene (m/z 93 C</w:t>
            </w:r>
            <w:r w:rsidRPr="005870E8">
              <w:rPr>
                <w:rFonts w:eastAsia="Times New Roman" w:cs="Times New Roman"/>
                <w:color w:val="000000"/>
                <w:sz w:val="22"/>
                <w:vertAlign w:val="subscript"/>
              </w:rPr>
              <w:t>7</w:t>
            </w:r>
            <w:r w:rsidRPr="005870E8">
              <w:rPr>
                <w:rFonts w:eastAsia="Times New Roman" w:cs="Times New Roman"/>
                <w:color w:val="000000"/>
                <w:sz w:val="22"/>
              </w:rPr>
              <w:t>H</w:t>
            </w:r>
            <w:r w:rsidRPr="005870E8">
              <w:rPr>
                <w:rFonts w:eastAsia="Times New Roman" w:cs="Times New Roman"/>
                <w:color w:val="000000"/>
                <w:sz w:val="22"/>
                <w:vertAlign w:val="subscript"/>
              </w:rPr>
              <w:t>8</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r w:rsidRPr="005870E8">
              <w:rPr>
                <w:rFonts w:eastAsia="Times New Roman" w:cs="Times New Roman"/>
                <w:color w:val="000000"/>
                <w:sz w:val="22"/>
              </w:rPr>
              <w:br/>
              <w:t>Xylene (m/z 107 C</w:t>
            </w:r>
            <w:r w:rsidRPr="005870E8">
              <w:rPr>
                <w:rFonts w:eastAsia="Times New Roman" w:cs="Times New Roman"/>
                <w:color w:val="000000"/>
                <w:sz w:val="22"/>
                <w:vertAlign w:val="subscript"/>
              </w:rPr>
              <w:t>8</w:t>
            </w:r>
            <w:r w:rsidRPr="005870E8">
              <w:rPr>
                <w:rFonts w:eastAsia="Times New Roman" w:cs="Times New Roman"/>
                <w:color w:val="000000"/>
                <w:sz w:val="22"/>
              </w:rPr>
              <w:t>H</w:t>
            </w:r>
            <w:r w:rsidRPr="005870E8">
              <w:rPr>
                <w:rFonts w:eastAsia="Times New Roman" w:cs="Times New Roman"/>
                <w:color w:val="000000"/>
                <w:sz w:val="22"/>
                <w:vertAlign w:val="subscript"/>
              </w:rPr>
              <w:t>10</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r w:rsidRPr="005870E8">
              <w:rPr>
                <w:rFonts w:eastAsia="Times New Roman" w:cs="Times New Roman"/>
                <w:color w:val="000000"/>
                <w:sz w:val="22"/>
              </w:rPr>
              <w:br/>
              <w:t>Ethanol (m/z 47 C</w:t>
            </w:r>
            <w:r w:rsidRPr="005870E8">
              <w:rPr>
                <w:rFonts w:eastAsia="Times New Roman" w:cs="Times New Roman"/>
                <w:color w:val="000000"/>
                <w:sz w:val="22"/>
                <w:vertAlign w:val="subscript"/>
              </w:rPr>
              <w:t>2</w:t>
            </w:r>
            <w:r w:rsidRPr="005870E8">
              <w:rPr>
                <w:rFonts w:eastAsia="Times New Roman" w:cs="Times New Roman"/>
                <w:color w:val="000000"/>
                <w:sz w:val="22"/>
              </w:rPr>
              <w:t>H</w:t>
            </w:r>
            <w:r w:rsidRPr="005870E8">
              <w:rPr>
                <w:rFonts w:eastAsia="Times New Roman" w:cs="Times New Roman"/>
                <w:color w:val="000000"/>
                <w:sz w:val="22"/>
                <w:vertAlign w:val="subscript"/>
              </w:rPr>
              <w:t>6</w:t>
            </w:r>
            <w:r w:rsidRPr="005870E8">
              <w:rPr>
                <w:rFonts w:eastAsia="Times New Roman" w:cs="Times New Roman"/>
                <w:color w:val="000000"/>
                <w:sz w:val="22"/>
              </w:rPr>
              <w:t>O·H</w:t>
            </w:r>
            <w:r w:rsidRPr="005870E8">
              <w:rPr>
                <w:rFonts w:eastAsia="Times New Roman" w:cs="Times New Roman"/>
                <w:color w:val="000000"/>
                <w:sz w:val="22"/>
                <w:vertAlign w:val="superscript"/>
              </w:rPr>
              <w:t>+</w:t>
            </w:r>
            <w:r w:rsidRPr="005870E8">
              <w:rPr>
                <w:rFonts w:eastAsia="Times New Roman" w:cs="Times New Roman"/>
                <w:color w:val="000000"/>
                <w:sz w:val="22"/>
              </w:rPr>
              <w:t>)</w:t>
            </w:r>
          </w:p>
          <w:p w14:paraId="7C81E84A"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C3-benzene (m/z 121 C</w:t>
            </w:r>
            <w:r w:rsidRPr="005870E8">
              <w:rPr>
                <w:rFonts w:eastAsia="Times New Roman" w:cs="Times New Roman"/>
                <w:color w:val="000000"/>
                <w:sz w:val="22"/>
                <w:vertAlign w:val="subscript"/>
              </w:rPr>
              <w:t>9</w:t>
            </w:r>
            <w:r w:rsidRPr="005870E8">
              <w:rPr>
                <w:rFonts w:eastAsia="Times New Roman" w:cs="Times New Roman"/>
                <w:color w:val="000000"/>
                <w:sz w:val="22"/>
              </w:rPr>
              <w:t>H</w:t>
            </w:r>
            <w:r w:rsidRPr="005870E8">
              <w:rPr>
                <w:rFonts w:eastAsia="Times New Roman" w:cs="Times New Roman"/>
                <w:color w:val="000000"/>
                <w:sz w:val="22"/>
                <w:vertAlign w:val="subscript"/>
              </w:rPr>
              <w:t>12</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p>
        </w:tc>
        <w:tc>
          <w:tcPr>
            <w:tcW w:w="3060" w:type="dxa"/>
            <w:vAlign w:val="center"/>
          </w:tcPr>
          <w:p w14:paraId="1EB96BFA"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(Seinfeld and Pandis, 2016)</w:t>
            </w:r>
          </w:p>
          <w:p w14:paraId="4A700A7F"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(Miller et al., 2011)</w:t>
            </w:r>
          </w:p>
          <w:p w14:paraId="474F7836"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(Ilgen et al., 2001)</w:t>
            </w:r>
          </w:p>
        </w:tc>
      </w:tr>
      <w:tr w:rsidR="005870E8" w:rsidRPr="005870E8" w14:paraId="1558C665" w14:textId="77777777" w:rsidTr="001532F5">
        <w:tc>
          <w:tcPr>
            <w:tcW w:w="1170" w:type="dxa"/>
            <w:vAlign w:val="center"/>
          </w:tcPr>
          <w:p w14:paraId="4009CD54"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4</w:t>
            </w:r>
          </w:p>
        </w:tc>
        <w:tc>
          <w:tcPr>
            <w:tcW w:w="1890" w:type="dxa"/>
            <w:vAlign w:val="center"/>
          </w:tcPr>
          <w:p w14:paraId="5316EFA6"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Traffic - aged</w:t>
            </w:r>
          </w:p>
        </w:tc>
        <w:tc>
          <w:tcPr>
            <w:tcW w:w="4230" w:type="dxa"/>
            <w:vAlign w:val="center"/>
          </w:tcPr>
          <w:p w14:paraId="31F48EDE"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Benzene (m/z 79 C</w:t>
            </w:r>
            <w:r w:rsidRPr="005870E8">
              <w:rPr>
                <w:rFonts w:eastAsia="Times New Roman" w:cs="Times New Roman"/>
                <w:color w:val="000000"/>
                <w:sz w:val="22"/>
                <w:vertAlign w:val="subscript"/>
              </w:rPr>
              <w:t>6</w:t>
            </w:r>
            <w:r w:rsidRPr="005870E8">
              <w:rPr>
                <w:rFonts w:eastAsia="Times New Roman" w:cs="Times New Roman"/>
                <w:color w:val="000000"/>
                <w:sz w:val="22"/>
              </w:rPr>
              <w:t>H</w:t>
            </w:r>
            <w:r w:rsidRPr="005870E8">
              <w:rPr>
                <w:rFonts w:eastAsia="Times New Roman" w:cs="Times New Roman"/>
                <w:color w:val="000000"/>
                <w:sz w:val="22"/>
                <w:vertAlign w:val="subscript"/>
              </w:rPr>
              <w:t>6</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p>
          <w:p w14:paraId="0E19B324"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Pentene (m/z 71 C</w:t>
            </w:r>
            <w:r w:rsidRPr="005870E8">
              <w:rPr>
                <w:rFonts w:eastAsia="Times New Roman" w:cs="Times New Roman"/>
                <w:color w:val="000000"/>
                <w:sz w:val="22"/>
                <w:vertAlign w:val="subscript"/>
              </w:rPr>
              <w:t>5</w:t>
            </w:r>
            <w:r w:rsidRPr="005870E8">
              <w:rPr>
                <w:rFonts w:eastAsia="Times New Roman" w:cs="Times New Roman"/>
                <w:color w:val="000000"/>
                <w:sz w:val="22"/>
              </w:rPr>
              <w:t>H</w:t>
            </w:r>
            <w:r w:rsidRPr="005870E8">
              <w:rPr>
                <w:rFonts w:eastAsia="Times New Roman" w:cs="Times New Roman"/>
                <w:color w:val="000000"/>
                <w:sz w:val="22"/>
                <w:vertAlign w:val="subscript"/>
              </w:rPr>
              <w:t>10</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p>
        </w:tc>
        <w:tc>
          <w:tcPr>
            <w:tcW w:w="3060" w:type="dxa"/>
            <w:vAlign w:val="center"/>
          </w:tcPr>
          <w:p w14:paraId="0AFA336A"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(Miller et al., 2011)</w:t>
            </w:r>
          </w:p>
          <w:p w14:paraId="3B9319FD"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(Gelencsér et al., 1997)</w:t>
            </w:r>
          </w:p>
        </w:tc>
      </w:tr>
      <w:tr w:rsidR="005870E8" w:rsidRPr="005870E8" w14:paraId="09EB929A" w14:textId="77777777" w:rsidTr="001532F5">
        <w:tc>
          <w:tcPr>
            <w:tcW w:w="1170" w:type="dxa"/>
            <w:vAlign w:val="center"/>
          </w:tcPr>
          <w:p w14:paraId="09BFCF1C"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5</w:t>
            </w:r>
          </w:p>
        </w:tc>
        <w:tc>
          <w:tcPr>
            <w:tcW w:w="1890" w:type="dxa"/>
            <w:vAlign w:val="center"/>
          </w:tcPr>
          <w:p w14:paraId="1E79246A"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Cooking / Biomass Burning</w:t>
            </w:r>
          </w:p>
        </w:tc>
        <w:tc>
          <w:tcPr>
            <w:tcW w:w="4230" w:type="dxa"/>
            <w:vAlign w:val="center"/>
          </w:tcPr>
          <w:p w14:paraId="2876B5AD"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Furan (m/z 69 C</w:t>
            </w:r>
            <w:r w:rsidRPr="005870E8">
              <w:rPr>
                <w:rFonts w:eastAsia="Times New Roman" w:cs="Times New Roman"/>
                <w:color w:val="000000"/>
                <w:sz w:val="22"/>
                <w:vertAlign w:val="subscript"/>
              </w:rPr>
              <w:t>4</w:t>
            </w:r>
            <w:r w:rsidRPr="005870E8">
              <w:rPr>
                <w:rFonts w:eastAsia="Times New Roman" w:cs="Times New Roman"/>
                <w:color w:val="000000"/>
                <w:sz w:val="22"/>
              </w:rPr>
              <w:t>H</w:t>
            </w:r>
            <w:r w:rsidRPr="005870E8">
              <w:rPr>
                <w:rFonts w:eastAsia="Times New Roman" w:cs="Times New Roman"/>
                <w:color w:val="000000"/>
                <w:sz w:val="22"/>
                <w:vertAlign w:val="subscript"/>
              </w:rPr>
              <w:t>4</w:t>
            </w:r>
            <w:r w:rsidRPr="005870E8">
              <w:rPr>
                <w:rFonts w:eastAsia="Times New Roman" w:cs="Times New Roman"/>
                <w:color w:val="000000"/>
                <w:sz w:val="22"/>
              </w:rPr>
              <w:t>O·H</w:t>
            </w:r>
            <w:r w:rsidRPr="005870E8">
              <w:rPr>
                <w:rFonts w:eastAsia="Times New Roman" w:cs="Times New Roman"/>
                <w:color w:val="000000"/>
                <w:sz w:val="22"/>
                <w:vertAlign w:val="superscript"/>
              </w:rPr>
              <w:t>+</w:t>
            </w:r>
            <w:r w:rsidRPr="005870E8">
              <w:rPr>
                <w:rFonts w:eastAsia="Times New Roman" w:cs="Times New Roman"/>
                <w:color w:val="000000"/>
                <w:sz w:val="22"/>
              </w:rPr>
              <w:t>)</w:t>
            </w:r>
            <w:r w:rsidRPr="005870E8">
              <w:rPr>
                <w:rFonts w:eastAsia="Times New Roman" w:cs="Times New Roman"/>
                <w:color w:val="000000"/>
                <w:sz w:val="22"/>
              </w:rPr>
              <w:br/>
              <w:t>Furfural (m/z 97 C</w:t>
            </w:r>
            <w:r w:rsidRPr="005870E8">
              <w:rPr>
                <w:rFonts w:eastAsia="Times New Roman" w:cs="Times New Roman"/>
                <w:color w:val="000000"/>
                <w:sz w:val="22"/>
                <w:vertAlign w:val="subscript"/>
              </w:rPr>
              <w:t>5</w:t>
            </w:r>
            <w:r w:rsidRPr="005870E8">
              <w:rPr>
                <w:rFonts w:eastAsia="Times New Roman" w:cs="Times New Roman"/>
                <w:color w:val="000000"/>
                <w:sz w:val="22"/>
              </w:rPr>
              <w:t>H</w:t>
            </w:r>
            <w:r w:rsidRPr="005870E8">
              <w:rPr>
                <w:rFonts w:eastAsia="Times New Roman" w:cs="Times New Roman"/>
                <w:color w:val="000000"/>
                <w:sz w:val="22"/>
                <w:vertAlign w:val="subscript"/>
              </w:rPr>
              <w:t>4</w:t>
            </w:r>
            <w:r w:rsidRPr="005870E8">
              <w:rPr>
                <w:rFonts w:eastAsia="Times New Roman" w:cs="Times New Roman"/>
                <w:color w:val="000000"/>
                <w:sz w:val="22"/>
              </w:rPr>
              <w:t>O</w:t>
            </w:r>
            <w:r w:rsidRPr="005870E8">
              <w:rPr>
                <w:rFonts w:eastAsia="Times New Roman" w:cs="Times New Roman"/>
                <w:color w:val="000000"/>
                <w:sz w:val="22"/>
                <w:vertAlign w:val="subscript"/>
              </w:rPr>
              <w:t>2</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r w:rsidRPr="005870E8">
              <w:rPr>
                <w:rFonts w:eastAsia="Times New Roman" w:cs="Times New Roman"/>
                <w:color w:val="000000"/>
                <w:sz w:val="22"/>
              </w:rPr>
              <w:br/>
              <w:t>Butanal (m/z 73 C</w:t>
            </w:r>
            <w:r w:rsidRPr="005870E8">
              <w:rPr>
                <w:rFonts w:eastAsia="Times New Roman" w:cs="Times New Roman"/>
                <w:color w:val="000000"/>
                <w:sz w:val="22"/>
                <w:vertAlign w:val="subscript"/>
              </w:rPr>
              <w:t>4</w:t>
            </w:r>
            <w:r w:rsidRPr="005870E8">
              <w:rPr>
                <w:rFonts w:eastAsia="Times New Roman" w:cs="Times New Roman"/>
                <w:color w:val="000000"/>
                <w:sz w:val="22"/>
              </w:rPr>
              <w:t>H</w:t>
            </w:r>
            <w:r w:rsidRPr="005870E8">
              <w:rPr>
                <w:rFonts w:eastAsia="Times New Roman" w:cs="Times New Roman"/>
                <w:color w:val="000000"/>
                <w:sz w:val="22"/>
                <w:vertAlign w:val="subscript"/>
              </w:rPr>
              <w:t>8</w:t>
            </w:r>
            <w:r w:rsidRPr="005870E8">
              <w:rPr>
                <w:rFonts w:eastAsia="Times New Roman" w:cs="Times New Roman"/>
                <w:color w:val="000000"/>
                <w:sz w:val="22"/>
              </w:rPr>
              <w:t>O·H</w:t>
            </w:r>
            <w:r w:rsidRPr="005870E8">
              <w:rPr>
                <w:rFonts w:eastAsia="Times New Roman" w:cs="Times New Roman"/>
                <w:color w:val="000000"/>
                <w:sz w:val="22"/>
                <w:vertAlign w:val="superscript"/>
              </w:rPr>
              <w:t>+</w:t>
            </w:r>
            <w:r w:rsidRPr="005870E8">
              <w:rPr>
                <w:rFonts w:eastAsia="Times New Roman" w:cs="Times New Roman"/>
                <w:color w:val="000000"/>
                <w:sz w:val="22"/>
              </w:rPr>
              <w:t>)</w:t>
            </w:r>
            <w:r w:rsidRPr="005870E8">
              <w:rPr>
                <w:rFonts w:eastAsia="Times New Roman" w:cs="Times New Roman"/>
                <w:color w:val="000000"/>
                <w:sz w:val="22"/>
              </w:rPr>
              <w:br/>
              <w:t>Hexanal (m/z 101 C</w:t>
            </w:r>
            <w:r w:rsidRPr="005870E8">
              <w:rPr>
                <w:rFonts w:eastAsia="Times New Roman" w:cs="Times New Roman"/>
                <w:color w:val="000000"/>
                <w:sz w:val="22"/>
                <w:vertAlign w:val="subscript"/>
              </w:rPr>
              <w:t>6</w:t>
            </w:r>
            <w:r w:rsidRPr="005870E8">
              <w:rPr>
                <w:rFonts w:eastAsia="Times New Roman" w:cs="Times New Roman"/>
                <w:color w:val="000000"/>
                <w:sz w:val="22"/>
              </w:rPr>
              <w:t>H</w:t>
            </w:r>
            <w:r w:rsidRPr="005870E8">
              <w:rPr>
                <w:rFonts w:eastAsia="Times New Roman" w:cs="Times New Roman"/>
                <w:color w:val="000000"/>
                <w:sz w:val="22"/>
                <w:vertAlign w:val="subscript"/>
              </w:rPr>
              <w:t>12</w:t>
            </w:r>
            <w:r w:rsidRPr="005870E8">
              <w:rPr>
                <w:rFonts w:eastAsia="Times New Roman" w:cs="Times New Roman"/>
                <w:color w:val="000000"/>
                <w:sz w:val="22"/>
              </w:rPr>
              <w:t>O·H</w:t>
            </w:r>
            <w:r w:rsidRPr="005870E8">
              <w:rPr>
                <w:rFonts w:eastAsia="Times New Roman" w:cs="Times New Roman"/>
                <w:color w:val="000000"/>
                <w:sz w:val="22"/>
                <w:vertAlign w:val="superscript"/>
              </w:rPr>
              <w:t>+</w:t>
            </w:r>
            <w:r w:rsidRPr="005870E8">
              <w:rPr>
                <w:rFonts w:eastAsia="Times New Roman" w:cs="Times New Roman"/>
                <w:color w:val="000000"/>
                <w:sz w:val="22"/>
              </w:rPr>
              <w:t>)</w:t>
            </w:r>
            <w:r w:rsidRPr="005870E8">
              <w:rPr>
                <w:rFonts w:eastAsia="Times New Roman" w:cs="Times New Roman"/>
                <w:color w:val="000000"/>
                <w:sz w:val="22"/>
              </w:rPr>
              <w:br/>
              <w:t>Acetonitrile (m/z 42 C</w:t>
            </w:r>
            <w:r w:rsidRPr="005870E8">
              <w:rPr>
                <w:rFonts w:eastAsia="Times New Roman" w:cs="Times New Roman"/>
                <w:color w:val="000000"/>
                <w:sz w:val="22"/>
                <w:vertAlign w:val="subscript"/>
              </w:rPr>
              <w:t>2</w:t>
            </w:r>
            <w:r w:rsidRPr="005870E8">
              <w:rPr>
                <w:rFonts w:eastAsia="Times New Roman" w:cs="Times New Roman"/>
                <w:color w:val="000000"/>
                <w:sz w:val="22"/>
              </w:rPr>
              <w:t>H</w:t>
            </w:r>
            <w:r w:rsidRPr="005870E8">
              <w:rPr>
                <w:rFonts w:eastAsia="Times New Roman" w:cs="Times New Roman"/>
                <w:color w:val="000000"/>
                <w:sz w:val="22"/>
                <w:vertAlign w:val="subscript"/>
              </w:rPr>
              <w:t>3</w:t>
            </w:r>
            <w:r w:rsidRPr="005870E8">
              <w:rPr>
                <w:rFonts w:eastAsia="Times New Roman" w:cs="Times New Roman"/>
                <w:color w:val="000000"/>
                <w:sz w:val="22"/>
              </w:rPr>
              <w:t>N·H</w:t>
            </w:r>
            <w:r w:rsidRPr="005870E8">
              <w:rPr>
                <w:rFonts w:eastAsia="Times New Roman" w:cs="Times New Roman"/>
                <w:color w:val="000000"/>
                <w:sz w:val="22"/>
                <w:vertAlign w:val="superscript"/>
              </w:rPr>
              <w:t>+</w:t>
            </w:r>
            <w:r w:rsidRPr="005870E8">
              <w:rPr>
                <w:rFonts w:eastAsia="Times New Roman" w:cs="Times New Roman"/>
                <w:color w:val="000000"/>
                <w:sz w:val="22"/>
              </w:rPr>
              <w:t>)</w:t>
            </w:r>
          </w:p>
        </w:tc>
        <w:tc>
          <w:tcPr>
            <w:tcW w:w="3060" w:type="dxa"/>
            <w:vAlign w:val="center"/>
          </w:tcPr>
          <w:p w14:paraId="6D24660B"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(Müller et al., 2016)</w:t>
            </w:r>
          </w:p>
          <w:p w14:paraId="286B96AE"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(Simoneit, 2002)</w:t>
            </w:r>
          </w:p>
          <w:p w14:paraId="42804D3B"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(Klein et al., 2016)</w:t>
            </w:r>
          </w:p>
          <w:p w14:paraId="4F1F96DE"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(Abdullahi et al., 2013)</w:t>
            </w:r>
          </w:p>
        </w:tc>
      </w:tr>
      <w:tr w:rsidR="005870E8" w:rsidRPr="005870E8" w14:paraId="22921C3E" w14:textId="77777777" w:rsidTr="001532F5">
        <w:tc>
          <w:tcPr>
            <w:tcW w:w="1170" w:type="dxa"/>
            <w:vAlign w:val="center"/>
          </w:tcPr>
          <w:p w14:paraId="2D63CA28"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6</w:t>
            </w:r>
          </w:p>
        </w:tc>
        <w:tc>
          <w:tcPr>
            <w:tcW w:w="1890" w:type="dxa"/>
            <w:vAlign w:val="center"/>
          </w:tcPr>
          <w:p w14:paraId="684F1A73"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VCPs-</w:t>
            </w:r>
            <w:r w:rsidRPr="005870E8">
              <w:rPr>
                <w:rFonts w:eastAsia="Times New Roman" w:cs="Times New Roman"/>
                <w:color w:val="000000"/>
                <w:sz w:val="22"/>
              </w:rPr>
              <w:br/>
              <w:t>dominated</w:t>
            </w:r>
          </w:p>
        </w:tc>
        <w:tc>
          <w:tcPr>
            <w:tcW w:w="4230" w:type="dxa"/>
            <w:vAlign w:val="center"/>
          </w:tcPr>
          <w:p w14:paraId="3DB69747"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Ethanol (m/z 47 C</w:t>
            </w:r>
            <w:r w:rsidRPr="005870E8">
              <w:rPr>
                <w:rFonts w:eastAsia="Times New Roman" w:cs="Times New Roman"/>
                <w:color w:val="000000"/>
                <w:sz w:val="22"/>
                <w:vertAlign w:val="subscript"/>
              </w:rPr>
              <w:t>2</w:t>
            </w:r>
            <w:r w:rsidRPr="005870E8">
              <w:rPr>
                <w:rFonts w:eastAsia="Times New Roman" w:cs="Times New Roman"/>
                <w:color w:val="000000"/>
                <w:sz w:val="22"/>
              </w:rPr>
              <w:t>H</w:t>
            </w:r>
            <w:r w:rsidRPr="005870E8">
              <w:rPr>
                <w:rFonts w:eastAsia="Times New Roman" w:cs="Times New Roman"/>
                <w:color w:val="000000"/>
                <w:sz w:val="22"/>
                <w:vertAlign w:val="subscript"/>
              </w:rPr>
              <w:t>6</w:t>
            </w:r>
            <w:r w:rsidRPr="005870E8">
              <w:rPr>
                <w:rFonts w:eastAsia="Times New Roman" w:cs="Times New Roman"/>
                <w:color w:val="000000"/>
                <w:sz w:val="22"/>
              </w:rPr>
              <w:t>O·H</w:t>
            </w:r>
            <w:r w:rsidRPr="005870E8">
              <w:rPr>
                <w:rFonts w:eastAsia="Times New Roman" w:cs="Times New Roman"/>
                <w:color w:val="000000"/>
                <w:sz w:val="22"/>
                <w:vertAlign w:val="superscript"/>
              </w:rPr>
              <w:t>+</w:t>
            </w:r>
            <w:r w:rsidRPr="005870E8">
              <w:rPr>
                <w:rFonts w:eastAsia="Times New Roman" w:cs="Times New Roman"/>
                <w:color w:val="000000"/>
                <w:sz w:val="22"/>
              </w:rPr>
              <w:t>)</w:t>
            </w:r>
            <w:r w:rsidRPr="005870E8">
              <w:rPr>
                <w:rFonts w:eastAsia="Times New Roman" w:cs="Times New Roman"/>
                <w:color w:val="000000"/>
                <w:sz w:val="22"/>
              </w:rPr>
              <w:br/>
              <w:t>Monoterpenes (m/z 137 C</w:t>
            </w:r>
            <w:r w:rsidRPr="005870E8">
              <w:rPr>
                <w:rFonts w:eastAsia="Times New Roman" w:cs="Times New Roman"/>
                <w:color w:val="000000"/>
                <w:sz w:val="22"/>
                <w:vertAlign w:val="subscript"/>
              </w:rPr>
              <w:t>10</w:t>
            </w:r>
            <w:r w:rsidRPr="005870E8">
              <w:rPr>
                <w:rFonts w:eastAsia="Times New Roman" w:cs="Times New Roman"/>
                <w:color w:val="000000"/>
                <w:sz w:val="22"/>
              </w:rPr>
              <w:t>H</w:t>
            </w:r>
            <w:r w:rsidRPr="005870E8">
              <w:rPr>
                <w:rFonts w:eastAsia="Times New Roman" w:cs="Times New Roman"/>
                <w:color w:val="000000"/>
                <w:sz w:val="22"/>
                <w:vertAlign w:val="subscript"/>
              </w:rPr>
              <w:t>16</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r w:rsidRPr="005870E8">
              <w:rPr>
                <w:rFonts w:eastAsia="Times New Roman" w:cs="Times New Roman"/>
                <w:color w:val="000000"/>
                <w:sz w:val="22"/>
              </w:rPr>
              <w:br/>
              <w:t>D5-siloxane (m/z 371 C</w:t>
            </w:r>
            <w:r w:rsidRPr="005870E8">
              <w:rPr>
                <w:rFonts w:eastAsia="Times New Roman" w:cs="Times New Roman"/>
                <w:color w:val="000000"/>
                <w:sz w:val="22"/>
                <w:vertAlign w:val="subscript"/>
              </w:rPr>
              <w:t>10</w:t>
            </w:r>
            <w:r w:rsidRPr="005870E8">
              <w:rPr>
                <w:rFonts w:eastAsia="Times New Roman" w:cs="Times New Roman"/>
                <w:color w:val="000000"/>
                <w:sz w:val="22"/>
              </w:rPr>
              <w:t>H</w:t>
            </w:r>
            <w:r w:rsidRPr="005870E8">
              <w:rPr>
                <w:rFonts w:eastAsia="Times New Roman" w:cs="Times New Roman"/>
                <w:color w:val="000000"/>
                <w:sz w:val="22"/>
                <w:vertAlign w:val="subscript"/>
              </w:rPr>
              <w:t>30</w:t>
            </w:r>
            <w:r w:rsidRPr="005870E8">
              <w:rPr>
                <w:rFonts w:eastAsia="Times New Roman" w:cs="Times New Roman"/>
                <w:color w:val="000000"/>
                <w:sz w:val="22"/>
              </w:rPr>
              <w:t>O</w:t>
            </w:r>
            <w:r w:rsidRPr="005870E8">
              <w:rPr>
                <w:rFonts w:eastAsia="Times New Roman" w:cs="Times New Roman"/>
                <w:color w:val="000000"/>
                <w:sz w:val="22"/>
                <w:vertAlign w:val="subscript"/>
              </w:rPr>
              <w:t>5</w:t>
            </w:r>
            <w:r w:rsidRPr="005870E8">
              <w:rPr>
                <w:rFonts w:eastAsia="Times New Roman" w:cs="Times New Roman"/>
                <w:color w:val="000000"/>
                <w:sz w:val="22"/>
              </w:rPr>
              <w:t>Si</w:t>
            </w:r>
            <w:r w:rsidRPr="005870E8">
              <w:rPr>
                <w:rFonts w:eastAsia="Times New Roman" w:cs="Times New Roman"/>
                <w:color w:val="000000"/>
                <w:sz w:val="22"/>
                <w:vertAlign w:val="subscript"/>
              </w:rPr>
              <w:t>5</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p>
          <w:p w14:paraId="20D64F0B"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Toluene (m/z 93 C</w:t>
            </w:r>
            <w:r w:rsidRPr="005870E8">
              <w:rPr>
                <w:rFonts w:eastAsia="Times New Roman" w:cs="Times New Roman"/>
                <w:color w:val="000000"/>
                <w:sz w:val="22"/>
                <w:vertAlign w:val="subscript"/>
              </w:rPr>
              <w:t>7</w:t>
            </w:r>
            <w:r w:rsidRPr="005870E8">
              <w:rPr>
                <w:rFonts w:eastAsia="Times New Roman" w:cs="Times New Roman"/>
                <w:color w:val="000000"/>
                <w:sz w:val="22"/>
              </w:rPr>
              <w:t>H</w:t>
            </w:r>
            <w:r w:rsidRPr="005870E8">
              <w:rPr>
                <w:rFonts w:eastAsia="Times New Roman" w:cs="Times New Roman"/>
                <w:color w:val="000000"/>
                <w:sz w:val="22"/>
                <w:vertAlign w:val="subscript"/>
              </w:rPr>
              <w:t>8</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p>
        </w:tc>
        <w:tc>
          <w:tcPr>
            <w:tcW w:w="3060" w:type="dxa"/>
            <w:vAlign w:val="center"/>
          </w:tcPr>
          <w:p w14:paraId="58A32113"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(Gkatzelis et al., 2021)</w:t>
            </w:r>
          </w:p>
          <w:p w14:paraId="0538CC11"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(Coggon et al., 2018)</w:t>
            </w:r>
          </w:p>
          <w:p w14:paraId="6EF96CCF"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(Coggon et al., 2021)</w:t>
            </w:r>
          </w:p>
          <w:p w14:paraId="71D029B9"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(Yuan et al., 2010)</w:t>
            </w:r>
          </w:p>
          <w:p w14:paraId="59DD8708"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(De Gouw et al., 2012)</w:t>
            </w:r>
          </w:p>
        </w:tc>
      </w:tr>
      <w:tr w:rsidR="005870E8" w:rsidRPr="005870E8" w14:paraId="79B47181" w14:textId="77777777" w:rsidTr="001532F5">
        <w:tc>
          <w:tcPr>
            <w:tcW w:w="1170" w:type="dxa"/>
            <w:vAlign w:val="center"/>
          </w:tcPr>
          <w:p w14:paraId="5A52444C"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7</w:t>
            </w:r>
          </w:p>
        </w:tc>
        <w:tc>
          <w:tcPr>
            <w:tcW w:w="1890" w:type="dxa"/>
            <w:vAlign w:val="center"/>
          </w:tcPr>
          <w:p w14:paraId="21130648"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Acetone-dominated</w:t>
            </w:r>
          </w:p>
        </w:tc>
        <w:tc>
          <w:tcPr>
            <w:tcW w:w="4230" w:type="dxa"/>
            <w:vAlign w:val="center"/>
          </w:tcPr>
          <w:p w14:paraId="71E4B67E"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Acetone (m/z 59 C</w:t>
            </w:r>
            <w:r w:rsidRPr="005870E8">
              <w:rPr>
                <w:rFonts w:eastAsia="Times New Roman" w:cs="Times New Roman"/>
                <w:color w:val="000000"/>
                <w:sz w:val="22"/>
                <w:vertAlign w:val="subscript"/>
              </w:rPr>
              <w:t>3</w:t>
            </w:r>
            <w:r w:rsidRPr="005870E8">
              <w:rPr>
                <w:rFonts w:eastAsia="Times New Roman" w:cs="Times New Roman"/>
                <w:color w:val="000000"/>
                <w:sz w:val="22"/>
              </w:rPr>
              <w:t>H</w:t>
            </w:r>
            <w:r w:rsidRPr="005870E8">
              <w:rPr>
                <w:rFonts w:eastAsia="Times New Roman" w:cs="Times New Roman"/>
                <w:color w:val="000000"/>
                <w:sz w:val="22"/>
                <w:vertAlign w:val="subscript"/>
              </w:rPr>
              <w:t>6</w:t>
            </w:r>
            <w:r w:rsidRPr="005870E8">
              <w:rPr>
                <w:rFonts w:eastAsia="Times New Roman" w:cs="Times New Roman"/>
                <w:color w:val="000000"/>
                <w:sz w:val="22"/>
              </w:rPr>
              <w:t>O·H</w:t>
            </w:r>
            <w:r w:rsidRPr="005870E8">
              <w:rPr>
                <w:rFonts w:eastAsia="Times New Roman" w:cs="Times New Roman"/>
                <w:color w:val="000000"/>
                <w:sz w:val="22"/>
                <w:vertAlign w:val="superscript"/>
              </w:rPr>
              <w:t>+</w:t>
            </w:r>
            <w:r w:rsidRPr="005870E8">
              <w:rPr>
                <w:rFonts w:eastAsia="Times New Roman" w:cs="Times New Roman"/>
                <w:color w:val="000000"/>
                <w:sz w:val="22"/>
              </w:rPr>
              <w:t>)</w:t>
            </w:r>
          </w:p>
          <w:p w14:paraId="6E3A04C5"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MBO (m/z 87 C</w:t>
            </w:r>
            <w:r w:rsidRPr="005870E8">
              <w:rPr>
                <w:rFonts w:eastAsia="Times New Roman" w:cs="Times New Roman"/>
                <w:color w:val="000000"/>
                <w:sz w:val="22"/>
                <w:vertAlign w:val="subscript"/>
              </w:rPr>
              <w:t>5</w:t>
            </w:r>
            <w:r w:rsidRPr="005870E8">
              <w:rPr>
                <w:rFonts w:eastAsia="Times New Roman" w:cs="Times New Roman"/>
                <w:color w:val="000000"/>
                <w:sz w:val="22"/>
              </w:rPr>
              <w:t>H</w:t>
            </w:r>
            <w:r w:rsidRPr="005870E8">
              <w:rPr>
                <w:rFonts w:eastAsia="Times New Roman" w:cs="Times New Roman"/>
                <w:color w:val="000000"/>
                <w:sz w:val="22"/>
                <w:vertAlign w:val="subscript"/>
              </w:rPr>
              <w:t>10</w:t>
            </w:r>
            <w:r w:rsidRPr="005870E8">
              <w:rPr>
                <w:rFonts w:eastAsia="Times New Roman" w:cs="Times New Roman"/>
                <w:color w:val="000000"/>
                <w:sz w:val="22"/>
              </w:rPr>
              <w:t>O·H</w:t>
            </w:r>
            <w:r w:rsidRPr="005870E8">
              <w:rPr>
                <w:rFonts w:eastAsia="Times New Roman" w:cs="Times New Roman"/>
                <w:color w:val="000000"/>
                <w:sz w:val="22"/>
                <w:vertAlign w:val="superscript"/>
              </w:rPr>
              <w:t>+</w:t>
            </w:r>
            <w:r w:rsidRPr="005870E8">
              <w:rPr>
                <w:rFonts w:eastAsia="Times New Roman" w:cs="Times New Roman"/>
                <w:color w:val="000000"/>
                <w:sz w:val="22"/>
              </w:rPr>
              <w:t>)</w:t>
            </w:r>
          </w:p>
        </w:tc>
        <w:tc>
          <w:tcPr>
            <w:tcW w:w="3060" w:type="dxa"/>
            <w:vAlign w:val="center"/>
          </w:tcPr>
          <w:p w14:paraId="42D5E34A"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(Brewer et al., 2017)</w:t>
            </w:r>
          </w:p>
          <w:p w14:paraId="227D731D"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(Jacob et al., 2002)</w:t>
            </w:r>
          </w:p>
          <w:p w14:paraId="41B5E239"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(Steiner et al., 2007)</w:t>
            </w:r>
          </w:p>
        </w:tc>
      </w:tr>
      <w:tr w:rsidR="005870E8" w:rsidRPr="005870E8" w14:paraId="5A48AE34" w14:textId="77777777" w:rsidTr="001532F5">
        <w:tc>
          <w:tcPr>
            <w:tcW w:w="1170" w:type="dxa"/>
            <w:vAlign w:val="center"/>
          </w:tcPr>
          <w:p w14:paraId="1A736909"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8</w:t>
            </w:r>
          </w:p>
        </w:tc>
        <w:tc>
          <w:tcPr>
            <w:tcW w:w="1890" w:type="dxa"/>
            <w:vAlign w:val="center"/>
          </w:tcPr>
          <w:p w14:paraId="58914BD2"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Secondary</w:t>
            </w:r>
          </w:p>
        </w:tc>
        <w:tc>
          <w:tcPr>
            <w:tcW w:w="4230" w:type="dxa"/>
            <w:vAlign w:val="center"/>
          </w:tcPr>
          <w:p w14:paraId="5916910D"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MVK/MACR (m/z 71 C</w:t>
            </w:r>
            <w:r w:rsidRPr="005870E8">
              <w:rPr>
                <w:rFonts w:eastAsia="Times New Roman" w:cs="Times New Roman"/>
                <w:color w:val="000000"/>
                <w:sz w:val="22"/>
                <w:vertAlign w:val="subscript"/>
              </w:rPr>
              <w:t>4</w:t>
            </w:r>
            <w:r w:rsidRPr="005870E8">
              <w:rPr>
                <w:rFonts w:eastAsia="Times New Roman" w:cs="Times New Roman"/>
                <w:color w:val="000000"/>
                <w:sz w:val="22"/>
              </w:rPr>
              <w:t>H</w:t>
            </w:r>
            <w:r w:rsidRPr="005870E8">
              <w:rPr>
                <w:rFonts w:eastAsia="Times New Roman" w:cs="Times New Roman"/>
                <w:color w:val="000000"/>
                <w:sz w:val="22"/>
                <w:vertAlign w:val="subscript"/>
              </w:rPr>
              <w:t>6</w:t>
            </w:r>
            <w:r w:rsidRPr="005870E8">
              <w:rPr>
                <w:rFonts w:eastAsia="Times New Roman" w:cs="Times New Roman"/>
                <w:color w:val="000000"/>
                <w:sz w:val="22"/>
              </w:rPr>
              <w:t>O·H</w:t>
            </w:r>
            <w:r w:rsidRPr="005870E8">
              <w:rPr>
                <w:rFonts w:eastAsia="Times New Roman" w:cs="Times New Roman"/>
                <w:color w:val="000000"/>
                <w:sz w:val="22"/>
                <w:vertAlign w:val="superscript"/>
              </w:rPr>
              <w:t>+</w:t>
            </w:r>
            <w:r w:rsidRPr="005870E8">
              <w:rPr>
                <w:rFonts w:eastAsia="Times New Roman" w:cs="Times New Roman"/>
                <w:color w:val="000000"/>
                <w:sz w:val="22"/>
              </w:rPr>
              <w:t>)</w:t>
            </w:r>
            <w:r w:rsidRPr="005870E8">
              <w:rPr>
                <w:rFonts w:eastAsia="Times New Roman" w:cs="Times New Roman"/>
                <w:color w:val="000000"/>
                <w:sz w:val="22"/>
              </w:rPr>
              <w:br/>
              <w:t>Methyl acetate (m/z 75 C</w:t>
            </w:r>
            <w:r w:rsidRPr="005870E8">
              <w:rPr>
                <w:rFonts w:eastAsia="Times New Roman" w:cs="Times New Roman"/>
                <w:color w:val="000000"/>
                <w:sz w:val="22"/>
                <w:vertAlign w:val="subscript"/>
              </w:rPr>
              <w:t>3</w:t>
            </w:r>
            <w:r w:rsidRPr="005870E8">
              <w:rPr>
                <w:rFonts w:eastAsia="Times New Roman" w:cs="Times New Roman"/>
                <w:color w:val="000000"/>
                <w:sz w:val="22"/>
              </w:rPr>
              <w:t>H</w:t>
            </w:r>
            <w:r w:rsidRPr="005870E8">
              <w:rPr>
                <w:rFonts w:eastAsia="Times New Roman" w:cs="Times New Roman"/>
                <w:color w:val="000000"/>
                <w:sz w:val="22"/>
                <w:vertAlign w:val="subscript"/>
              </w:rPr>
              <w:t>6</w:t>
            </w:r>
            <w:r w:rsidRPr="005870E8">
              <w:rPr>
                <w:rFonts w:eastAsia="Times New Roman" w:cs="Times New Roman"/>
                <w:color w:val="000000"/>
                <w:sz w:val="22"/>
              </w:rPr>
              <w:t>O</w:t>
            </w:r>
            <w:r w:rsidRPr="005870E8">
              <w:rPr>
                <w:rFonts w:eastAsia="Times New Roman" w:cs="Times New Roman"/>
                <w:color w:val="000000"/>
                <w:sz w:val="22"/>
                <w:vertAlign w:val="subscript"/>
              </w:rPr>
              <w:t>2</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r w:rsidRPr="005870E8">
              <w:rPr>
                <w:rFonts w:eastAsia="Times New Roman" w:cs="Times New Roman"/>
                <w:color w:val="000000"/>
                <w:sz w:val="22"/>
              </w:rPr>
              <w:br/>
              <w:t>Acetic acid (m/z 61 C</w:t>
            </w:r>
            <w:r w:rsidRPr="005870E8">
              <w:rPr>
                <w:rFonts w:eastAsia="Times New Roman" w:cs="Times New Roman"/>
                <w:color w:val="000000"/>
                <w:sz w:val="22"/>
                <w:vertAlign w:val="subscript"/>
              </w:rPr>
              <w:t>2</w:t>
            </w:r>
            <w:r w:rsidRPr="005870E8">
              <w:rPr>
                <w:rFonts w:eastAsia="Times New Roman" w:cs="Times New Roman"/>
                <w:color w:val="000000"/>
                <w:sz w:val="22"/>
              </w:rPr>
              <w:t>H</w:t>
            </w:r>
            <w:r w:rsidRPr="005870E8">
              <w:rPr>
                <w:rFonts w:eastAsia="Times New Roman" w:cs="Times New Roman"/>
                <w:color w:val="000000"/>
                <w:sz w:val="22"/>
                <w:vertAlign w:val="subscript"/>
              </w:rPr>
              <w:t>4</w:t>
            </w:r>
            <w:r w:rsidRPr="005870E8">
              <w:rPr>
                <w:rFonts w:eastAsia="Times New Roman" w:cs="Times New Roman"/>
                <w:color w:val="000000"/>
                <w:sz w:val="22"/>
              </w:rPr>
              <w:t>O</w:t>
            </w:r>
            <w:r w:rsidRPr="005870E8">
              <w:rPr>
                <w:rFonts w:eastAsia="Times New Roman" w:cs="Times New Roman"/>
                <w:color w:val="000000"/>
                <w:sz w:val="22"/>
                <w:vertAlign w:val="subscript"/>
              </w:rPr>
              <w:t>2</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p>
          <w:p w14:paraId="51C790CA"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color w:val="000000"/>
                <w:sz w:val="22"/>
              </w:rPr>
              <w:t>Glycolic acid (m/z 77 C</w:t>
            </w:r>
            <w:r w:rsidRPr="005870E8">
              <w:rPr>
                <w:rFonts w:eastAsia="Times New Roman" w:cs="Times New Roman"/>
                <w:color w:val="000000"/>
                <w:sz w:val="22"/>
                <w:vertAlign w:val="subscript"/>
              </w:rPr>
              <w:t>2</w:t>
            </w:r>
            <w:r w:rsidRPr="005870E8">
              <w:rPr>
                <w:rFonts w:eastAsia="Times New Roman" w:cs="Times New Roman"/>
                <w:color w:val="000000"/>
                <w:sz w:val="22"/>
              </w:rPr>
              <w:t>H</w:t>
            </w:r>
            <w:r w:rsidRPr="005870E8">
              <w:rPr>
                <w:rFonts w:eastAsia="Times New Roman" w:cs="Times New Roman"/>
                <w:color w:val="000000"/>
                <w:sz w:val="22"/>
                <w:vertAlign w:val="subscript"/>
              </w:rPr>
              <w:t>4</w:t>
            </w:r>
            <w:r w:rsidRPr="005870E8">
              <w:rPr>
                <w:rFonts w:eastAsia="Times New Roman" w:cs="Times New Roman"/>
                <w:color w:val="000000"/>
                <w:sz w:val="22"/>
              </w:rPr>
              <w:t>O</w:t>
            </w:r>
            <w:r w:rsidRPr="005870E8">
              <w:rPr>
                <w:rFonts w:eastAsia="Times New Roman" w:cs="Times New Roman"/>
                <w:color w:val="000000"/>
                <w:sz w:val="22"/>
                <w:vertAlign w:val="subscript"/>
              </w:rPr>
              <w:t>3</w:t>
            </w:r>
            <w:r w:rsidRPr="005870E8">
              <w:rPr>
                <w:rFonts w:eastAsia="Times New Roman" w:cs="Times New Roman"/>
                <w:color w:val="000000"/>
                <w:sz w:val="22"/>
              </w:rPr>
              <w:t>·H</w:t>
            </w:r>
            <w:r w:rsidRPr="005870E8">
              <w:rPr>
                <w:rFonts w:eastAsia="Times New Roman" w:cs="Times New Roman"/>
                <w:color w:val="000000"/>
                <w:sz w:val="22"/>
                <w:vertAlign w:val="superscript"/>
              </w:rPr>
              <w:t>+</w:t>
            </w:r>
            <w:r w:rsidRPr="005870E8">
              <w:rPr>
                <w:rFonts w:eastAsia="Times New Roman" w:cs="Times New Roman"/>
                <w:color w:val="000000"/>
                <w:sz w:val="22"/>
              </w:rPr>
              <w:t>)</w:t>
            </w:r>
          </w:p>
        </w:tc>
        <w:tc>
          <w:tcPr>
            <w:tcW w:w="3060" w:type="dxa"/>
            <w:vAlign w:val="center"/>
          </w:tcPr>
          <w:p w14:paraId="700A72E4"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(Guenther et al., 2012)</w:t>
            </w:r>
          </w:p>
          <w:p w14:paraId="5BE6890A"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(Paulot et al., 2011)</w:t>
            </w:r>
          </w:p>
          <w:p w14:paraId="36243A59"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(Fu et al., 2008)</w:t>
            </w:r>
          </w:p>
          <w:p w14:paraId="26DF2986" w14:textId="77777777" w:rsidR="005870E8" w:rsidRPr="005870E8" w:rsidRDefault="005870E8" w:rsidP="001532F5">
            <w:pPr>
              <w:spacing w:line="259" w:lineRule="auto"/>
              <w:jc w:val="center"/>
              <w:rPr>
                <w:rFonts w:eastAsia="Times New Roman" w:cs="Times New Roman"/>
                <w:color w:val="000000"/>
                <w:sz w:val="22"/>
              </w:rPr>
            </w:pPr>
            <w:r w:rsidRPr="005870E8">
              <w:rPr>
                <w:rFonts w:eastAsia="Times New Roman" w:cs="Times New Roman"/>
                <w:noProof/>
                <w:color w:val="000000"/>
                <w:sz w:val="22"/>
              </w:rPr>
              <w:t>(Link et al., 2021)</w:t>
            </w:r>
          </w:p>
        </w:tc>
      </w:tr>
    </w:tbl>
    <w:p w14:paraId="314FE765" w14:textId="77777777" w:rsidR="005870E8" w:rsidRPr="005870E8" w:rsidRDefault="005870E8" w:rsidP="00C730AB">
      <w:pPr>
        <w:spacing w:after="160" w:line="259" w:lineRule="auto"/>
        <w:jc w:val="left"/>
        <w:rPr>
          <w:rFonts w:eastAsia="Times New Roman" w:cs="Times New Roman"/>
          <w:color w:val="000000"/>
          <w:sz w:val="22"/>
        </w:rPr>
      </w:pPr>
      <w:r w:rsidRPr="005870E8">
        <w:rPr>
          <w:rFonts w:eastAsia="Times New Roman" w:cs="Times New Roman"/>
          <w:color w:val="000000"/>
          <w:sz w:val="22"/>
        </w:rPr>
        <w:br w:type="page"/>
      </w:r>
    </w:p>
    <w:p w14:paraId="616CD3BF" w14:textId="77777777" w:rsidR="005870E8" w:rsidRPr="005870E8" w:rsidRDefault="005870E8" w:rsidP="00015CAF">
      <w:pPr>
        <w:spacing w:after="160" w:line="259" w:lineRule="auto"/>
        <w:jc w:val="center"/>
        <w:rPr>
          <w:rFonts w:eastAsia="Times New Roman" w:cs="Times New Roman"/>
          <w:color w:val="000000"/>
          <w:sz w:val="22"/>
        </w:rPr>
      </w:pPr>
      <w:r w:rsidRPr="005870E8">
        <w:rPr>
          <w:rFonts w:eastAsia="Times New Roman" w:cs="Times New Roman"/>
          <w:color w:val="000000"/>
          <w:sz w:val="22"/>
        </w:rPr>
        <w:lastRenderedPageBreak/>
        <w:t>Table S2. List of m/z peaks used in NNMF, ion composition, likely corresponding species, and sensitivity; bold species are calibrated using a standard, the rest with method outlined in Sect. S1.</w:t>
      </w:r>
    </w:p>
    <w:tbl>
      <w:tblPr>
        <w:tblStyle w:val="TableGrid"/>
        <w:tblW w:w="882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1954"/>
        <w:gridCol w:w="3734"/>
        <w:gridCol w:w="2440"/>
      </w:tblGrid>
      <w:tr w:rsidR="005870E8" w:rsidRPr="005870E8" w14:paraId="46312E9C" w14:textId="77777777" w:rsidTr="00567750">
        <w:tc>
          <w:tcPr>
            <w:tcW w:w="692" w:type="dxa"/>
            <w:tcBorders>
              <w:bottom w:val="single" w:sz="4" w:space="0" w:color="auto"/>
            </w:tcBorders>
            <w:vAlign w:val="center"/>
          </w:tcPr>
          <w:p w14:paraId="27044039" w14:textId="77777777" w:rsidR="005870E8" w:rsidRPr="005870E8" w:rsidRDefault="005870E8" w:rsidP="00844F3A">
            <w:pPr>
              <w:spacing w:beforeLines="20" w:before="48" w:afterLines="20" w:after="48" w:line="240" w:lineRule="auto"/>
              <w:jc w:val="left"/>
              <w:rPr>
                <w:rFonts w:eastAsia="Times New Roman" w:cs="Times New Roman"/>
                <w:b/>
                <w:color w:val="000000"/>
                <w:sz w:val="22"/>
              </w:rPr>
            </w:pPr>
            <w:r w:rsidRPr="005870E8">
              <w:rPr>
                <w:rFonts w:eastAsia="Times New Roman" w:cs="Times New Roman"/>
                <w:b/>
                <w:color w:val="000000"/>
                <w:sz w:val="22"/>
              </w:rPr>
              <w:t>m/z</w:t>
            </w:r>
          </w:p>
        </w:tc>
        <w:tc>
          <w:tcPr>
            <w:tcW w:w="1954" w:type="dxa"/>
            <w:tcBorders>
              <w:bottom w:val="single" w:sz="4" w:space="0" w:color="auto"/>
            </w:tcBorders>
            <w:vAlign w:val="center"/>
          </w:tcPr>
          <w:p w14:paraId="69208B85" w14:textId="77777777" w:rsidR="005870E8" w:rsidRPr="005870E8" w:rsidRDefault="005870E8" w:rsidP="00844F3A">
            <w:pPr>
              <w:spacing w:beforeLines="20" w:before="48" w:afterLines="20" w:after="48" w:line="240" w:lineRule="auto"/>
              <w:jc w:val="left"/>
              <w:rPr>
                <w:rFonts w:eastAsia="Times New Roman" w:cs="Times New Roman"/>
                <w:b/>
                <w:color w:val="000000"/>
                <w:sz w:val="22"/>
              </w:rPr>
            </w:pPr>
            <w:r w:rsidRPr="005870E8">
              <w:rPr>
                <w:rFonts w:eastAsia="Times New Roman" w:cs="Times New Roman"/>
                <w:b/>
                <w:color w:val="000000"/>
                <w:sz w:val="22"/>
              </w:rPr>
              <w:t>Ion composition</w:t>
            </w:r>
          </w:p>
        </w:tc>
        <w:tc>
          <w:tcPr>
            <w:tcW w:w="3734" w:type="dxa"/>
            <w:tcBorders>
              <w:bottom w:val="single" w:sz="4" w:space="0" w:color="auto"/>
            </w:tcBorders>
            <w:vAlign w:val="center"/>
          </w:tcPr>
          <w:p w14:paraId="20954BBA" w14:textId="77777777" w:rsidR="005870E8" w:rsidRPr="005870E8" w:rsidRDefault="005870E8" w:rsidP="00844F3A">
            <w:pPr>
              <w:spacing w:beforeLines="20" w:before="48" w:afterLines="20" w:after="48" w:line="240" w:lineRule="auto"/>
              <w:jc w:val="left"/>
              <w:rPr>
                <w:rFonts w:eastAsia="Times New Roman" w:cs="Times New Roman"/>
                <w:b/>
                <w:color w:val="000000"/>
                <w:sz w:val="22"/>
              </w:rPr>
            </w:pPr>
            <w:r w:rsidRPr="005870E8">
              <w:rPr>
                <w:rFonts w:eastAsia="Times New Roman" w:cs="Times New Roman"/>
                <w:b/>
                <w:color w:val="000000"/>
                <w:sz w:val="22"/>
              </w:rPr>
              <w:t>Likely species</w:t>
            </w:r>
          </w:p>
        </w:tc>
        <w:tc>
          <w:tcPr>
            <w:tcW w:w="2440" w:type="dxa"/>
            <w:tcBorders>
              <w:bottom w:val="single" w:sz="4" w:space="0" w:color="auto"/>
            </w:tcBorders>
            <w:vAlign w:val="center"/>
          </w:tcPr>
          <w:p w14:paraId="1A86F351" w14:textId="77777777" w:rsidR="005870E8" w:rsidRPr="005870E8" w:rsidRDefault="005870E8" w:rsidP="00567750">
            <w:pPr>
              <w:spacing w:beforeLines="20" w:before="48" w:afterLines="20" w:after="48" w:line="240" w:lineRule="auto"/>
              <w:jc w:val="center"/>
              <w:rPr>
                <w:rFonts w:eastAsia="Times New Roman" w:cs="Times New Roman"/>
                <w:b/>
                <w:color w:val="000000"/>
                <w:sz w:val="22"/>
              </w:rPr>
            </w:pPr>
            <w:r w:rsidRPr="005870E8">
              <w:rPr>
                <w:rFonts w:eastAsia="Times New Roman" w:cs="Times New Roman"/>
                <w:b/>
                <w:color w:val="000000"/>
                <w:sz w:val="22"/>
              </w:rPr>
              <w:t>Sensitivity [ncps/ppb]</w:t>
            </w:r>
          </w:p>
        </w:tc>
      </w:tr>
      <w:tr w:rsidR="005870E8" w:rsidRPr="005870E8" w14:paraId="75E09025" w14:textId="77777777" w:rsidTr="00567750">
        <w:tc>
          <w:tcPr>
            <w:tcW w:w="692" w:type="dxa"/>
            <w:tcBorders>
              <w:top w:val="single" w:sz="4" w:space="0" w:color="auto"/>
              <w:bottom w:val="single" w:sz="4" w:space="0" w:color="auto"/>
            </w:tcBorders>
            <w:vAlign w:val="center"/>
          </w:tcPr>
          <w:p w14:paraId="67D5FBBF"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42</w:t>
            </w:r>
          </w:p>
        </w:tc>
        <w:tc>
          <w:tcPr>
            <w:tcW w:w="1954" w:type="dxa"/>
            <w:tcBorders>
              <w:top w:val="single" w:sz="4" w:space="0" w:color="auto"/>
              <w:bottom w:val="single" w:sz="4" w:space="0" w:color="auto"/>
            </w:tcBorders>
            <w:vAlign w:val="center"/>
          </w:tcPr>
          <w:p w14:paraId="1727CFDE"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(C2H3N)H+</w:t>
            </w:r>
          </w:p>
        </w:tc>
        <w:tc>
          <w:tcPr>
            <w:tcW w:w="3734" w:type="dxa"/>
            <w:tcBorders>
              <w:top w:val="single" w:sz="4" w:space="0" w:color="auto"/>
              <w:bottom w:val="single" w:sz="4" w:space="0" w:color="auto"/>
            </w:tcBorders>
            <w:vAlign w:val="center"/>
          </w:tcPr>
          <w:p w14:paraId="6D5E2654" w14:textId="77777777" w:rsidR="005870E8" w:rsidRPr="005870E8" w:rsidRDefault="005870E8" w:rsidP="009571B5">
            <w:pPr>
              <w:spacing w:beforeLines="20" w:before="48" w:afterLines="20" w:after="48" w:line="240" w:lineRule="auto"/>
              <w:jc w:val="left"/>
              <w:rPr>
                <w:rFonts w:cs="Times New Roman"/>
                <w:b/>
                <w:bCs/>
                <w:color w:val="000000"/>
                <w:sz w:val="22"/>
              </w:rPr>
            </w:pPr>
            <w:r w:rsidRPr="005870E8">
              <w:rPr>
                <w:rFonts w:cs="Times New Roman"/>
                <w:b/>
                <w:bCs/>
                <w:color w:val="000000"/>
                <w:sz w:val="22"/>
              </w:rPr>
              <w:t>Acetonitrile</w:t>
            </w:r>
          </w:p>
        </w:tc>
        <w:tc>
          <w:tcPr>
            <w:tcW w:w="2440" w:type="dxa"/>
            <w:tcBorders>
              <w:top w:val="single" w:sz="4" w:space="0" w:color="auto"/>
              <w:bottom w:val="single" w:sz="4" w:space="0" w:color="auto"/>
            </w:tcBorders>
            <w:vAlign w:val="center"/>
          </w:tcPr>
          <w:p w14:paraId="4FF14493" w14:textId="77777777" w:rsidR="005870E8" w:rsidRPr="005870E8" w:rsidRDefault="005870E8" w:rsidP="00567750">
            <w:pPr>
              <w:spacing w:beforeLines="20" w:before="48" w:afterLines="20" w:after="48" w:line="240" w:lineRule="auto"/>
              <w:jc w:val="center"/>
              <w:rPr>
                <w:rFonts w:cs="Times New Roman"/>
                <w:b/>
                <w:bCs/>
                <w:color w:val="000000"/>
                <w:sz w:val="22"/>
              </w:rPr>
            </w:pPr>
            <w:r w:rsidRPr="005870E8">
              <w:rPr>
                <w:rFonts w:cs="Times New Roman"/>
                <w:b/>
                <w:bCs/>
                <w:sz w:val="22"/>
                <w:szCs w:val="20"/>
              </w:rPr>
              <w:t>218.6</w:t>
            </w:r>
          </w:p>
        </w:tc>
      </w:tr>
      <w:tr w:rsidR="005870E8" w:rsidRPr="005870E8" w14:paraId="657841E9" w14:textId="77777777" w:rsidTr="00567750">
        <w:tc>
          <w:tcPr>
            <w:tcW w:w="692" w:type="dxa"/>
            <w:tcBorders>
              <w:top w:val="single" w:sz="4" w:space="0" w:color="auto"/>
              <w:bottom w:val="single" w:sz="4" w:space="0" w:color="auto"/>
            </w:tcBorders>
            <w:vAlign w:val="center"/>
          </w:tcPr>
          <w:p w14:paraId="4306C5F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45</w:t>
            </w:r>
          </w:p>
        </w:tc>
        <w:tc>
          <w:tcPr>
            <w:tcW w:w="1954" w:type="dxa"/>
            <w:tcBorders>
              <w:top w:val="single" w:sz="4" w:space="0" w:color="auto"/>
              <w:bottom w:val="single" w:sz="4" w:space="0" w:color="auto"/>
            </w:tcBorders>
            <w:vAlign w:val="center"/>
          </w:tcPr>
          <w:p w14:paraId="75E66023"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(C2H4O)H+</w:t>
            </w:r>
          </w:p>
        </w:tc>
        <w:tc>
          <w:tcPr>
            <w:tcW w:w="3734" w:type="dxa"/>
            <w:tcBorders>
              <w:top w:val="single" w:sz="4" w:space="0" w:color="auto"/>
              <w:bottom w:val="single" w:sz="4" w:space="0" w:color="auto"/>
            </w:tcBorders>
            <w:vAlign w:val="center"/>
          </w:tcPr>
          <w:p w14:paraId="220307C4"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Acetaldehyde</w:t>
            </w:r>
          </w:p>
        </w:tc>
        <w:tc>
          <w:tcPr>
            <w:tcW w:w="2440" w:type="dxa"/>
            <w:tcBorders>
              <w:top w:val="single" w:sz="4" w:space="0" w:color="auto"/>
              <w:bottom w:val="single" w:sz="4" w:space="0" w:color="auto"/>
            </w:tcBorders>
            <w:vAlign w:val="center"/>
          </w:tcPr>
          <w:p w14:paraId="694DB727"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88.2</w:t>
            </w:r>
          </w:p>
        </w:tc>
      </w:tr>
      <w:tr w:rsidR="005870E8" w:rsidRPr="005870E8" w14:paraId="0F7A02E8" w14:textId="77777777" w:rsidTr="00567750">
        <w:tc>
          <w:tcPr>
            <w:tcW w:w="692" w:type="dxa"/>
            <w:tcBorders>
              <w:top w:val="single" w:sz="4" w:space="0" w:color="auto"/>
              <w:bottom w:val="single" w:sz="4" w:space="0" w:color="auto"/>
            </w:tcBorders>
            <w:vAlign w:val="center"/>
          </w:tcPr>
          <w:p w14:paraId="5185735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47</w:t>
            </w:r>
          </w:p>
        </w:tc>
        <w:tc>
          <w:tcPr>
            <w:tcW w:w="1954" w:type="dxa"/>
            <w:tcBorders>
              <w:top w:val="single" w:sz="4" w:space="0" w:color="auto"/>
              <w:bottom w:val="single" w:sz="4" w:space="0" w:color="auto"/>
            </w:tcBorders>
            <w:vAlign w:val="center"/>
          </w:tcPr>
          <w:p w14:paraId="07A5C4F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(C2H6O)H+</w:t>
            </w:r>
          </w:p>
        </w:tc>
        <w:tc>
          <w:tcPr>
            <w:tcW w:w="3734" w:type="dxa"/>
            <w:tcBorders>
              <w:top w:val="single" w:sz="4" w:space="0" w:color="auto"/>
              <w:bottom w:val="single" w:sz="4" w:space="0" w:color="auto"/>
            </w:tcBorders>
            <w:vAlign w:val="center"/>
          </w:tcPr>
          <w:p w14:paraId="7D811535"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Ethanol</w:t>
            </w:r>
          </w:p>
        </w:tc>
        <w:tc>
          <w:tcPr>
            <w:tcW w:w="2440" w:type="dxa"/>
            <w:tcBorders>
              <w:top w:val="single" w:sz="4" w:space="0" w:color="auto"/>
              <w:bottom w:val="single" w:sz="4" w:space="0" w:color="auto"/>
            </w:tcBorders>
            <w:vAlign w:val="center"/>
          </w:tcPr>
          <w:p w14:paraId="5C179347" w14:textId="77777777" w:rsidR="005870E8" w:rsidRPr="005870E8" w:rsidRDefault="005870E8" w:rsidP="00567750">
            <w:pPr>
              <w:spacing w:beforeLines="20" w:before="48" w:afterLines="20" w:after="48" w:line="240" w:lineRule="auto"/>
              <w:jc w:val="center"/>
              <w:rPr>
                <w:rFonts w:cs="Times New Roman"/>
                <w:i/>
                <w:iCs/>
                <w:sz w:val="22"/>
                <w:szCs w:val="20"/>
              </w:rPr>
            </w:pPr>
            <w:r w:rsidRPr="005870E8">
              <w:rPr>
                <w:rFonts w:cs="Times New Roman"/>
                <w:i/>
                <w:iCs/>
                <w:sz w:val="22"/>
                <w:szCs w:val="20"/>
              </w:rPr>
              <w:t>17.0</w:t>
            </w:r>
            <w:r w:rsidRPr="005870E8">
              <w:rPr>
                <w:rFonts w:ascii="Segoe UI Symbol" w:hAnsi="Segoe UI Symbol" w:cs="Segoe UI Symbol"/>
                <w:sz w:val="22"/>
                <w:szCs w:val="20"/>
              </w:rPr>
              <w:t>✝</w:t>
            </w:r>
          </w:p>
        </w:tc>
      </w:tr>
      <w:tr w:rsidR="005870E8" w:rsidRPr="005870E8" w14:paraId="7E992D2E" w14:textId="77777777" w:rsidTr="00567750">
        <w:tc>
          <w:tcPr>
            <w:tcW w:w="692" w:type="dxa"/>
            <w:tcBorders>
              <w:top w:val="single" w:sz="4" w:space="0" w:color="auto"/>
              <w:bottom w:val="single" w:sz="4" w:space="0" w:color="auto"/>
            </w:tcBorders>
            <w:vAlign w:val="center"/>
          </w:tcPr>
          <w:p w14:paraId="56CE3846"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57</w:t>
            </w:r>
          </w:p>
        </w:tc>
        <w:tc>
          <w:tcPr>
            <w:tcW w:w="1954" w:type="dxa"/>
            <w:tcBorders>
              <w:top w:val="single" w:sz="4" w:space="0" w:color="auto"/>
              <w:bottom w:val="single" w:sz="4" w:space="0" w:color="auto"/>
            </w:tcBorders>
            <w:vAlign w:val="center"/>
          </w:tcPr>
          <w:p w14:paraId="4051C5E6"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(C3H4O)H+</w:t>
            </w:r>
          </w:p>
        </w:tc>
        <w:tc>
          <w:tcPr>
            <w:tcW w:w="3734" w:type="dxa"/>
            <w:tcBorders>
              <w:top w:val="single" w:sz="4" w:space="0" w:color="auto"/>
              <w:bottom w:val="single" w:sz="4" w:space="0" w:color="auto"/>
            </w:tcBorders>
            <w:vAlign w:val="center"/>
          </w:tcPr>
          <w:p w14:paraId="1C21D4AF"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Acrolein</w:t>
            </w:r>
          </w:p>
        </w:tc>
        <w:tc>
          <w:tcPr>
            <w:tcW w:w="2440" w:type="dxa"/>
            <w:tcBorders>
              <w:top w:val="single" w:sz="4" w:space="0" w:color="auto"/>
              <w:bottom w:val="single" w:sz="4" w:space="0" w:color="auto"/>
            </w:tcBorders>
            <w:vAlign w:val="center"/>
          </w:tcPr>
          <w:p w14:paraId="58E90607"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52.8</w:t>
            </w:r>
          </w:p>
        </w:tc>
      </w:tr>
      <w:tr w:rsidR="005870E8" w:rsidRPr="005870E8" w14:paraId="582C9DF7" w14:textId="77777777" w:rsidTr="00567750">
        <w:tc>
          <w:tcPr>
            <w:tcW w:w="692" w:type="dxa"/>
            <w:tcBorders>
              <w:top w:val="single" w:sz="4" w:space="0" w:color="auto"/>
              <w:bottom w:val="single" w:sz="4" w:space="0" w:color="auto"/>
            </w:tcBorders>
            <w:vAlign w:val="center"/>
          </w:tcPr>
          <w:p w14:paraId="55673A77"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57</w:t>
            </w:r>
          </w:p>
        </w:tc>
        <w:tc>
          <w:tcPr>
            <w:tcW w:w="1954" w:type="dxa"/>
            <w:tcBorders>
              <w:top w:val="single" w:sz="4" w:space="0" w:color="auto"/>
              <w:bottom w:val="single" w:sz="4" w:space="0" w:color="auto"/>
            </w:tcBorders>
            <w:vAlign w:val="center"/>
          </w:tcPr>
          <w:p w14:paraId="743AD1B3"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(C4H8)H+</w:t>
            </w:r>
          </w:p>
        </w:tc>
        <w:tc>
          <w:tcPr>
            <w:tcW w:w="3734" w:type="dxa"/>
            <w:tcBorders>
              <w:top w:val="single" w:sz="4" w:space="0" w:color="auto"/>
              <w:bottom w:val="single" w:sz="4" w:space="0" w:color="auto"/>
            </w:tcBorders>
            <w:vAlign w:val="center"/>
          </w:tcPr>
          <w:p w14:paraId="0F8BC48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Butene; Alkane, alkene, and aromatic fragments</w:t>
            </w:r>
          </w:p>
        </w:tc>
        <w:tc>
          <w:tcPr>
            <w:tcW w:w="2440" w:type="dxa"/>
            <w:tcBorders>
              <w:top w:val="single" w:sz="4" w:space="0" w:color="auto"/>
              <w:bottom w:val="single" w:sz="4" w:space="0" w:color="auto"/>
            </w:tcBorders>
            <w:vAlign w:val="center"/>
          </w:tcPr>
          <w:p w14:paraId="7FFE41BB"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59.8</w:t>
            </w:r>
          </w:p>
        </w:tc>
      </w:tr>
      <w:tr w:rsidR="005870E8" w:rsidRPr="005870E8" w14:paraId="14F8569B" w14:textId="77777777" w:rsidTr="00567750">
        <w:tc>
          <w:tcPr>
            <w:tcW w:w="692" w:type="dxa"/>
            <w:tcBorders>
              <w:top w:val="single" w:sz="4" w:space="0" w:color="auto"/>
              <w:bottom w:val="single" w:sz="4" w:space="0" w:color="auto"/>
            </w:tcBorders>
            <w:vAlign w:val="center"/>
          </w:tcPr>
          <w:p w14:paraId="42B4F076"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59</w:t>
            </w:r>
          </w:p>
        </w:tc>
        <w:tc>
          <w:tcPr>
            <w:tcW w:w="1954" w:type="dxa"/>
            <w:tcBorders>
              <w:top w:val="single" w:sz="4" w:space="0" w:color="auto"/>
              <w:bottom w:val="single" w:sz="4" w:space="0" w:color="auto"/>
            </w:tcBorders>
            <w:vAlign w:val="center"/>
          </w:tcPr>
          <w:p w14:paraId="3279AFA4"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(C3H6O)H+</w:t>
            </w:r>
          </w:p>
        </w:tc>
        <w:tc>
          <w:tcPr>
            <w:tcW w:w="3734" w:type="dxa"/>
            <w:tcBorders>
              <w:top w:val="single" w:sz="4" w:space="0" w:color="auto"/>
              <w:bottom w:val="single" w:sz="4" w:space="0" w:color="auto"/>
            </w:tcBorders>
            <w:vAlign w:val="center"/>
          </w:tcPr>
          <w:p w14:paraId="0153F914"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b/>
                <w:bCs/>
                <w:color w:val="000000"/>
                <w:sz w:val="22"/>
              </w:rPr>
              <w:t>Acetone</w:t>
            </w:r>
            <w:r w:rsidRPr="005870E8">
              <w:rPr>
                <w:rFonts w:cs="Times New Roman"/>
                <w:color w:val="000000"/>
                <w:sz w:val="22"/>
              </w:rPr>
              <w:t>; Propanal</w:t>
            </w:r>
          </w:p>
        </w:tc>
        <w:tc>
          <w:tcPr>
            <w:tcW w:w="2440" w:type="dxa"/>
            <w:tcBorders>
              <w:top w:val="single" w:sz="4" w:space="0" w:color="auto"/>
              <w:bottom w:val="single" w:sz="4" w:space="0" w:color="auto"/>
            </w:tcBorders>
            <w:vAlign w:val="center"/>
          </w:tcPr>
          <w:p w14:paraId="0D872738" w14:textId="77777777" w:rsidR="005870E8" w:rsidRPr="005870E8" w:rsidRDefault="005870E8" w:rsidP="00567750">
            <w:pPr>
              <w:spacing w:beforeLines="20" w:before="48" w:afterLines="20" w:after="48" w:line="240" w:lineRule="auto"/>
              <w:jc w:val="center"/>
              <w:rPr>
                <w:rFonts w:cs="Times New Roman"/>
                <w:b/>
                <w:bCs/>
                <w:color w:val="000000"/>
                <w:sz w:val="22"/>
              </w:rPr>
            </w:pPr>
            <w:r w:rsidRPr="005870E8">
              <w:rPr>
                <w:rFonts w:cs="Times New Roman"/>
                <w:b/>
                <w:bCs/>
                <w:sz w:val="22"/>
                <w:szCs w:val="20"/>
              </w:rPr>
              <w:t>205.2</w:t>
            </w:r>
          </w:p>
        </w:tc>
      </w:tr>
      <w:tr w:rsidR="005870E8" w:rsidRPr="005870E8" w14:paraId="77E4BBEC" w14:textId="77777777" w:rsidTr="00567750">
        <w:tc>
          <w:tcPr>
            <w:tcW w:w="692" w:type="dxa"/>
            <w:tcBorders>
              <w:top w:val="single" w:sz="4" w:space="0" w:color="auto"/>
              <w:bottom w:val="single" w:sz="4" w:space="0" w:color="auto"/>
            </w:tcBorders>
            <w:vAlign w:val="center"/>
          </w:tcPr>
          <w:p w14:paraId="161F2D53"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60</w:t>
            </w:r>
          </w:p>
        </w:tc>
        <w:tc>
          <w:tcPr>
            <w:tcW w:w="1954" w:type="dxa"/>
            <w:tcBorders>
              <w:top w:val="single" w:sz="4" w:space="0" w:color="auto"/>
              <w:bottom w:val="single" w:sz="4" w:space="0" w:color="auto"/>
            </w:tcBorders>
            <w:vAlign w:val="center"/>
          </w:tcPr>
          <w:p w14:paraId="451A7D0A"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(C2H5NO)H+</w:t>
            </w:r>
          </w:p>
        </w:tc>
        <w:tc>
          <w:tcPr>
            <w:tcW w:w="3734" w:type="dxa"/>
            <w:tcBorders>
              <w:top w:val="single" w:sz="4" w:space="0" w:color="auto"/>
              <w:bottom w:val="single" w:sz="4" w:space="0" w:color="auto"/>
            </w:tcBorders>
            <w:vAlign w:val="center"/>
          </w:tcPr>
          <w:p w14:paraId="243BCD73"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Acetamide</w:t>
            </w:r>
          </w:p>
        </w:tc>
        <w:tc>
          <w:tcPr>
            <w:tcW w:w="2440" w:type="dxa"/>
            <w:tcBorders>
              <w:top w:val="single" w:sz="4" w:space="0" w:color="auto"/>
              <w:bottom w:val="single" w:sz="4" w:space="0" w:color="auto"/>
            </w:tcBorders>
            <w:vAlign w:val="center"/>
          </w:tcPr>
          <w:p w14:paraId="25458AA6"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129.0</w:t>
            </w:r>
          </w:p>
        </w:tc>
      </w:tr>
      <w:tr w:rsidR="005870E8" w:rsidRPr="005870E8" w14:paraId="58488D7D" w14:textId="77777777" w:rsidTr="00567750">
        <w:tc>
          <w:tcPr>
            <w:tcW w:w="692" w:type="dxa"/>
            <w:tcBorders>
              <w:top w:val="single" w:sz="4" w:space="0" w:color="auto"/>
              <w:bottom w:val="single" w:sz="4" w:space="0" w:color="auto"/>
            </w:tcBorders>
            <w:vAlign w:val="center"/>
          </w:tcPr>
          <w:p w14:paraId="1D0A40BA"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61</w:t>
            </w:r>
          </w:p>
        </w:tc>
        <w:tc>
          <w:tcPr>
            <w:tcW w:w="1954" w:type="dxa"/>
            <w:tcBorders>
              <w:top w:val="single" w:sz="4" w:space="0" w:color="auto"/>
              <w:bottom w:val="single" w:sz="4" w:space="0" w:color="auto"/>
            </w:tcBorders>
            <w:vAlign w:val="center"/>
          </w:tcPr>
          <w:p w14:paraId="2D61D9F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(C2H4O2)H+</w:t>
            </w:r>
          </w:p>
        </w:tc>
        <w:tc>
          <w:tcPr>
            <w:tcW w:w="3734" w:type="dxa"/>
            <w:tcBorders>
              <w:top w:val="single" w:sz="4" w:space="0" w:color="auto"/>
              <w:bottom w:val="single" w:sz="4" w:space="0" w:color="auto"/>
            </w:tcBorders>
            <w:vAlign w:val="center"/>
          </w:tcPr>
          <w:p w14:paraId="1DF2B923"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Acetic acid</w:t>
            </w:r>
          </w:p>
        </w:tc>
        <w:tc>
          <w:tcPr>
            <w:tcW w:w="2440" w:type="dxa"/>
            <w:tcBorders>
              <w:top w:val="single" w:sz="4" w:space="0" w:color="auto"/>
              <w:bottom w:val="single" w:sz="4" w:space="0" w:color="auto"/>
            </w:tcBorders>
            <w:vAlign w:val="center"/>
          </w:tcPr>
          <w:p w14:paraId="03B52B3E"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77.7</w:t>
            </w:r>
          </w:p>
        </w:tc>
      </w:tr>
      <w:tr w:rsidR="005870E8" w:rsidRPr="005870E8" w14:paraId="73BE0826" w14:textId="77777777" w:rsidTr="00567750">
        <w:tc>
          <w:tcPr>
            <w:tcW w:w="692" w:type="dxa"/>
            <w:tcBorders>
              <w:top w:val="single" w:sz="4" w:space="0" w:color="auto"/>
              <w:bottom w:val="single" w:sz="4" w:space="0" w:color="auto"/>
            </w:tcBorders>
            <w:vAlign w:val="center"/>
          </w:tcPr>
          <w:p w14:paraId="7268D57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69</w:t>
            </w:r>
          </w:p>
        </w:tc>
        <w:tc>
          <w:tcPr>
            <w:tcW w:w="1954" w:type="dxa"/>
            <w:tcBorders>
              <w:top w:val="single" w:sz="4" w:space="0" w:color="auto"/>
              <w:bottom w:val="single" w:sz="4" w:space="0" w:color="auto"/>
            </w:tcBorders>
            <w:vAlign w:val="center"/>
          </w:tcPr>
          <w:p w14:paraId="3AD13282"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(C4H4O)H+</w:t>
            </w:r>
          </w:p>
        </w:tc>
        <w:tc>
          <w:tcPr>
            <w:tcW w:w="3734" w:type="dxa"/>
            <w:tcBorders>
              <w:top w:val="single" w:sz="4" w:space="0" w:color="auto"/>
              <w:bottom w:val="single" w:sz="4" w:space="0" w:color="auto"/>
            </w:tcBorders>
            <w:vAlign w:val="center"/>
          </w:tcPr>
          <w:p w14:paraId="068B72C8"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Furan</w:t>
            </w:r>
          </w:p>
        </w:tc>
        <w:tc>
          <w:tcPr>
            <w:tcW w:w="2440" w:type="dxa"/>
            <w:tcBorders>
              <w:top w:val="single" w:sz="4" w:space="0" w:color="auto"/>
              <w:bottom w:val="single" w:sz="4" w:space="0" w:color="auto"/>
            </w:tcBorders>
            <w:vAlign w:val="center"/>
          </w:tcPr>
          <w:p w14:paraId="2EBF160F"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65.7</w:t>
            </w:r>
          </w:p>
        </w:tc>
      </w:tr>
      <w:tr w:rsidR="005870E8" w:rsidRPr="005870E8" w14:paraId="1B0D116A" w14:textId="77777777" w:rsidTr="00567750">
        <w:tc>
          <w:tcPr>
            <w:tcW w:w="692" w:type="dxa"/>
            <w:tcBorders>
              <w:top w:val="single" w:sz="4" w:space="0" w:color="auto"/>
              <w:bottom w:val="single" w:sz="4" w:space="0" w:color="auto"/>
            </w:tcBorders>
            <w:vAlign w:val="center"/>
          </w:tcPr>
          <w:p w14:paraId="5C4B9DA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69</w:t>
            </w:r>
          </w:p>
        </w:tc>
        <w:tc>
          <w:tcPr>
            <w:tcW w:w="1954" w:type="dxa"/>
            <w:tcBorders>
              <w:top w:val="single" w:sz="4" w:space="0" w:color="auto"/>
              <w:bottom w:val="single" w:sz="4" w:space="0" w:color="auto"/>
            </w:tcBorders>
            <w:vAlign w:val="center"/>
          </w:tcPr>
          <w:p w14:paraId="5BECEA0F"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(C5H8)H+</w:t>
            </w:r>
          </w:p>
        </w:tc>
        <w:tc>
          <w:tcPr>
            <w:tcW w:w="3734" w:type="dxa"/>
            <w:tcBorders>
              <w:top w:val="single" w:sz="4" w:space="0" w:color="auto"/>
              <w:bottom w:val="single" w:sz="4" w:space="0" w:color="auto"/>
            </w:tcBorders>
            <w:vAlign w:val="center"/>
          </w:tcPr>
          <w:p w14:paraId="2ADC3717" w14:textId="77777777" w:rsidR="005870E8" w:rsidRPr="005870E8" w:rsidRDefault="005870E8" w:rsidP="009571B5">
            <w:pPr>
              <w:spacing w:beforeLines="20" w:before="48" w:afterLines="20" w:after="48" w:line="240" w:lineRule="auto"/>
              <w:jc w:val="left"/>
              <w:rPr>
                <w:rFonts w:cs="Times New Roman"/>
                <w:b/>
                <w:bCs/>
                <w:color w:val="000000"/>
                <w:sz w:val="22"/>
              </w:rPr>
            </w:pPr>
            <w:r w:rsidRPr="005870E8">
              <w:rPr>
                <w:rFonts w:cs="Times New Roman"/>
                <w:b/>
                <w:bCs/>
                <w:color w:val="000000"/>
                <w:sz w:val="22"/>
              </w:rPr>
              <w:t>Isoprene</w:t>
            </w:r>
          </w:p>
        </w:tc>
        <w:tc>
          <w:tcPr>
            <w:tcW w:w="2440" w:type="dxa"/>
            <w:tcBorders>
              <w:top w:val="single" w:sz="4" w:space="0" w:color="auto"/>
              <w:bottom w:val="single" w:sz="4" w:space="0" w:color="auto"/>
            </w:tcBorders>
            <w:vAlign w:val="center"/>
          </w:tcPr>
          <w:p w14:paraId="5D3A2793" w14:textId="77777777" w:rsidR="005870E8" w:rsidRPr="005870E8" w:rsidRDefault="005870E8" w:rsidP="00567750">
            <w:pPr>
              <w:spacing w:beforeLines="20" w:before="48" w:afterLines="20" w:after="48" w:line="240" w:lineRule="auto"/>
              <w:jc w:val="center"/>
              <w:rPr>
                <w:rFonts w:cs="Times New Roman"/>
                <w:b/>
                <w:bCs/>
                <w:color w:val="000000"/>
                <w:sz w:val="22"/>
              </w:rPr>
            </w:pPr>
            <w:r w:rsidRPr="005870E8">
              <w:rPr>
                <w:rFonts w:cs="Times New Roman"/>
                <w:b/>
                <w:bCs/>
                <w:sz w:val="22"/>
                <w:szCs w:val="20"/>
              </w:rPr>
              <w:t>108.1</w:t>
            </w:r>
          </w:p>
        </w:tc>
      </w:tr>
      <w:tr w:rsidR="005870E8" w:rsidRPr="005870E8" w14:paraId="1121DAF3" w14:textId="77777777" w:rsidTr="00567750">
        <w:tc>
          <w:tcPr>
            <w:tcW w:w="692" w:type="dxa"/>
            <w:tcBorders>
              <w:top w:val="single" w:sz="4" w:space="0" w:color="auto"/>
              <w:bottom w:val="single" w:sz="4" w:space="0" w:color="auto"/>
            </w:tcBorders>
            <w:vAlign w:val="center"/>
          </w:tcPr>
          <w:p w14:paraId="5F61CF45"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71</w:t>
            </w:r>
          </w:p>
        </w:tc>
        <w:tc>
          <w:tcPr>
            <w:tcW w:w="1954" w:type="dxa"/>
            <w:tcBorders>
              <w:top w:val="single" w:sz="4" w:space="0" w:color="auto"/>
              <w:bottom w:val="single" w:sz="4" w:space="0" w:color="auto"/>
            </w:tcBorders>
            <w:vAlign w:val="center"/>
          </w:tcPr>
          <w:p w14:paraId="46597A02"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(C4H6O)H+</w:t>
            </w:r>
          </w:p>
        </w:tc>
        <w:tc>
          <w:tcPr>
            <w:tcW w:w="3734" w:type="dxa"/>
            <w:tcBorders>
              <w:top w:val="single" w:sz="4" w:space="0" w:color="auto"/>
              <w:bottom w:val="single" w:sz="4" w:space="0" w:color="auto"/>
            </w:tcBorders>
            <w:vAlign w:val="center"/>
          </w:tcPr>
          <w:p w14:paraId="71AA86C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MVK/MACR</w:t>
            </w:r>
          </w:p>
        </w:tc>
        <w:tc>
          <w:tcPr>
            <w:tcW w:w="2440" w:type="dxa"/>
            <w:tcBorders>
              <w:top w:val="single" w:sz="4" w:space="0" w:color="auto"/>
              <w:bottom w:val="single" w:sz="4" w:space="0" w:color="auto"/>
            </w:tcBorders>
            <w:vAlign w:val="center"/>
          </w:tcPr>
          <w:p w14:paraId="36024BC7"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126.5</w:t>
            </w:r>
          </w:p>
        </w:tc>
      </w:tr>
      <w:tr w:rsidR="005870E8" w:rsidRPr="005870E8" w14:paraId="7F4327B0" w14:textId="77777777" w:rsidTr="00567750">
        <w:tc>
          <w:tcPr>
            <w:tcW w:w="692" w:type="dxa"/>
            <w:tcBorders>
              <w:top w:val="single" w:sz="4" w:space="0" w:color="auto"/>
              <w:bottom w:val="single" w:sz="4" w:space="0" w:color="auto"/>
            </w:tcBorders>
            <w:vAlign w:val="center"/>
          </w:tcPr>
          <w:p w14:paraId="5AD964F5"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71</w:t>
            </w:r>
          </w:p>
        </w:tc>
        <w:tc>
          <w:tcPr>
            <w:tcW w:w="1954" w:type="dxa"/>
            <w:tcBorders>
              <w:top w:val="single" w:sz="4" w:space="0" w:color="auto"/>
              <w:bottom w:val="single" w:sz="4" w:space="0" w:color="auto"/>
            </w:tcBorders>
            <w:vAlign w:val="center"/>
          </w:tcPr>
          <w:p w14:paraId="6102EC2F"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(C5H10)H+</w:t>
            </w:r>
          </w:p>
        </w:tc>
        <w:tc>
          <w:tcPr>
            <w:tcW w:w="3734" w:type="dxa"/>
            <w:tcBorders>
              <w:top w:val="single" w:sz="4" w:space="0" w:color="auto"/>
              <w:bottom w:val="single" w:sz="4" w:space="0" w:color="auto"/>
            </w:tcBorders>
            <w:vAlign w:val="center"/>
          </w:tcPr>
          <w:p w14:paraId="482BB777"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Pentene; Fragments</w:t>
            </w:r>
          </w:p>
        </w:tc>
        <w:tc>
          <w:tcPr>
            <w:tcW w:w="2440" w:type="dxa"/>
            <w:tcBorders>
              <w:top w:val="single" w:sz="4" w:space="0" w:color="auto"/>
              <w:bottom w:val="single" w:sz="4" w:space="0" w:color="auto"/>
            </w:tcBorders>
            <w:vAlign w:val="center"/>
          </w:tcPr>
          <w:p w14:paraId="502A3BC0"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75.5</w:t>
            </w:r>
          </w:p>
        </w:tc>
      </w:tr>
      <w:tr w:rsidR="005870E8" w:rsidRPr="005870E8" w14:paraId="6FE738A8" w14:textId="77777777" w:rsidTr="00567750">
        <w:tc>
          <w:tcPr>
            <w:tcW w:w="692" w:type="dxa"/>
            <w:tcBorders>
              <w:top w:val="single" w:sz="4" w:space="0" w:color="auto"/>
              <w:bottom w:val="single" w:sz="4" w:space="0" w:color="auto"/>
            </w:tcBorders>
            <w:vAlign w:val="center"/>
          </w:tcPr>
          <w:p w14:paraId="4E567D34"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73</w:t>
            </w:r>
          </w:p>
        </w:tc>
        <w:tc>
          <w:tcPr>
            <w:tcW w:w="1954" w:type="dxa"/>
            <w:tcBorders>
              <w:top w:val="single" w:sz="4" w:space="0" w:color="auto"/>
              <w:bottom w:val="single" w:sz="4" w:space="0" w:color="auto"/>
            </w:tcBorders>
            <w:vAlign w:val="center"/>
          </w:tcPr>
          <w:p w14:paraId="670E0DE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(C4H8O)H+</w:t>
            </w:r>
          </w:p>
        </w:tc>
        <w:tc>
          <w:tcPr>
            <w:tcW w:w="3734" w:type="dxa"/>
            <w:tcBorders>
              <w:top w:val="single" w:sz="4" w:space="0" w:color="auto"/>
              <w:bottom w:val="single" w:sz="4" w:space="0" w:color="auto"/>
            </w:tcBorders>
            <w:vAlign w:val="center"/>
          </w:tcPr>
          <w:p w14:paraId="21375059"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Butanal; Butanone (MEK); Tetrahydrofuran</w:t>
            </w:r>
          </w:p>
        </w:tc>
        <w:tc>
          <w:tcPr>
            <w:tcW w:w="2440" w:type="dxa"/>
            <w:tcBorders>
              <w:top w:val="single" w:sz="4" w:space="0" w:color="auto"/>
              <w:bottom w:val="single" w:sz="4" w:space="0" w:color="auto"/>
            </w:tcBorders>
            <w:vAlign w:val="center"/>
          </w:tcPr>
          <w:p w14:paraId="6212377A"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127.9</w:t>
            </w:r>
          </w:p>
        </w:tc>
      </w:tr>
      <w:tr w:rsidR="005870E8" w:rsidRPr="005870E8" w14:paraId="38804AD4" w14:textId="77777777" w:rsidTr="00567750">
        <w:tc>
          <w:tcPr>
            <w:tcW w:w="692" w:type="dxa"/>
            <w:tcBorders>
              <w:top w:val="single" w:sz="4" w:space="0" w:color="auto"/>
              <w:bottom w:val="single" w:sz="4" w:space="0" w:color="auto"/>
            </w:tcBorders>
            <w:vAlign w:val="center"/>
          </w:tcPr>
          <w:p w14:paraId="1475701B"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73</w:t>
            </w:r>
          </w:p>
        </w:tc>
        <w:tc>
          <w:tcPr>
            <w:tcW w:w="1954" w:type="dxa"/>
            <w:tcBorders>
              <w:top w:val="single" w:sz="4" w:space="0" w:color="auto"/>
              <w:bottom w:val="single" w:sz="4" w:space="0" w:color="auto"/>
            </w:tcBorders>
            <w:vAlign w:val="center"/>
          </w:tcPr>
          <w:p w14:paraId="785A8503"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(C3H4O2)H+</w:t>
            </w:r>
          </w:p>
        </w:tc>
        <w:tc>
          <w:tcPr>
            <w:tcW w:w="3734" w:type="dxa"/>
            <w:tcBorders>
              <w:top w:val="single" w:sz="4" w:space="0" w:color="auto"/>
              <w:bottom w:val="single" w:sz="4" w:space="0" w:color="auto"/>
            </w:tcBorders>
            <w:vAlign w:val="center"/>
          </w:tcPr>
          <w:p w14:paraId="43ADAFB0"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Acrylic acid; Methyl glyoxal</w:t>
            </w:r>
          </w:p>
        </w:tc>
        <w:tc>
          <w:tcPr>
            <w:tcW w:w="2440" w:type="dxa"/>
            <w:tcBorders>
              <w:top w:val="single" w:sz="4" w:space="0" w:color="auto"/>
              <w:bottom w:val="single" w:sz="4" w:space="0" w:color="auto"/>
            </w:tcBorders>
            <w:vAlign w:val="center"/>
          </w:tcPr>
          <w:p w14:paraId="7939C67B"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100.9</w:t>
            </w:r>
          </w:p>
        </w:tc>
      </w:tr>
      <w:tr w:rsidR="005870E8" w:rsidRPr="005870E8" w14:paraId="1AAF5972" w14:textId="77777777" w:rsidTr="00567750">
        <w:tc>
          <w:tcPr>
            <w:tcW w:w="692" w:type="dxa"/>
            <w:tcBorders>
              <w:top w:val="single" w:sz="4" w:space="0" w:color="auto"/>
              <w:bottom w:val="single" w:sz="4" w:space="0" w:color="auto"/>
            </w:tcBorders>
            <w:vAlign w:val="center"/>
          </w:tcPr>
          <w:p w14:paraId="2CC38175"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75</w:t>
            </w:r>
          </w:p>
        </w:tc>
        <w:tc>
          <w:tcPr>
            <w:tcW w:w="1954" w:type="dxa"/>
            <w:tcBorders>
              <w:top w:val="single" w:sz="4" w:space="0" w:color="auto"/>
              <w:bottom w:val="single" w:sz="4" w:space="0" w:color="auto"/>
            </w:tcBorders>
            <w:vAlign w:val="center"/>
          </w:tcPr>
          <w:p w14:paraId="634A2232"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(C3H6O2)H+</w:t>
            </w:r>
          </w:p>
        </w:tc>
        <w:tc>
          <w:tcPr>
            <w:tcW w:w="3734" w:type="dxa"/>
            <w:tcBorders>
              <w:top w:val="single" w:sz="4" w:space="0" w:color="auto"/>
              <w:bottom w:val="single" w:sz="4" w:space="0" w:color="auto"/>
            </w:tcBorders>
            <w:vAlign w:val="center"/>
          </w:tcPr>
          <w:p w14:paraId="2E0EB6F3"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b/>
                <w:bCs/>
                <w:color w:val="000000"/>
                <w:sz w:val="22"/>
              </w:rPr>
              <w:t>Methyl acetate</w:t>
            </w:r>
            <w:r w:rsidRPr="005870E8">
              <w:rPr>
                <w:rFonts w:cs="Times New Roman"/>
                <w:color w:val="000000"/>
                <w:sz w:val="22"/>
              </w:rPr>
              <w:t xml:space="preserve">; Propionic acid </w:t>
            </w:r>
          </w:p>
        </w:tc>
        <w:tc>
          <w:tcPr>
            <w:tcW w:w="2440" w:type="dxa"/>
            <w:tcBorders>
              <w:top w:val="single" w:sz="4" w:space="0" w:color="auto"/>
              <w:bottom w:val="single" w:sz="4" w:space="0" w:color="auto"/>
            </w:tcBorders>
            <w:vAlign w:val="center"/>
          </w:tcPr>
          <w:p w14:paraId="058D5981" w14:textId="77777777" w:rsidR="005870E8" w:rsidRPr="005870E8" w:rsidRDefault="005870E8" w:rsidP="00567750">
            <w:pPr>
              <w:spacing w:beforeLines="20" w:before="48" w:afterLines="20" w:after="48" w:line="240" w:lineRule="auto"/>
              <w:jc w:val="center"/>
              <w:rPr>
                <w:rFonts w:cs="Times New Roman"/>
                <w:b/>
                <w:bCs/>
                <w:color w:val="000000"/>
                <w:sz w:val="22"/>
              </w:rPr>
            </w:pPr>
            <w:r w:rsidRPr="005870E8">
              <w:rPr>
                <w:rFonts w:cs="Times New Roman"/>
                <w:b/>
                <w:bCs/>
                <w:sz w:val="22"/>
                <w:szCs w:val="20"/>
              </w:rPr>
              <w:t>138.5</w:t>
            </w:r>
          </w:p>
        </w:tc>
      </w:tr>
      <w:tr w:rsidR="005870E8" w:rsidRPr="005870E8" w14:paraId="2D9DAB6A" w14:textId="77777777" w:rsidTr="00567750">
        <w:tc>
          <w:tcPr>
            <w:tcW w:w="692" w:type="dxa"/>
            <w:tcBorders>
              <w:top w:val="single" w:sz="4" w:space="0" w:color="auto"/>
              <w:bottom w:val="single" w:sz="4" w:space="0" w:color="auto"/>
            </w:tcBorders>
            <w:vAlign w:val="center"/>
          </w:tcPr>
          <w:p w14:paraId="54072B00"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76</w:t>
            </w:r>
          </w:p>
        </w:tc>
        <w:tc>
          <w:tcPr>
            <w:tcW w:w="1954" w:type="dxa"/>
            <w:tcBorders>
              <w:top w:val="single" w:sz="4" w:space="0" w:color="auto"/>
              <w:bottom w:val="single" w:sz="4" w:space="0" w:color="auto"/>
            </w:tcBorders>
            <w:vAlign w:val="center"/>
          </w:tcPr>
          <w:p w14:paraId="32098EDE"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(C2H5NO2)H+</w:t>
            </w:r>
          </w:p>
        </w:tc>
        <w:tc>
          <w:tcPr>
            <w:tcW w:w="3734" w:type="dxa"/>
            <w:tcBorders>
              <w:top w:val="single" w:sz="4" w:space="0" w:color="auto"/>
              <w:bottom w:val="single" w:sz="4" w:space="0" w:color="auto"/>
            </w:tcBorders>
            <w:vAlign w:val="center"/>
          </w:tcPr>
          <w:p w14:paraId="33BABBC2"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Nitroethane; Ethyl nitrite</w:t>
            </w:r>
          </w:p>
        </w:tc>
        <w:tc>
          <w:tcPr>
            <w:tcW w:w="2440" w:type="dxa"/>
            <w:tcBorders>
              <w:top w:val="single" w:sz="4" w:space="0" w:color="auto"/>
              <w:bottom w:val="single" w:sz="4" w:space="0" w:color="auto"/>
            </w:tcBorders>
            <w:vAlign w:val="center"/>
          </w:tcPr>
          <w:p w14:paraId="1DC1C48A"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151.1</w:t>
            </w:r>
          </w:p>
        </w:tc>
      </w:tr>
      <w:tr w:rsidR="005870E8" w:rsidRPr="005870E8" w14:paraId="6A641433" w14:textId="77777777" w:rsidTr="00567750">
        <w:tc>
          <w:tcPr>
            <w:tcW w:w="692" w:type="dxa"/>
            <w:tcBorders>
              <w:top w:val="single" w:sz="4" w:space="0" w:color="auto"/>
              <w:bottom w:val="single" w:sz="4" w:space="0" w:color="auto"/>
            </w:tcBorders>
            <w:vAlign w:val="center"/>
          </w:tcPr>
          <w:p w14:paraId="14C5CDB6"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77*</w:t>
            </w:r>
          </w:p>
        </w:tc>
        <w:tc>
          <w:tcPr>
            <w:tcW w:w="1954" w:type="dxa"/>
            <w:tcBorders>
              <w:top w:val="single" w:sz="4" w:space="0" w:color="auto"/>
              <w:bottom w:val="single" w:sz="4" w:space="0" w:color="auto"/>
            </w:tcBorders>
            <w:vAlign w:val="center"/>
          </w:tcPr>
          <w:p w14:paraId="03718E8C"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(C2H4O3)H+/</w:t>
            </w:r>
            <w:r w:rsidRPr="005870E8">
              <w:rPr>
                <w:rFonts w:cs="Times New Roman"/>
                <w:sz w:val="22"/>
                <w:szCs w:val="20"/>
              </w:rPr>
              <w:br/>
              <w:t>(C3H8O2)H+</w:t>
            </w:r>
          </w:p>
        </w:tc>
        <w:tc>
          <w:tcPr>
            <w:tcW w:w="3734" w:type="dxa"/>
            <w:tcBorders>
              <w:top w:val="single" w:sz="4" w:space="0" w:color="auto"/>
              <w:bottom w:val="single" w:sz="4" w:space="0" w:color="auto"/>
            </w:tcBorders>
            <w:vAlign w:val="center"/>
          </w:tcPr>
          <w:p w14:paraId="367632A7"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Glycolic acid; Peracetic acid;</w:t>
            </w:r>
            <w:r w:rsidRPr="005870E8">
              <w:rPr>
                <w:rFonts w:cs="Times New Roman"/>
                <w:color w:val="000000"/>
                <w:sz w:val="22"/>
              </w:rPr>
              <w:br/>
              <w:t>Propanediol/propylene glycol</w:t>
            </w:r>
          </w:p>
        </w:tc>
        <w:tc>
          <w:tcPr>
            <w:tcW w:w="2440" w:type="dxa"/>
            <w:tcBorders>
              <w:top w:val="single" w:sz="4" w:space="0" w:color="auto"/>
              <w:bottom w:val="single" w:sz="4" w:space="0" w:color="auto"/>
            </w:tcBorders>
            <w:vAlign w:val="center"/>
          </w:tcPr>
          <w:p w14:paraId="6F82076F"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126.1</w:t>
            </w:r>
          </w:p>
        </w:tc>
      </w:tr>
      <w:tr w:rsidR="005870E8" w:rsidRPr="005870E8" w14:paraId="15E7BFFB" w14:textId="77777777" w:rsidTr="00567750">
        <w:tc>
          <w:tcPr>
            <w:tcW w:w="692" w:type="dxa"/>
            <w:tcBorders>
              <w:top w:val="single" w:sz="4" w:space="0" w:color="auto"/>
              <w:bottom w:val="single" w:sz="4" w:space="0" w:color="auto"/>
            </w:tcBorders>
            <w:vAlign w:val="center"/>
          </w:tcPr>
          <w:p w14:paraId="1C67D18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79</w:t>
            </w:r>
          </w:p>
        </w:tc>
        <w:tc>
          <w:tcPr>
            <w:tcW w:w="1954" w:type="dxa"/>
            <w:tcBorders>
              <w:top w:val="single" w:sz="4" w:space="0" w:color="auto"/>
              <w:bottom w:val="single" w:sz="4" w:space="0" w:color="auto"/>
            </w:tcBorders>
            <w:vAlign w:val="center"/>
          </w:tcPr>
          <w:p w14:paraId="55DD07B2"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(C6H6)H+</w:t>
            </w:r>
          </w:p>
        </w:tc>
        <w:tc>
          <w:tcPr>
            <w:tcW w:w="3734" w:type="dxa"/>
            <w:tcBorders>
              <w:top w:val="single" w:sz="4" w:space="0" w:color="auto"/>
              <w:bottom w:val="single" w:sz="4" w:space="0" w:color="auto"/>
            </w:tcBorders>
            <w:vAlign w:val="center"/>
          </w:tcPr>
          <w:p w14:paraId="1B7D1C98" w14:textId="77777777" w:rsidR="005870E8" w:rsidRPr="005870E8" w:rsidRDefault="005870E8" w:rsidP="009571B5">
            <w:pPr>
              <w:spacing w:beforeLines="20" w:before="48" w:afterLines="20" w:after="48" w:line="240" w:lineRule="auto"/>
              <w:jc w:val="left"/>
              <w:rPr>
                <w:rFonts w:cs="Times New Roman"/>
                <w:b/>
                <w:bCs/>
                <w:color w:val="000000"/>
                <w:sz w:val="22"/>
              </w:rPr>
            </w:pPr>
            <w:r w:rsidRPr="005870E8">
              <w:rPr>
                <w:rFonts w:cs="Times New Roman"/>
                <w:b/>
                <w:bCs/>
                <w:color w:val="000000"/>
                <w:sz w:val="22"/>
              </w:rPr>
              <w:t>Benzene</w:t>
            </w:r>
          </w:p>
        </w:tc>
        <w:tc>
          <w:tcPr>
            <w:tcW w:w="2440" w:type="dxa"/>
            <w:tcBorders>
              <w:top w:val="single" w:sz="4" w:space="0" w:color="auto"/>
              <w:bottom w:val="single" w:sz="4" w:space="0" w:color="auto"/>
            </w:tcBorders>
            <w:vAlign w:val="center"/>
          </w:tcPr>
          <w:p w14:paraId="29BEC066" w14:textId="77777777" w:rsidR="005870E8" w:rsidRPr="005870E8" w:rsidRDefault="005870E8" w:rsidP="00567750">
            <w:pPr>
              <w:spacing w:beforeLines="20" w:before="48" w:afterLines="20" w:after="48" w:line="240" w:lineRule="auto"/>
              <w:jc w:val="center"/>
              <w:rPr>
                <w:rFonts w:cs="Times New Roman"/>
                <w:b/>
                <w:bCs/>
                <w:color w:val="000000"/>
                <w:sz w:val="22"/>
              </w:rPr>
            </w:pPr>
            <w:r w:rsidRPr="005870E8">
              <w:rPr>
                <w:rFonts w:cs="Times New Roman"/>
                <w:b/>
                <w:bCs/>
                <w:sz w:val="22"/>
                <w:szCs w:val="20"/>
              </w:rPr>
              <w:t>100.8</w:t>
            </w:r>
          </w:p>
        </w:tc>
      </w:tr>
      <w:tr w:rsidR="005870E8" w:rsidRPr="005870E8" w14:paraId="706FCE7F" w14:textId="77777777" w:rsidTr="00567750">
        <w:tc>
          <w:tcPr>
            <w:tcW w:w="692" w:type="dxa"/>
            <w:tcBorders>
              <w:top w:val="single" w:sz="4" w:space="0" w:color="auto"/>
              <w:bottom w:val="single" w:sz="4" w:space="0" w:color="auto"/>
            </w:tcBorders>
            <w:vAlign w:val="center"/>
          </w:tcPr>
          <w:p w14:paraId="76BCB920"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81</w:t>
            </w:r>
          </w:p>
        </w:tc>
        <w:tc>
          <w:tcPr>
            <w:tcW w:w="1954" w:type="dxa"/>
            <w:tcBorders>
              <w:top w:val="single" w:sz="4" w:space="0" w:color="auto"/>
              <w:bottom w:val="single" w:sz="4" w:space="0" w:color="auto"/>
            </w:tcBorders>
            <w:vAlign w:val="center"/>
          </w:tcPr>
          <w:p w14:paraId="411702A0"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(C6H8)H+</w:t>
            </w:r>
          </w:p>
        </w:tc>
        <w:tc>
          <w:tcPr>
            <w:tcW w:w="3734" w:type="dxa"/>
            <w:tcBorders>
              <w:top w:val="single" w:sz="4" w:space="0" w:color="auto"/>
              <w:bottom w:val="single" w:sz="4" w:space="0" w:color="auto"/>
            </w:tcBorders>
            <w:vAlign w:val="center"/>
          </w:tcPr>
          <w:p w14:paraId="2ACC93A9"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Cyclohexadiene; Monoterpenes fragment</w:t>
            </w:r>
          </w:p>
        </w:tc>
        <w:tc>
          <w:tcPr>
            <w:tcW w:w="2440" w:type="dxa"/>
            <w:tcBorders>
              <w:top w:val="single" w:sz="4" w:space="0" w:color="auto"/>
              <w:bottom w:val="single" w:sz="4" w:space="0" w:color="auto"/>
            </w:tcBorders>
            <w:vAlign w:val="center"/>
          </w:tcPr>
          <w:p w14:paraId="05498494"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88.1</w:t>
            </w:r>
          </w:p>
        </w:tc>
      </w:tr>
      <w:tr w:rsidR="005870E8" w:rsidRPr="005870E8" w14:paraId="4FAE61D3" w14:textId="77777777" w:rsidTr="00567750">
        <w:tc>
          <w:tcPr>
            <w:tcW w:w="692" w:type="dxa"/>
            <w:tcBorders>
              <w:top w:val="single" w:sz="4" w:space="0" w:color="auto"/>
              <w:bottom w:val="single" w:sz="4" w:space="0" w:color="auto"/>
            </w:tcBorders>
            <w:vAlign w:val="center"/>
          </w:tcPr>
          <w:p w14:paraId="0C51C8D7"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83</w:t>
            </w:r>
          </w:p>
        </w:tc>
        <w:tc>
          <w:tcPr>
            <w:tcW w:w="1954" w:type="dxa"/>
            <w:tcBorders>
              <w:top w:val="single" w:sz="4" w:space="0" w:color="auto"/>
              <w:bottom w:val="single" w:sz="4" w:space="0" w:color="auto"/>
            </w:tcBorders>
            <w:vAlign w:val="center"/>
          </w:tcPr>
          <w:p w14:paraId="38928665"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(C5H6O)H+</w:t>
            </w:r>
          </w:p>
        </w:tc>
        <w:tc>
          <w:tcPr>
            <w:tcW w:w="3734" w:type="dxa"/>
            <w:tcBorders>
              <w:top w:val="single" w:sz="4" w:space="0" w:color="auto"/>
              <w:bottom w:val="single" w:sz="4" w:space="0" w:color="auto"/>
            </w:tcBorders>
            <w:vAlign w:val="center"/>
          </w:tcPr>
          <w:p w14:paraId="683AA38F"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Methyl furan</w:t>
            </w:r>
          </w:p>
        </w:tc>
        <w:tc>
          <w:tcPr>
            <w:tcW w:w="2440" w:type="dxa"/>
            <w:tcBorders>
              <w:top w:val="single" w:sz="4" w:space="0" w:color="auto"/>
              <w:bottom w:val="single" w:sz="4" w:space="0" w:color="auto"/>
            </w:tcBorders>
            <w:vAlign w:val="center"/>
          </w:tcPr>
          <w:p w14:paraId="2CA1A11B"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85.9</w:t>
            </w:r>
          </w:p>
        </w:tc>
      </w:tr>
      <w:tr w:rsidR="005870E8" w:rsidRPr="005870E8" w14:paraId="253B247F" w14:textId="77777777" w:rsidTr="00567750">
        <w:tc>
          <w:tcPr>
            <w:tcW w:w="692" w:type="dxa"/>
            <w:tcBorders>
              <w:top w:val="single" w:sz="4" w:space="0" w:color="auto"/>
              <w:bottom w:val="single" w:sz="4" w:space="0" w:color="auto"/>
            </w:tcBorders>
            <w:vAlign w:val="center"/>
          </w:tcPr>
          <w:p w14:paraId="6FEBAD66"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83</w:t>
            </w:r>
          </w:p>
        </w:tc>
        <w:tc>
          <w:tcPr>
            <w:tcW w:w="1954" w:type="dxa"/>
            <w:tcBorders>
              <w:top w:val="single" w:sz="4" w:space="0" w:color="auto"/>
              <w:bottom w:val="single" w:sz="4" w:space="0" w:color="auto"/>
            </w:tcBorders>
            <w:vAlign w:val="center"/>
          </w:tcPr>
          <w:p w14:paraId="3F68026A"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(C6H10)H+</w:t>
            </w:r>
          </w:p>
        </w:tc>
        <w:tc>
          <w:tcPr>
            <w:tcW w:w="3734" w:type="dxa"/>
            <w:tcBorders>
              <w:top w:val="single" w:sz="4" w:space="0" w:color="auto"/>
              <w:bottom w:val="single" w:sz="4" w:space="0" w:color="auto"/>
            </w:tcBorders>
            <w:vAlign w:val="center"/>
          </w:tcPr>
          <w:p w14:paraId="143166C4"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Cyclohexene</w:t>
            </w:r>
          </w:p>
        </w:tc>
        <w:tc>
          <w:tcPr>
            <w:tcW w:w="2440" w:type="dxa"/>
            <w:tcBorders>
              <w:top w:val="single" w:sz="4" w:space="0" w:color="auto"/>
              <w:bottom w:val="single" w:sz="4" w:space="0" w:color="auto"/>
            </w:tcBorders>
            <w:vAlign w:val="center"/>
          </w:tcPr>
          <w:p w14:paraId="464020E7"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88.6</w:t>
            </w:r>
          </w:p>
        </w:tc>
      </w:tr>
      <w:tr w:rsidR="005870E8" w:rsidRPr="005870E8" w14:paraId="364D9972" w14:textId="77777777" w:rsidTr="00567750">
        <w:tc>
          <w:tcPr>
            <w:tcW w:w="692" w:type="dxa"/>
            <w:tcBorders>
              <w:top w:val="single" w:sz="4" w:space="0" w:color="auto"/>
              <w:bottom w:val="single" w:sz="4" w:space="0" w:color="auto"/>
            </w:tcBorders>
            <w:vAlign w:val="center"/>
          </w:tcPr>
          <w:p w14:paraId="68F3E929"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85</w:t>
            </w:r>
          </w:p>
        </w:tc>
        <w:tc>
          <w:tcPr>
            <w:tcW w:w="1954" w:type="dxa"/>
            <w:tcBorders>
              <w:top w:val="single" w:sz="4" w:space="0" w:color="auto"/>
              <w:bottom w:val="single" w:sz="4" w:space="0" w:color="auto"/>
            </w:tcBorders>
            <w:vAlign w:val="center"/>
          </w:tcPr>
          <w:p w14:paraId="7044BF9B"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(C4H4O2)H+</w:t>
            </w:r>
          </w:p>
        </w:tc>
        <w:tc>
          <w:tcPr>
            <w:tcW w:w="3734" w:type="dxa"/>
            <w:tcBorders>
              <w:top w:val="single" w:sz="4" w:space="0" w:color="auto"/>
              <w:bottom w:val="single" w:sz="4" w:space="0" w:color="auto"/>
            </w:tcBorders>
            <w:vAlign w:val="center"/>
          </w:tcPr>
          <w:p w14:paraId="187784D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Furanone</w:t>
            </w:r>
          </w:p>
        </w:tc>
        <w:tc>
          <w:tcPr>
            <w:tcW w:w="2440" w:type="dxa"/>
            <w:tcBorders>
              <w:top w:val="single" w:sz="4" w:space="0" w:color="auto"/>
              <w:bottom w:val="single" w:sz="4" w:space="0" w:color="auto"/>
            </w:tcBorders>
            <w:vAlign w:val="center"/>
          </w:tcPr>
          <w:p w14:paraId="3C30C6F6"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92.7</w:t>
            </w:r>
          </w:p>
        </w:tc>
      </w:tr>
      <w:tr w:rsidR="005870E8" w:rsidRPr="005870E8" w14:paraId="00E2AAA2" w14:textId="77777777" w:rsidTr="00567750">
        <w:tc>
          <w:tcPr>
            <w:tcW w:w="692" w:type="dxa"/>
            <w:tcBorders>
              <w:top w:val="single" w:sz="4" w:space="0" w:color="auto"/>
              <w:bottom w:val="single" w:sz="4" w:space="0" w:color="auto"/>
            </w:tcBorders>
            <w:vAlign w:val="center"/>
          </w:tcPr>
          <w:p w14:paraId="5A04683B"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85</w:t>
            </w:r>
          </w:p>
        </w:tc>
        <w:tc>
          <w:tcPr>
            <w:tcW w:w="1954" w:type="dxa"/>
            <w:tcBorders>
              <w:top w:val="single" w:sz="4" w:space="0" w:color="auto"/>
              <w:bottom w:val="single" w:sz="4" w:space="0" w:color="auto"/>
            </w:tcBorders>
            <w:vAlign w:val="center"/>
          </w:tcPr>
          <w:p w14:paraId="761F73A6"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(C5H8O)H+</w:t>
            </w:r>
          </w:p>
        </w:tc>
        <w:tc>
          <w:tcPr>
            <w:tcW w:w="3734" w:type="dxa"/>
            <w:tcBorders>
              <w:top w:val="single" w:sz="4" w:space="0" w:color="auto"/>
              <w:bottom w:val="single" w:sz="4" w:space="0" w:color="auto"/>
            </w:tcBorders>
            <w:vAlign w:val="center"/>
          </w:tcPr>
          <w:p w14:paraId="2FA4ADC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 xml:space="preserve">Pentenal; Methyl butenal; Methyl butenone </w:t>
            </w:r>
          </w:p>
        </w:tc>
        <w:tc>
          <w:tcPr>
            <w:tcW w:w="2440" w:type="dxa"/>
            <w:tcBorders>
              <w:top w:val="single" w:sz="4" w:space="0" w:color="auto"/>
              <w:bottom w:val="single" w:sz="4" w:space="0" w:color="auto"/>
            </w:tcBorders>
            <w:vAlign w:val="center"/>
          </w:tcPr>
          <w:p w14:paraId="5BAC6D1C"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139.1</w:t>
            </w:r>
          </w:p>
        </w:tc>
      </w:tr>
      <w:tr w:rsidR="005870E8" w:rsidRPr="005870E8" w14:paraId="609674EA" w14:textId="77777777" w:rsidTr="00567750">
        <w:tc>
          <w:tcPr>
            <w:tcW w:w="692" w:type="dxa"/>
            <w:tcBorders>
              <w:top w:val="single" w:sz="4" w:space="0" w:color="auto"/>
              <w:bottom w:val="single" w:sz="4" w:space="0" w:color="auto"/>
            </w:tcBorders>
            <w:vAlign w:val="center"/>
          </w:tcPr>
          <w:p w14:paraId="12B8CC1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85</w:t>
            </w:r>
          </w:p>
        </w:tc>
        <w:tc>
          <w:tcPr>
            <w:tcW w:w="1954" w:type="dxa"/>
            <w:tcBorders>
              <w:top w:val="single" w:sz="4" w:space="0" w:color="auto"/>
              <w:bottom w:val="single" w:sz="4" w:space="0" w:color="auto"/>
            </w:tcBorders>
            <w:vAlign w:val="center"/>
          </w:tcPr>
          <w:p w14:paraId="56795907"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(C6H12)H+</w:t>
            </w:r>
          </w:p>
        </w:tc>
        <w:tc>
          <w:tcPr>
            <w:tcW w:w="3734" w:type="dxa"/>
            <w:tcBorders>
              <w:top w:val="single" w:sz="4" w:space="0" w:color="auto"/>
              <w:bottom w:val="single" w:sz="4" w:space="0" w:color="auto"/>
            </w:tcBorders>
            <w:vAlign w:val="center"/>
          </w:tcPr>
          <w:p w14:paraId="0859575F"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Cyclohexane</w:t>
            </w:r>
          </w:p>
        </w:tc>
        <w:tc>
          <w:tcPr>
            <w:tcW w:w="2440" w:type="dxa"/>
            <w:tcBorders>
              <w:top w:val="single" w:sz="4" w:space="0" w:color="auto"/>
              <w:bottom w:val="single" w:sz="4" w:space="0" w:color="auto"/>
            </w:tcBorders>
            <w:vAlign w:val="center"/>
          </w:tcPr>
          <w:p w14:paraId="66799001"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95.0</w:t>
            </w:r>
          </w:p>
        </w:tc>
      </w:tr>
      <w:tr w:rsidR="005870E8" w:rsidRPr="005870E8" w14:paraId="767E754D" w14:textId="77777777" w:rsidTr="00567750">
        <w:tc>
          <w:tcPr>
            <w:tcW w:w="692" w:type="dxa"/>
            <w:tcBorders>
              <w:top w:val="single" w:sz="4" w:space="0" w:color="auto"/>
              <w:bottom w:val="single" w:sz="4" w:space="0" w:color="auto"/>
            </w:tcBorders>
            <w:vAlign w:val="center"/>
          </w:tcPr>
          <w:p w14:paraId="07102D32"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87</w:t>
            </w:r>
          </w:p>
        </w:tc>
        <w:tc>
          <w:tcPr>
            <w:tcW w:w="1954" w:type="dxa"/>
            <w:tcBorders>
              <w:top w:val="single" w:sz="4" w:space="0" w:color="auto"/>
              <w:bottom w:val="single" w:sz="4" w:space="0" w:color="auto"/>
            </w:tcBorders>
            <w:vAlign w:val="center"/>
          </w:tcPr>
          <w:p w14:paraId="12A2982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(C5H10O)H+</w:t>
            </w:r>
          </w:p>
        </w:tc>
        <w:tc>
          <w:tcPr>
            <w:tcW w:w="3734" w:type="dxa"/>
            <w:tcBorders>
              <w:top w:val="single" w:sz="4" w:space="0" w:color="auto"/>
              <w:bottom w:val="single" w:sz="4" w:space="0" w:color="auto"/>
            </w:tcBorders>
            <w:vAlign w:val="center"/>
          </w:tcPr>
          <w:p w14:paraId="02B2EFFA"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Pentanal; Pentanone; MBO; Methyl butanone</w:t>
            </w:r>
          </w:p>
        </w:tc>
        <w:tc>
          <w:tcPr>
            <w:tcW w:w="2440" w:type="dxa"/>
            <w:tcBorders>
              <w:top w:val="single" w:sz="4" w:space="0" w:color="auto"/>
              <w:bottom w:val="single" w:sz="4" w:space="0" w:color="auto"/>
            </w:tcBorders>
            <w:vAlign w:val="center"/>
          </w:tcPr>
          <w:p w14:paraId="25ACEFF6"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152.0</w:t>
            </w:r>
          </w:p>
        </w:tc>
      </w:tr>
      <w:tr w:rsidR="005870E8" w:rsidRPr="005870E8" w14:paraId="635539C0" w14:textId="77777777" w:rsidTr="00567750">
        <w:tc>
          <w:tcPr>
            <w:tcW w:w="692" w:type="dxa"/>
            <w:tcBorders>
              <w:top w:val="single" w:sz="4" w:space="0" w:color="auto"/>
              <w:bottom w:val="single" w:sz="4" w:space="0" w:color="auto"/>
            </w:tcBorders>
            <w:vAlign w:val="center"/>
          </w:tcPr>
          <w:p w14:paraId="6C670002"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88*</w:t>
            </w:r>
          </w:p>
        </w:tc>
        <w:tc>
          <w:tcPr>
            <w:tcW w:w="1954" w:type="dxa"/>
            <w:tcBorders>
              <w:top w:val="single" w:sz="4" w:space="0" w:color="auto"/>
              <w:bottom w:val="single" w:sz="4" w:space="0" w:color="auto"/>
            </w:tcBorders>
            <w:vAlign w:val="center"/>
          </w:tcPr>
          <w:p w14:paraId="46784270"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(C4H9NO)H+/</w:t>
            </w:r>
            <w:r w:rsidRPr="005870E8">
              <w:rPr>
                <w:rFonts w:cs="Times New Roman"/>
                <w:sz w:val="22"/>
                <w:szCs w:val="20"/>
              </w:rPr>
              <w:br/>
              <w:t>(C5H13N)H+</w:t>
            </w:r>
          </w:p>
        </w:tc>
        <w:tc>
          <w:tcPr>
            <w:tcW w:w="3734" w:type="dxa"/>
            <w:tcBorders>
              <w:top w:val="single" w:sz="4" w:space="0" w:color="auto"/>
              <w:bottom w:val="single" w:sz="4" w:space="0" w:color="auto"/>
            </w:tcBorders>
            <w:vAlign w:val="center"/>
          </w:tcPr>
          <w:p w14:paraId="0E99AA5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 xml:space="preserve">Butyramide; </w:t>
            </w:r>
            <w:r w:rsidRPr="005870E8">
              <w:rPr>
                <w:rFonts w:cs="Times New Roman"/>
                <w:color w:val="000000"/>
                <w:sz w:val="22"/>
              </w:rPr>
              <w:br/>
              <w:t>Pentylamine</w:t>
            </w:r>
          </w:p>
        </w:tc>
        <w:tc>
          <w:tcPr>
            <w:tcW w:w="2440" w:type="dxa"/>
            <w:tcBorders>
              <w:top w:val="single" w:sz="4" w:space="0" w:color="auto"/>
              <w:bottom w:val="single" w:sz="4" w:space="0" w:color="auto"/>
            </w:tcBorders>
            <w:vAlign w:val="center"/>
          </w:tcPr>
          <w:p w14:paraId="3827A0EB"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101.0</w:t>
            </w:r>
          </w:p>
        </w:tc>
      </w:tr>
      <w:tr w:rsidR="005870E8" w:rsidRPr="005870E8" w14:paraId="499BF755" w14:textId="77777777" w:rsidTr="00567750">
        <w:tc>
          <w:tcPr>
            <w:tcW w:w="692" w:type="dxa"/>
            <w:tcBorders>
              <w:top w:val="single" w:sz="4" w:space="0" w:color="auto"/>
              <w:bottom w:val="single" w:sz="4" w:space="0" w:color="auto"/>
            </w:tcBorders>
            <w:vAlign w:val="center"/>
          </w:tcPr>
          <w:p w14:paraId="5795678B"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89</w:t>
            </w:r>
          </w:p>
        </w:tc>
        <w:tc>
          <w:tcPr>
            <w:tcW w:w="1954" w:type="dxa"/>
            <w:tcBorders>
              <w:top w:val="single" w:sz="4" w:space="0" w:color="auto"/>
              <w:bottom w:val="single" w:sz="4" w:space="0" w:color="auto"/>
            </w:tcBorders>
            <w:vAlign w:val="center"/>
          </w:tcPr>
          <w:p w14:paraId="19B235CF"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(C4H8O2)H+</w:t>
            </w:r>
          </w:p>
        </w:tc>
        <w:tc>
          <w:tcPr>
            <w:tcW w:w="3734" w:type="dxa"/>
            <w:tcBorders>
              <w:top w:val="single" w:sz="4" w:space="0" w:color="auto"/>
              <w:bottom w:val="single" w:sz="4" w:space="0" w:color="auto"/>
            </w:tcBorders>
            <w:vAlign w:val="center"/>
          </w:tcPr>
          <w:p w14:paraId="64C718C5"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Butyric acid; Methyl propanoate</w:t>
            </w:r>
          </w:p>
        </w:tc>
        <w:tc>
          <w:tcPr>
            <w:tcW w:w="2440" w:type="dxa"/>
            <w:tcBorders>
              <w:top w:val="single" w:sz="4" w:space="0" w:color="auto"/>
              <w:bottom w:val="single" w:sz="4" w:space="0" w:color="auto"/>
            </w:tcBorders>
            <w:vAlign w:val="center"/>
          </w:tcPr>
          <w:p w14:paraId="450E1DD9"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114.8</w:t>
            </w:r>
          </w:p>
        </w:tc>
      </w:tr>
      <w:tr w:rsidR="005870E8" w:rsidRPr="005870E8" w14:paraId="1BC81257" w14:textId="77777777" w:rsidTr="00567750">
        <w:tc>
          <w:tcPr>
            <w:tcW w:w="692" w:type="dxa"/>
            <w:tcBorders>
              <w:top w:val="single" w:sz="4" w:space="0" w:color="auto"/>
              <w:bottom w:val="single" w:sz="4" w:space="0" w:color="auto"/>
            </w:tcBorders>
            <w:vAlign w:val="center"/>
          </w:tcPr>
          <w:p w14:paraId="7F6C4820"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91</w:t>
            </w:r>
          </w:p>
        </w:tc>
        <w:tc>
          <w:tcPr>
            <w:tcW w:w="1954" w:type="dxa"/>
            <w:tcBorders>
              <w:top w:val="single" w:sz="4" w:space="0" w:color="auto"/>
              <w:bottom w:val="single" w:sz="4" w:space="0" w:color="auto"/>
            </w:tcBorders>
            <w:vAlign w:val="center"/>
          </w:tcPr>
          <w:p w14:paraId="7817E21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(C3H6O3)H+</w:t>
            </w:r>
          </w:p>
        </w:tc>
        <w:tc>
          <w:tcPr>
            <w:tcW w:w="3734" w:type="dxa"/>
            <w:tcBorders>
              <w:top w:val="single" w:sz="4" w:space="0" w:color="auto"/>
              <w:bottom w:val="single" w:sz="4" w:space="0" w:color="auto"/>
            </w:tcBorders>
            <w:vAlign w:val="center"/>
          </w:tcPr>
          <w:p w14:paraId="47489C7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Lactic acid</w:t>
            </w:r>
          </w:p>
        </w:tc>
        <w:tc>
          <w:tcPr>
            <w:tcW w:w="2440" w:type="dxa"/>
            <w:tcBorders>
              <w:top w:val="single" w:sz="4" w:space="0" w:color="auto"/>
              <w:bottom w:val="single" w:sz="4" w:space="0" w:color="auto"/>
            </w:tcBorders>
            <w:vAlign w:val="center"/>
          </w:tcPr>
          <w:p w14:paraId="47A83A0E"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119.6</w:t>
            </w:r>
          </w:p>
        </w:tc>
      </w:tr>
      <w:tr w:rsidR="005870E8" w:rsidRPr="005870E8" w14:paraId="1EBD58AC" w14:textId="77777777" w:rsidTr="00567750">
        <w:tc>
          <w:tcPr>
            <w:tcW w:w="692" w:type="dxa"/>
            <w:tcBorders>
              <w:top w:val="single" w:sz="4" w:space="0" w:color="auto"/>
              <w:bottom w:val="single" w:sz="4" w:space="0" w:color="auto"/>
            </w:tcBorders>
            <w:vAlign w:val="center"/>
          </w:tcPr>
          <w:p w14:paraId="6574529E"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93</w:t>
            </w:r>
          </w:p>
        </w:tc>
        <w:tc>
          <w:tcPr>
            <w:tcW w:w="1954" w:type="dxa"/>
            <w:tcBorders>
              <w:top w:val="single" w:sz="4" w:space="0" w:color="auto"/>
              <w:bottom w:val="single" w:sz="4" w:space="0" w:color="auto"/>
            </w:tcBorders>
            <w:vAlign w:val="center"/>
          </w:tcPr>
          <w:p w14:paraId="3A926E63"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sz w:val="22"/>
                <w:szCs w:val="20"/>
              </w:rPr>
              <w:t>(C7H8)H+</w:t>
            </w:r>
          </w:p>
        </w:tc>
        <w:tc>
          <w:tcPr>
            <w:tcW w:w="3734" w:type="dxa"/>
            <w:tcBorders>
              <w:top w:val="single" w:sz="4" w:space="0" w:color="auto"/>
              <w:bottom w:val="single" w:sz="4" w:space="0" w:color="auto"/>
            </w:tcBorders>
            <w:vAlign w:val="center"/>
          </w:tcPr>
          <w:p w14:paraId="1EA19087" w14:textId="77777777" w:rsidR="005870E8" w:rsidRPr="005870E8" w:rsidRDefault="005870E8" w:rsidP="009571B5">
            <w:pPr>
              <w:spacing w:beforeLines="20" w:before="48" w:afterLines="20" w:after="48" w:line="240" w:lineRule="auto"/>
              <w:jc w:val="left"/>
              <w:rPr>
                <w:rFonts w:cs="Times New Roman"/>
                <w:b/>
                <w:bCs/>
                <w:color w:val="000000"/>
                <w:sz w:val="22"/>
              </w:rPr>
            </w:pPr>
            <w:r w:rsidRPr="005870E8">
              <w:rPr>
                <w:rFonts w:cs="Times New Roman"/>
                <w:b/>
                <w:bCs/>
                <w:color w:val="000000"/>
                <w:sz w:val="22"/>
              </w:rPr>
              <w:t>Toluene</w:t>
            </w:r>
          </w:p>
        </w:tc>
        <w:tc>
          <w:tcPr>
            <w:tcW w:w="2440" w:type="dxa"/>
            <w:tcBorders>
              <w:top w:val="single" w:sz="4" w:space="0" w:color="auto"/>
              <w:bottom w:val="single" w:sz="4" w:space="0" w:color="auto"/>
            </w:tcBorders>
            <w:vAlign w:val="center"/>
          </w:tcPr>
          <w:p w14:paraId="3732463D" w14:textId="77777777" w:rsidR="005870E8" w:rsidRPr="005870E8" w:rsidRDefault="005870E8" w:rsidP="00567750">
            <w:pPr>
              <w:spacing w:beforeLines="20" w:before="48" w:afterLines="20" w:after="48" w:line="240" w:lineRule="auto"/>
              <w:jc w:val="center"/>
              <w:rPr>
                <w:rFonts w:cs="Times New Roman"/>
                <w:b/>
                <w:bCs/>
                <w:color w:val="000000"/>
                <w:sz w:val="22"/>
              </w:rPr>
            </w:pPr>
            <w:r w:rsidRPr="005870E8">
              <w:rPr>
                <w:rFonts w:cs="Times New Roman"/>
                <w:b/>
                <w:bCs/>
                <w:sz w:val="22"/>
                <w:szCs w:val="20"/>
              </w:rPr>
              <w:t>79.8</w:t>
            </w:r>
          </w:p>
        </w:tc>
      </w:tr>
      <w:tr w:rsidR="005870E8" w:rsidRPr="005870E8" w14:paraId="5EF98324" w14:textId="77777777" w:rsidTr="00567750">
        <w:tc>
          <w:tcPr>
            <w:tcW w:w="692" w:type="dxa"/>
            <w:tcBorders>
              <w:top w:val="single" w:sz="4" w:space="0" w:color="auto"/>
              <w:bottom w:val="single" w:sz="4" w:space="0" w:color="auto"/>
            </w:tcBorders>
            <w:vAlign w:val="center"/>
          </w:tcPr>
          <w:p w14:paraId="60FF6F09"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95</w:t>
            </w:r>
          </w:p>
        </w:tc>
        <w:tc>
          <w:tcPr>
            <w:tcW w:w="1954" w:type="dxa"/>
            <w:tcBorders>
              <w:top w:val="single" w:sz="4" w:space="0" w:color="auto"/>
              <w:bottom w:val="single" w:sz="4" w:space="0" w:color="auto"/>
            </w:tcBorders>
            <w:vAlign w:val="center"/>
          </w:tcPr>
          <w:p w14:paraId="4253A115"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(C6H6O)H+</w:t>
            </w:r>
          </w:p>
        </w:tc>
        <w:tc>
          <w:tcPr>
            <w:tcW w:w="3734" w:type="dxa"/>
            <w:tcBorders>
              <w:top w:val="single" w:sz="4" w:space="0" w:color="auto"/>
              <w:bottom w:val="single" w:sz="4" w:space="0" w:color="auto"/>
            </w:tcBorders>
            <w:vAlign w:val="center"/>
          </w:tcPr>
          <w:p w14:paraId="1D57834A"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Phenol</w:t>
            </w:r>
          </w:p>
        </w:tc>
        <w:tc>
          <w:tcPr>
            <w:tcW w:w="2440" w:type="dxa"/>
            <w:tcBorders>
              <w:top w:val="single" w:sz="4" w:space="0" w:color="auto"/>
              <w:bottom w:val="single" w:sz="4" w:space="0" w:color="auto"/>
            </w:tcBorders>
            <w:vAlign w:val="center"/>
          </w:tcPr>
          <w:p w14:paraId="41546D7F"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111.6</w:t>
            </w:r>
          </w:p>
        </w:tc>
      </w:tr>
      <w:tr w:rsidR="005870E8" w:rsidRPr="005870E8" w14:paraId="6418E340" w14:textId="77777777" w:rsidTr="00567750">
        <w:tc>
          <w:tcPr>
            <w:tcW w:w="692" w:type="dxa"/>
            <w:tcBorders>
              <w:top w:val="single" w:sz="4" w:space="0" w:color="auto"/>
              <w:bottom w:val="single" w:sz="4" w:space="0" w:color="auto"/>
            </w:tcBorders>
            <w:vAlign w:val="center"/>
          </w:tcPr>
          <w:p w14:paraId="2528EC66"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95</w:t>
            </w:r>
          </w:p>
        </w:tc>
        <w:tc>
          <w:tcPr>
            <w:tcW w:w="1954" w:type="dxa"/>
            <w:tcBorders>
              <w:top w:val="single" w:sz="4" w:space="0" w:color="auto"/>
              <w:bottom w:val="single" w:sz="4" w:space="0" w:color="auto"/>
            </w:tcBorders>
            <w:vAlign w:val="center"/>
          </w:tcPr>
          <w:p w14:paraId="2E01C33F"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(C7H10)H+</w:t>
            </w:r>
          </w:p>
        </w:tc>
        <w:tc>
          <w:tcPr>
            <w:tcW w:w="3734" w:type="dxa"/>
            <w:tcBorders>
              <w:top w:val="single" w:sz="4" w:space="0" w:color="auto"/>
              <w:bottom w:val="single" w:sz="4" w:space="0" w:color="auto"/>
            </w:tcBorders>
            <w:vAlign w:val="center"/>
          </w:tcPr>
          <w:p w14:paraId="14AC1896"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Monoterpenes fragment; Large HC fragments</w:t>
            </w:r>
          </w:p>
        </w:tc>
        <w:tc>
          <w:tcPr>
            <w:tcW w:w="2440" w:type="dxa"/>
            <w:tcBorders>
              <w:top w:val="single" w:sz="4" w:space="0" w:color="auto"/>
              <w:bottom w:val="single" w:sz="4" w:space="0" w:color="auto"/>
            </w:tcBorders>
            <w:vAlign w:val="center"/>
          </w:tcPr>
          <w:p w14:paraId="2937FE06"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103.4</w:t>
            </w:r>
          </w:p>
        </w:tc>
      </w:tr>
      <w:tr w:rsidR="005870E8" w:rsidRPr="005870E8" w14:paraId="0BFEEF0C" w14:textId="77777777" w:rsidTr="00567750">
        <w:tc>
          <w:tcPr>
            <w:tcW w:w="692" w:type="dxa"/>
            <w:tcBorders>
              <w:top w:val="single" w:sz="4" w:space="0" w:color="auto"/>
              <w:bottom w:val="single" w:sz="4" w:space="0" w:color="auto"/>
            </w:tcBorders>
            <w:vAlign w:val="center"/>
          </w:tcPr>
          <w:p w14:paraId="29D2FB7F" w14:textId="77777777" w:rsidR="005870E8" w:rsidRPr="005870E8" w:rsidRDefault="005870E8" w:rsidP="00844F3A">
            <w:pPr>
              <w:spacing w:beforeLines="20" w:before="48" w:afterLines="20" w:after="48" w:line="240" w:lineRule="auto"/>
              <w:jc w:val="left"/>
              <w:rPr>
                <w:rFonts w:cs="Times New Roman"/>
                <w:color w:val="000000"/>
                <w:sz w:val="22"/>
              </w:rPr>
            </w:pPr>
            <w:r w:rsidRPr="005870E8">
              <w:rPr>
                <w:rFonts w:eastAsia="Times New Roman" w:cs="Times New Roman"/>
                <w:b/>
                <w:color w:val="000000"/>
                <w:sz w:val="22"/>
              </w:rPr>
              <w:lastRenderedPageBreak/>
              <w:t>m/z</w:t>
            </w:r>
          </w:p>
        </w:tc>
        <w:tc>
          <w:tcPr>
            <w:tcW w:w="1954" w:type="dxa"/>
            <w:tcBorders>
              <w:top w:val="single" w:sz="4" w:space="0" w:color="auto"/>
              <w:bottom w:val="single" w:sz="4" w:space="0" w:color="auto"/>
            </w:tcBorders>
            <w:vAlign w:val="center"/>
          </w:tcPr>
          <w:p w14:paraId="1E070A89" w14:textId="77777777" w:rsidR="005870E8" w:rsidRPr="005870E8" w:rsidRDefault="005870E8" w:rsidP="00844F3A">
            <w:pPr>
              <w:spacing w:beforeLines="20" w:before="48" w:afterLines="20" w:after="48" w:line="240" w:lineRule="auto"/>
              <w:jc w:val="left"/>
              <w:rPr>
                <w:rFonts w:cs="Times New Roman"/>
                <w:sz w:val="22"/>
                <w:szCs w:val="20"/>
              </w:rPr>
            </w:pPr>
            <w:r w:rsidRPr="005870E8">
              <w:rPr>
                <w:rFonts w:eastAsia="Times New Roman" w:cs="Times New Roman"/>
                <w:b/>
                <w:color w:val="000000"/>
                <w:sz w:val="22"/>
              </w:rPr>
              <w:t>Ion composition</w:t>
            </w:r>
          </w:p>
        </w:tc>
        <w:tc>
          <w:tcPr>
            <w:tcW w:w="3734" w:type="dxa"/>
            <w:tcBorders>
              <w:top w:val="single" w:sz="4" w:space="0" w:color="auto"/>
              <w:bottom w:val="single" w:sz="4" w:space="0" w:color="auto"/>
            </w:tcBorders>
            <w:vAlign w:val="center"/>
          </w:tcPr>
          <w:p w14:paraId="0F2BE39E" w14:textId="77777777" w:rsidR="005870E8" w:rsidRPr="005870E8" w:rsidRDefault="005870E8" w:rsidP="00844F3A">
            <w:pPr>
              <w:spacing w:beforeLines="20" w:before="48" w:afterLines="20" w:after="48" w:line="240" w:lineRule="auto"/>
              <w:jc w:val="left"/>
              <w:rPr>
                <w:rFonts w:cs="Times New Roman"/>
                <w:color w:val="000000"/>
                <w:sz w:val="22"/>
              </w:rPr>
            </w:pPr>
            <w:r w:rsidRPr="005870E8">
              <w:rPr>
                <w:rFonts w:eastAsia="Times New Roman" w:cs="Times New Roman"/>
                <w:b/>
                <w:color w:val="000000"/>
                <w:sz w:val="22"/>
              </w:rPr>
              <w:t>Likely species</w:t>
            </w:r>
          </w:p>
        </w:tc>
        <w:tc>
          <w:tcPr>
            <w:tcW w:w="2440" w:type="dxa"/>
            <w:tcBorders>
              <w:top w:val="single" w:sz="4" w:space="0" w:color="auto"/>
              <w:bottom w:val="single" w:sz="4" w:space="0" w:color="auto"/>
            </w:tcBorders>
            <w:vAlign w:val="center"/>
          </w:tcPr>
          <w:p w14:paraId="21C7E091" w14:textId="77777777" w:rsidR="005870E8" w:rsidRPr="005870E8" w:rsidRDefault="005870E8" w:rsidP="00567750">
            <w:pPr>
              <w:spacing w:beforeLines="20" w:before="48" w:afterLines="20" w:after="48" w:line="240" w:lineRule="auto"/>
              <w:jc w:val="center"/>
              <w:rPr>
                <w:rFonts w:eastAsia="Times New Roman" w:cs="Times New Roman"/>
                <w:b/>
                <w:color w:val="000000"/>
                <w:sz w:val="22"/>
              </w:rPr>
            </w:pPr>
            <w:r w:rsidRPr="005870E8">
              <w:rPr>
                <w:rFonts w:eastAsia="Times New Roman" w:cs="Times New Roman"/>
                <w:b/>
                <w:color w:val="000000"/>
                <w:sz w:val="22"/>
              </w:rPr>
              <w:t>Sensitivity [ncps/ppb]</w:t>
            </w:r>
          </w:p>
        </w:tc>
      </w:tr>
      <w:tr w:rsidR="005870E8" w:rsidRPr="005870E8" w14:paraId="44842F0A" w14:textId="77777777" w:rsidTr="00567750">
        <w:tc>
          <w:tcPr>
            <w:tcW w:w="692" w:type="dxa"/>
            <w:tcBorders>
              <w:top w:val="single" w:sz="4" w:space="0" w:color="auto"/>
              <w:bottom w:val="single" w:sz="4" w:space="0" w:color="auto"/>
            </w:tcBorders>
            <w:vAlign w:val="center"/>
          </w:tcPr>
          <w:p w14:paraId="4E25671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97</w:t>
            </w:r>
          </w:p>
        </w:tc>
        <w:tc>
          <w:tcPr>
            <w:tcW w:w="1954" w:type="dxa"/>
            <w:tcBorders>
              <w:top w:val="single" w:sz="4" w:space="0" w:color="auto"/>
              <w:bottom w:val="single" w:sz="4" w:space="0" w:color="auto"/>
            </w:tcBorders>
            <w:vAlign w:val="center"/>
          </w:tcPr>
          <w:p w14:paraId="0BEFCA80"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(C7H12)H+</w:t>
            </w:r>
          </w:p>
        </w:tc>
        <w:tc>
          <w:tcPr>
            <w:tcW w:w="3734" w:type="dxa"/>
            <w:tcBorders>
              <w:top w:val="single" w:sz="4" w:space="0" w:color="auto"/>
              <w:bottom w:val="single" w:sz="4" w:space="0" w:color="auto"/>
            </w:tcBorders>
            <w:vAlign w:val="center"/>
          </w:tcPr>
          <w:p w14:paraId="0938436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Cycloheptene; HC fragments</w:t>
            </w:r>
          </w:p>
        </w:tc>
        <w:tc>
          <w:tcPr>
            <w:tcW w:w="2440" w:type="dxa"/>
            <w:tcBorders>
              <w:top w:val="single" w:sz="4" w:space="0" w:color="auto"/>
              <w:bottom w:val="single" w:sz="4" w:space="0" w:color="auto"/>
            </w:tcBorders>
            <w:vAlign w:val="center"/>
          </w:tcPr>
          <w:p w14:paraId="4E7DA087" w14:textId="77777777" w:rsidR="005870E8" w:rsidRPr="005870E8" w:rsidRDefault="005870E8" w:rsidP="00567750">
            <w:pPr>
              <w:spacing w:beforeLines="20" w:before="48" w:afterLines="20" w:after="48" w:line="240" w:lineRule="auto"/>
              <w:jc w:val="center"/>
              <w:rPr>
                <w:rFonts w:cs="Times New Roman"/>
                <w:sz w:val="22"/>
                <w:szCs w:val="20"/>
              </w:rPr>
            </w:pPr>
            <w:r w:rsidRPr="005870E8">
              <w:rPr>
                <w:rFonts w:cs="Times New Roman"/>
                <w:sz w:val="22"/>
                <w:szCs w:val="20"/>
              </w:rPr>
              <w:t>110.0</w:t>
            </w:r>
          </w:p>
        </w:tc>
      </w:tr>
      <w:tr w:rsidR="005870E8" w:rsidRPr="005870E8" w14:paraId="270A9689" w14:textId="77777777" w:rsidTr="00567750">
        <w:tc>
          <w:tcPr>
            <w:tcW w:w="692" w:type="dxa"/>
            <w:tcBorders>
              <w:top w:val="single" w:sz="4" w:space="0" w:color="auto"/>
              <w:bottom w:val="single" w:sz="4" w:space="0" w:color="auto"/>
            </w:tcBorders>
            <w:vAlign w:val="center"/>
          </w:tcPr>
          <w:p w14:paraId="1E0D5DD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97</w:t>
            </w:r>
          </w:p>
        </w:tc>
        <w:tc>
          <w:tcPr>
            <w:tcW w:w="1954" w:type="dxa"/>
            <w:tcBorders>
              <w:top w:val="single" w:sz="4" w:space="0" w:color="auto"/>
              <w:bottom w:val="single" w:sz="4" w:space="0" w:color="auto"/>
            </w:tcBorders>
            <w:vAlign w:val="center"/>
          </w:tcPr>
          <w:p w14:paraId="01D6A8DA"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(C5H4O2)H+</w:t>
            </w:r>
          </w:p>
        </w:tc>
        <w:tc>
          <w:tcPr>
            <w:tcW w:w="3734" w:type="dxa"/>
            <w:tcBorders>
              <w:top w:val="single" w:sz="4" w:space="0" w:color="auto"/>
              <w:bottom w:val="single" w:sz="4" w:space="0" w:color="auto"/>
            </w:tcBorders>
            <w:vAlign w:val="center"/>
          </w:tcPr>
          <w:p w14:paraId="23186433"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Furfural</w:t>
            </w:r>
          </w:p>
        </w:tc>
        <w:tc>
          <w:tcPr>
            <w:tcW w:w="2440" w:type="dxa"/>
            <w:tcBorders>
              <w:top w:val="single" w:sz="4" w:space="0" w:color="auto"/>
              <w:bottom w:val="single" w:sz="4" w:space="0" w:color="auto"/>
            </w:tcBorders>
            <w:vAlign w:val="center"/>
          </w:tcPr>
          <w:p w14:paraId="79C8CA6C"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131.0</w:t>
            </w:r>
          </w:p>
        </w:tc>
      </w:tr>
      <w:tr w:rsidR="005870E8" w:rsidRPr="005870E8" w14:paraId="50DD76B3" w14:textId="77777777" w:rsidTr="00567750">
        <w:tc>
          <w:tcPr>
            <w:tcW w:w="692" w:type="dxa"/>
            <w:tcBorders>
              <w:top w:val="single" w:sz="4" w:space="0" w:color="auto"/>
              <w:bottom w:val="single" w:sz="4" w:space="0" w:color="auto"/>
            </w:tcBorders>
            <w:vAlign w:val="center"/>
          </w:tcPr>
          <w:p w14:paraId="5C3DBEA4"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99</w:t>
            </w:r>
          </w:p>
        </w:tc>
        <w:tc>
          <w:tcPr>
            <w:tcW w:w="1954" w:type="dxa"/>
            <w:tcBorders>
              <w:top w:val="single" w:sz="4" w:space="0" w:color="auto"/>
              <w:bottom w:val="single" w:sz="4" w:space="0" w:color="auto"/>
            </w:tcBorders>
            <w:vAlign w:val="center"/>
          </w:tcPr>
          <w:p w14:paraId="47C76E3F"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(C6H10O)H+</w:t>
            </w:r>
          </w:p>
        </w:tc>
        <w:tc>
          <w:tcPr>
            <w:tcW w:w="3734" w:type="dxa"/>
            <w:tcBorders>
              <w:top w:val="single" w:sz="4" w:space="0" w:color="auto"/>
              <w:bottom w:val="single" w:sz="4" w:space="0" w:color="auto"/>
            </w:tcBorders>
            <w:vAlign w:val="center"/>
          </w:tcPr>
          <w:p w14:paraId="48DD4A77"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Hexenal; Cyclohexanone</w:t>
            </w:r>
          </w:p>
        </w:tc>
        <w:tc>
          <w:tcPr>
            <w:tcW w:w="2440" w:type="dxa"/>
            <w:tcBorders>
              <w:top w:val="single" w:sz="4" w:space="0" w:color="auto"/>
              <w:bottom w:val="single" w:sz="4" w:space="0" w:color="auto"/>
            </w:tcBorders>
            <w:vAlign w:val="center"/>
          </w:tcPr>
          <w:p w14:paraId="6C7EA06D"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175.3</w:t>
            </w:r>
          </w:p>
        </w:tc>
      </w:tr>
      <w:tr w:rsidR="005870E8" w:rsidRPr="005870E8" w14:paraId="66A68A09" w14:textId="77777777" w:rsidTr="00567750">
        <w:tc>
          <w:tcPr>
            <w:tcW w:w="692" w:type="dxa"/>
            <w:tcBorders>
              <w:top w:val="single" w:sz="4" w:space="0" w:color="auto"/>
              <w:bottom w:val="single" w:sz="4" w:space="0" w:color="auto"/>
            </w:tcBorders>
            <w:vAlign w:val="center"/>
          </w:tcPr>
          <w:p w14:paraId="5B1F89AB"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99</w:t>
            </w:r>
          </w:p>
        </w:tc>
        <w:tc>
          <w:tcPr>
            <w:tcW w:w="1954" w:type="dxa"/>
            <w:tcBorders>
              <w:top w:val="single" w:sz="4" w:space="0" w:color="auto"/>
              <w:bottom w:val="single" w:sz="4" w:space="0" w:color="auto"/>
            </w:tcBorders>
            <w:vAlign w:val="center"/>
          </w:tcPr>
          <w:p w14:paraId="63F13A63"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(C5H6O2)H+</w:t>
            </w:r>
          </w:p>
        </w:tc>
        <w:tc>
          <w:tcPr>
            <w:tcW w:w="3734" w:type="dxa"/>
            <w:tcBorders>
              <w:top w:val="single" w:sz="4" w:space="0" w:color="auto"/>
              <w:bottom w:val="single" w:sz="4" w:space="0" w:color="auto"/>
            </w:tcBorders>
            <w:vAlign w:val="center"/>
          </w:tcPr>
          <w:p w14:paraId="3859DCEE"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Ethyl propiolate; Furfuryl alcohol</w:t>
            </w:r>
          </w:p>
        </w:tc>
        <w:tc>
          <w:tcPr>
            <w:tcW w:w="2440" w:type="dxa"/>
            <w:tcBorders>
              <w:top w:val="single" w:sz="4" w:space="0" w:color="auto"/>
              <w:bottom w:val="single" w:sz="4" w:space="0" w:color="auto"/>
            </w:tcBorders>
            <w:vAlign w:val="center"/>
          </w:tcPr>
          <w:p w14:paraId="6A7D5EB1"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100.9</w:t>
            </w:r>
          </w:p>
        </w:tc>
      </w:tr>
      <w:tr w:rsidR="005870E8" w:rsidRPr="005870E8" w14:paraId="35462B78" w14:textId="77777777" w:rsidTr="00567750">
        <w:tc>
          <w:tcPr>
            <w:tcW w:w="692" w:type="dxa"/>
            <w:tcBorders>
              <w:top w:val="single" w:sz="4" w:space="0" w:color="auto"/>
              <w:bottom w:val="single" w:sz="4" w:space="0" w:color="auto"/>
            </w:tcBorders>
            <w:vAlign w:val="center"/>
          </w:tcPr>
          <w:p w14:paraId="1E0A5E07"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101</w:t>
            </w:r>
          </w:p>
        </w:tc>
        <w:tc>
          <w:tcPr>
            <w:tcW w:w="1954" w:type="dxa"/>
            <w:tcBorders>
              <w:top w:val="single" w:sz="4" w:space="0" w:color="auto"/>
              <w:bottom w:val="single" w:sz="4" w:space="0" w:color="auto"/>
            </w:tcBorders>
            <w:vAlign w:val="center"/>
          </w:tcPr>
          <w:p w14:paraId="0EC5F575"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(C5H8O2)H+</w:t>
            </w:r>
          </w:p>
        </w:tc>
        <w:tc>
          <w:tcPr>
            <w:tcW w:w="3734" w:type="dxa"/>
            <w:tcBorders>
              <w:top w:val="single" w:sz="4" w:space="0" w:color="auto"/>
              <w:bottom w:val="single" w:sz="4" w:space="0" w:color="auto"/>
            </w:tcBorders>
            <w:vAlign w:val="center"/>
          </w:tcPr>
          <w:p w14:paraId="5B6644D9"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Pentanedial; Methyl methacrylate</w:t>
            </w:r>
          </w:p>
        </w:tc>
        <w:tc>
          <w:tcPr>
            <w:tcW w:w="2440" w:type="dxa"/>
            <w:tcBorders>
              <w:top w:val="single" w:sz="4" w:space="0" w:color="auto"/>
              <w:bottom w:val="single" w:sz="4" w:space="0" w:color="auto"/>
            </w:tcBorders>
            <w:vAlign w:val="center"/>
          </w:tcPr>
          <w:p w14:paraId="7D6C0D46"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113.1</w:t>
            </w:r>
          </w:p>
        </w:tc>
      </w:tr>
      <w:tr w:rsidR="005870E8" w:rsidRPr="005870E8" w14:paraId="6D543EA8" w14:textId="77777777" w:rsidTr="00567750">
        <w:tc>
          <w:tcPr>
            <w:tcW w:w="692" w:type="dxa"/>
            <w:tcBorders>
              <w:top w:val="single" w:sz="4" w:space="0" w:color="auto"/>
              <w:bottom w:val="single" w:sz="4" w:space="0" w:color="auto"/>
            </w:tcBorders>
            <w:vAlign w:val="center"/>
          </w:tcPr>
          <w:p w14:paraId="5FFE69F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101</w:t>
            </w:r>
          </w:p>
        </w:tc>
        <w:tc>
          <w:tcPr>
            <w:tcW w:w="1954" w:type="dxa"/>
            <w:tcBorders>
              <w:top w:val="single" w:sz="4" w:space="0" w:color="auto"/>
              <w:bottom w:val="single" w:sz="4" w:space="0" w:color="auto"/>
            </w:tcBorders>
            <w:vAlign w:val="center"/>
          </w:tcPr>
          <w:p w14:paraId="3E332A1A"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(C6H12O)H+</w:t>
            </w:r>
          </w:p>
        </w:tc>
        <w:tc>
          <w:tcPr>
            <w:tcW w:w="3734" w:type="dxa"/>
            <w:tcBorders>
              <w:top w:val="single" w:sz="4" w:space="0" w:color="auto"/>
              <w:bottom w:val="single" w:sz="4" w:space="0" w:color="auto"/>
            </w:tcBorders>
            <w:vAlign w:val="center"/>
          </w:tcPr>
          <w:p w14:paraId="4BE30255"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 xml:space="preserve">Hexanal; Hexanone; Hexenol </w:t>
            </w:r>
          </w:p>
        </w:tc>
        <w:tc>
          <w:tcPr>
            <w:tcW w:w="2440" w:type="dxa"/>
            <w:tcBorders>
              <w:top w:val="single" w:sz="4" w:space="0" w:color="auto"/>
              <w:bottom w:val="single" w:sz="4" w:space="0" w:color="auto"/>
            </w:tcBorders>
            <w:vAlign w:val="center"/>
          </w:tcPr>
          <w:p w14:paraId="5EDD5D61"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150.7</w:t>
            </w:r>
          </w:p>
        </w:tc>
      </w:tr>
      <w:tr w:rsidR="005870E8" w:rsidRPr="005870E8" w14:paraId="17EEA478" w14:textId="77777777" w:rsidTr="00567750">
        <w:tc>
          <w:tcPr>
            <w:tcW w:w="692" w:type="dxa"/>
            <w:tcBorders>
              <w:top w:val="single" w:sz="4" w:space="0" w:color="auto"/>
              <w:bottom w:val="single" w:sz="4" w:space="0" w:color="auto"/>
            </w:tcBorders>
            <w:vAlign w:val="center"/>
          </w:tcPr>
          <w:p w14:paraId="53F4ACD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105</w:t>
            </w:r>
          </w:p>
        </w:tc>
        <w:tc>
          <w:tcPr>
            <w:tcW w:w="1954" w:type="dxa"/>
            <w:tcBorders>
              <w:top w:val="single" w:sz="4" w:space="0" w:color="auto"/>
              <w:bottom w:val="single" w:sz="4" w:space="0" w:color="auto"/>
            </w:tcBorders>
            <w:vAlign w:val="center"/>
          </w:tcPr>
          <w:p w14:paraId="6C98819C"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(C8H8)H+</w:t>
            </w:r>
          </w:p>
        </w:tc>
        <w:tc>
          <w:tcPr>
            <w:tcW w:w="3734" w:type="dxa"/>
            <w:tcBorders>
              <w:top w:val="single" w:sz="4" w:space="0" w:color="auto"/>
              <w:bottom w:val="single" w:sz="4" w:space="0" w:color="auto"/>
            </w:tcBorders>
            <w:vAlign w:val="center"/>
          </w:tcPr>
          <w:p w14:paraId="31B12A05"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Styrene</w:t>
            </w:r>
          </w:p>
        </w:tc>
        <w:tc>
          <w:tcPr>
            <w:tcW w:w="2440" w:type="dxa"/>
            <w:tcBorders>
              <w:top w:val="single" w:sz="4" w:space="0" w:color="auto"/>
              <w:bottom w:val="single" w:sz="4" w:space="0" w:color="auto"/>
            </w:tcBorders>
            <w:vAlign w:val="center"/>
          </w:tcPr>
          <w:p w14:paraId="74A5CE77"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123.8</w:t>
            </w:r>
          </w:p>
        </w:tc>
      </w:tr>
      <w:tr w:rsidR="005870E8" w:rsidRPr="005870E8" w14:paraId="3FC38F35" w14:textId="77777777" w:rsidTr="00567750">
        <w:tc>
          <w:tcPr>
            <w:tcW w:w="692" w:type="dxa"/>
            <w:tcBorders>
              <w:top w:val="single" w:sz="4" w:space="0" w:color="auto"/>
              <w:bottom w:val="single" w:sz="4" w:space="0" w:color="auto"/>
            </w:tcBorders>
            <w:vAlign w:val="center"/>
          </w:tcPr>
          <w:p w14:paraId="39283F2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107</w:t>
            </w:r>
          </w:p>
        </w:tc>
        <w:tc>
          <w:tcPr>
            <w:tcW w:w="1954" w:type="dxa"/>
            <w:tcBorders>
              <w:top w:val="single" w:sz="4" w:space="0" w:color="auto"/>
              <w:bottom w:val="single" w:sz="4" w:space="0" w:color="auto"/>
            </w:tcBorders>
            <w:vAlign w:val="center"/>
          </w:tcPr>
          <w:p w14:paraId="580C61EF"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(C8H10)H+</w:t>
            </w:r>
          </w:p>
        </w:tc>
        <w:tc>
          <w:tcPr>
            <w:tcW w:w="3734" w:type="dxa"/>
            <w:tcBorders>
              <w:top w:val="single" w:sz="4" w:space="0" w:color="auto"/>
              <w:bottom w:val="single" w:sz="4" w:space="0" w:color="auto"/>
            </w:tcBorders>
            <w:vAlign w:val="center"/>
          </w:tcPr>
          <w:p w14:paraId="6E15FDB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Xylene; Ethyl benzene</w:t>
            </w:r>
          </w:p>
        </w:tc>
        <w:tc>
          <w:tcPr>
            <w:tcW w:w="2440" w:type="dxa"/>
            <w:tcBorders>
              <w:top w:val="single" w:sz="4" w:space="0" w:color="auto"/>
              <w:bottom w:val="single" w:sz="4" w:space="0" w:color="auto"/>
            </w:tcBorders>
            <w:vAlign w:val="center"/>
          </w:tcPr>
          <w:p w14:paraId="5CB25068"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128.8</w:t>
            </w:r>
          </w:p>
        </w:tc>
      </w:tr>
      <w:tr w:rsidR="005870E8" w:rsidRPr="005870E8" w14:paraId="673A3BBE" w14:textId="77777777" w:rsidTr="00567750">
        <w:tc>
          <w:tcPr>
            <w:tcW w:w="692" w:type="dxa"/>
            <w:tcBorders>
              <w:top w:val="single" w:sz="4" w:space="0" w:color="auto"/>
              <w:bottom w:val="single" w:sz="4" w:space="0" w:color="auto"/>
            </w:tcBorders>
            <w:vAlign w:val="center"/>
          </w:tcPr>
          <w:p w14:paraId="4C59AD89"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109</w:t>
            </w:r>
          </w:p>
        </w:tc>
        <w:tc>
          <w:tcPr>
            <w:tcW w:w="1954" w:type="dxa"/>
            <w:tcBorders>
              <w:top w:val="single" w:sz="4" w:space="0" w:color="auto"/>
              <w:bottom w:val="single" w:sz="4" w:space="0" w:color="auto"/>
            </w:tcBorders>
            <w:vAlign w:val="center"/>
          </w:tcPr>
          <w:p w14:paraId="27632CF9"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(C8H12)H+</w:t>
            </w:r>
          </w:p>
        </w:tc>
        <w:tc>
          <w:tcPr>
            <w:tcW w:w="3734" w:type="dxa"/>
            <w:tcBorders>
              <w:top w:val="single" w:sz="4" w:space="0" w:color="auto"/>
              <w:bottom w:val="single" w:sz="4" w:space="0" w:color="auto"/>
            </w:tcBorders>
            <w:vAlign w:val="center"/>
          </w:tcPr>
          <w:p w14:paraId="22C11BE2"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Cyclooctadiene; Cyclooctyne; HC fragments</w:t>
            </w:r>
          </w:p>
        </w:tc>
        <w:tc>
          <w:tcPr>
            <w:tcW w:w="2440" w:type="dxa"/>
            <w:tcBorders>
              <w:top w:val="single" w:sz="4" w:space="0" w:color="auto"/>
              <w:bottom w:val="single" w:sz="4" w:space="0" w:color="auto"/>
            </w:tcBorders>
            <w:vAlign w:val="center"/>
          </w:tcPr>
          <w:p w14:paraId="65577541"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113.4</w:t>
            </w:r>
          </w:p>
        </w:tc>
      </w:tr>
      <w:tr w:rsidR="005870E8" w:rsidRPr="005870E8" w14:paraId="5F16E154" w14:textId="77777777" w:rsidTr="00567750">
        <w:tc>
          <w:tcPr>
            <w:tcW w:w="692" w:type="dxa"/>
            <w:tcBorders>
              <w:top w:val="single" w:sz="4" w:space="0" w:color="auto"/>
              <w:bottom w:val="single" w:sz="4" w:space="0" w:color="auto"/>
            </w:tcBorders>
            <w:vAlign w:val="center"/>
          </w:tcPr>
          <w:p w14:paraId="4012CEE6"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109</w:t>
            </w:r>
          </w:p>
        </w:tc>
        <w:tc>
          <w:tcPr>
            <w:tcW w:w="1954" w:type="dxa"/>
            <w:tcBorders>
              <w:top w:val="single" w:sz="4" w:space="0" w:color="auto"/>
              <w:bottom w:val="single" w:sz="4" w:space="0" w:color="auto"/>
            </w:tcBorders>
            <w:vAlign w:val="center"/>
          </w:tcPr>
          <w:p w14:paraId="2C983675"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(C7H8O)H+</w:t>
            </w:r>
          </w:p>
        </w:tc>
        <w:tc>
          <w:tcPr>
            <w:tcW w:w="3734" w:type="dxa"/>
            <w:tcBorders>
              <w:top w:val="single" w:sz="4" w:space="0" w:color="auto"/>
              <w:bottom w:val="single" w:sz="4" w:space="0" w:color="auto"/>
            </w:tcBorders>
            <w:vAlign w:val="center"/>
          </w:tcPr>
          <w:p w14:paraId="666DE55E"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Methylphenol</w:t>
            </w:r>
          </w:p>
        </w:tc>
        <w:tc>
          <w:tcPr>
            <w:tcW w:w="2440" w:type="dxa"/>
            <w:tcBorders>
              <w:top w:val="single" w:sz="4" w:space="0" w:color="auto"/>
              <w:bottom w:val="single" w:sz="4" w:space="0" w:color="auto"/>
            </w:tcBorders>
            <w:vAlign w:val="center"/>
          </w:tcPr>
          <w:p w14:paraId="21053033"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132.7</w:t>
            </w:r>
          </w:p>
        </w:tc>
      </w:tr>
      <w:tr w:rsidR="005870E8" w:rsidRPr="005870E8" w14:paraId="6906304E" w14:textId="77777777" w:rsidTr="00567750">
        <w:tc>
          <w:tcPr>
            <w:tcW w:w="692" w:type="dxa"/>
            <w:tcBorders>
              <w:top w:val="single" w:sz="4" w:space="0" w:color="auto"/>
              <w:bottom w:val="single" w:sz="4" w:space="0" w:color="auto"/>
            </w:tcBorders>
            <w:vAlign w:val="center"/>
          </w:tcPr>
          <w:p w14:paraId="0BCF3454"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111</w:t>
            </w:r>
          </w:p>
        </w:tc>
        <w:tc>
          <w:tcPr>
            <w:tcW w:w="1954" w:type="dxa"/>
            <w:tcBorders>
              <w:top w:val="single" w:sz="4" w:space="0" w:color="auto"/>
              <w:bottom w:val="single" w:sz="4" w:space="0" w:color="auto"/>
            </w:tcBorders>
            <w:vAlign w:val="center"/>
          </w:tcPr>
          <w:p w14:paraId="271721B4"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(C8H14)H+</w:t>
            </w:r>
          </w:p>
        </w:tc>
        <w:tc>
          <w:tcPr>
            <w:tcW w:w="3734" w:type="dxa"/>
            <w:tcBorders>
              <w:top w:val="single" w:sz="4" w:space="0" w:color="auto"/>
              <w:bottom w:val="single" w:sz="4" w:space="0" w:color="auto"/>
            </w:tcBorders>
            <w:vAlign w:val="center"/>
          </w:tcPr>
          <w:p w14:paraId="3D74D028"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 xml:space="preserve">Cyclooctenes; Octynes; Fragments </w:t>
            </w:r>
          </w:p>
        </w:tc>
        <w:tc>
          <w:tcPr>
            <w:tcW w:w="2440" w:type="dxa"/>
            <w:tcBorders>
              <w:top w:val="single" w:sz="4" w:space="0" w:color="auto"/>
              <w:bottom w:val="single" w:sz="4" w:space="0" w:color="auto"/>
            </w:tcBorders>
            <w:vAlign w:val="center"/>
          </w:tcPr>
          <w:p w14:paraId="4562593C"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114.9</w:t>
            </w:r>
          </w:p>
        </w:tc>
      </w:tr>
      <w:tr w:rsidR="005870E8" w:rsidRPr="005870E8" w14:paraId="363AAA32" w14:textId="77777777" w:rsidTr="00567750">
        <w:tc>
          <w:tcPr>
            <w:tcW w:w="692" w:type="dxa"/>
            <w:tcBorders>
              <w:top w:val="single" w:sz="4" w:space="0" w:color="auto"/>
              <w:bottom w:val="single" w:sz="4" w:space="0" w:color="auto"/>
            </w:tcBorders>
            <w:vAlign w:val="center"/>
          </w:tcPr>
          <w:p w14:paraId="2D78148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111</w:t>
            </w:r>
          </w:p>
        </w:tc>
        <w:tc>
          <w:tcPr>
            <w:tcW w:w="1954" w:type="dxa"/>
            <w:tcBorders>
              <w:top w:val="single" w:sz="4" w:space="0" w:color="auto"/>
              <w:bottom w:val="single" w:sz="4" w:space="0" w:color="auto"/>
            </w:tcBorders>
            <w:vAlign w:val="center"/>
          </w:tcPr>
          <w:p w14:paraId="72B9347E"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(C6H6O2)H+</w:t>
            </w:r>
          </w:p>
        </w:tc>
        <w:tc>
          <w:tcPr>
            <w:tcW w:w="3734" w:type="dxa"/>
            <w:tcBorders>
              <w:top w:val="single" w:sz="4" w:space="0" w:color="auto"/>
              <w:bottom w:val="single" w:sz="4" w:space="0" w:color="auto"/>
            </w:tcBorders>
            <w:vAlign w:val="center"/>
          </w:tcPr>
          <w:p w14:paraId="461FCCB8"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Methyl furfural; Benzenediol; Hydroxyphenol</w:t>
            </w:r>
          </w:p>
        </w:tc>
        <w:tc>
          <w:tcPr>
            <w:tcW w:w="2440" w:type="dxa"/>
            <w:tcBorders>
              <w:top w:val="single" w:sz="4" w:space="0" w:color="auto"/>
              <w:bottom w:val="single" w:sz="4" w:space="0" w:color="auto"/>
            </w:tcBorders>
            <w:vAlign w:val="center"/>
          </w:tcPr>
          <w:p w14:paraId="4CFD8DED"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120.6</w:t>
            </w:r>
          </w:p>
        </w:tc>
      </w:tr>
      <w:tr w:rsidR="005870E8" w:rsidRPr="005870E8" w14:paraId="4E3B1C26" w14:textId="77777777" w:rsidTr="00567750">
        <w:tc>
          <w:tcPr>
            <w:tcW w:w="692" w:type="dxa"/>
            <w:tcBorders>
              <w:top w:val="single" w:sz="4" w:space="0" w:color="auto"/>
              <w:bottom w:val="single" w:sz="4" w:space="0" w:color="auto"/>
            </w:tcBorders>
            <w:vAlign w:val="center"/>
          </w:tcPr>
          <w:p w14:paraId="03A005A0"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113</w:t>
            </w:r>
          </w:p>
        </w:tc>
        <w:tc>
          <w:tcPr>
            <w:tcW w:w="1954" w:type="dxa"/>
            <w:tcBorders>
              <w:top w:val="single" w:sz="4" w:space="0" w:color="auto"/>
              <w:bottom w:val="single" w:sz="4" w:space="0" w:color="auto"/>
            </w:tcBorders>
            <w:vAlign w:val="center"/>
          </w:tcPr>
          <w:p w14:paraId="2D048D37"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(C7H12O)H+</w:t>
            </w:r>
          </w:p>
        </w:tc>
        <w:tc>
          <w:tcPr>
            <w:tcW w:w="3734" w:type="dxa"/>
            <w:tcBorders>
              <w:top w:val="single" w:sz="4" w:space="0" w:color="auto"/>
              <w:bottom w:val="single" w:sz="4" w:space="0" w:color="auto"/>
            </w:tcBorders>
            <w:vAlign w:val="center"/>
          </w:tcPr>
          <w:p w14:paraId="22AA3267"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Heptenal; Cycloheptanone</w:t>
            </w:r>
          </w:p>
        </w:tc>
        <w:tc>
          <w:tcPr>
            <w:tcW w:w="2440" w:type="dxa"/>
            <w:tcBorders>
              <w:top w:val="single" w:sz="4" w:space="0" w:color="auto"/>
              <w:bottom w:val="single" w:sz="4" w:space="0" w:color="auto"/>
            </w:tcBorders>
            <w:vAlign w:val="center"/>
          </w:tcPr>
          <w:p w14:paraId="765C4E77"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203.5</w:t>
            </w:r>
          </w:p>
        </w:tc>
      </w:tr>
      <w:tr w:rsidR="005870E8" w:rsidRPr="005870E8" w14:paraId="479E3539" w14:textId="77777777" w:rsidTr="00567750">
        <w:tc>
          <w:tcPr>
            <w:tcW w:w="692" w:type="dxa"/>
            <w:tcBorders>
              <w:top w:val="single" w:sz="4" w:space="0" w:color="auto"/>
              <w:bottom w:val="single" w:sz="4" w:space="0" w:color="auto"/>
            </w:tcBorders>
            <w:vAlign w:val="center"/>
          </w:tcPr>
          <w:p w14:paraId="4CB3AD74"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121</w:t>
            </w:r>
          </w:p>
        </w:tc>
        <w:tc>
          <w:tcPr>
            <w:tcW w:w="1954" w:type="dxa"/>
            <w:tcBorders>
              <w:top w:val="single" w:sz="4" w:space="0" w:color="auto"/>
              <w:bottom w:val="single" w:sz="4" w:space="0" w:color="auto"/>
            </w:tcBorders>
            <w:vAlign w:val="center"/>
          </w:tcPr>
          <w:p w14:paraId="24121834"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(C9H12)H+</w:t>
            </w:r>
          </w:p>
        </w:tc>
        <w:tc>
          <w:tcPr>
            <w:tcW w:w="3734" w:type="dxa"/>
            <w:tcBorders>
              <w:top w:val="single" w:sz="4" w:space="0" w:color="auto"/>
              <w:bottom w:val="single" w:sz="4" w:space="0" w:color="auto"/>
            </w:tcBorders>
            <w:vAlign w:val="center"/>
          </w:tcPr>
          <w:p w14:paraId="65374D4B"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C3-benzenes</w:t>
            </w:r>
          </w:p>
        </w:tc>
        <w:tc>
          <w:tcPr>
            <w:tcW w:w="2440" w:type="dxa"/>
            <w:tcBorders>
              <w:top w:val="single" w:sz="4" w:space="0" w:color="auto"/>
              <w:bottom w:val="single" w:sz="4" w:space="0" w:color="auto"/>
            </w:tcBorders>
            <w:vAlign w:val="center"/>
          </w:tcPr>
          <w:p w14:paraId="159D1E40"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139.3</w:t>
            </w:r>
          </w:p>
        </w:tc>
      </w:tr>
      <w:tr w:rsidR="005870E8" w:rsidRPr="005870E8" w14:paraId="26FB57AA" w14:textId="77777777" w:rsidTr="00567750">
        <w:tc>
          <w:tcPr>
            <w:tcW w:w="692" w:type="dxa"/>
            <w:tcBorders>
              <w:top w:val="single" w:sz="4" w:space="0" w:color="auto"/>
              <w:bottom w:val="single" w:sz="4" w:space="0" w:color="auto"/>
            </w:tcBorders>
            <w:vAlign w:val="center"/>
          </w:tcPr>
          <w:p w14:paraId="1B6C997C"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125</w:t>
            </w:r>
          </w:p>
        </w:tc>
        <w:tc>
          <w:tcPr>
            <w:tcW w:w="1954" w:type="dxa"/>
            <w:tcBorders>
              <w:top w:val="single" w:sz="4" w:space="0" w:color="auto"/>
              <w:bottom w:val="single" w:sz="4" w:space="0" w:color="auto"/>
            </w:tcBorders>
            <w:vAlign w:val="center"/>
          </w:tcPr>
          <w:p w14:paraId="3048F25B"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(C9H16)H+</w:t>
            </w:r>
          </w:p>
        </w:tc>
        <w:tc>
          <w:tcPr>
            <w:tcW w:w="3734" w:type="dxa"/>
            <w:tcBorders>
              <w:top w:val="single" w:sz="4" w:space="0" w:color="auto"/>
              <w:bottom w:val="single" w:sz="4" w:space="0" w:color="auto"/>
            </w:tcBorders>
            <w:vAlign w:val="center"/>
          </w:tcPr>
          <w:p w14:paraId="79864B65"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Cyclononene; Nonyne; Trimethylcyclohexene</w:t>
            </w:r>
          </w:p>
        </w:tc>
        <w:tc>
          <w:tcPr>
            <w:tcW w:w="2440" w:type="dxa"/>
            <w:tcBorders>
              <w:top w:val="single" w:sz="4" w:space="0" w:color="auto"/>
              <w:bottom w:val="single" w:sz="4" w:space="0" w:color="auto"/>
            </w:tcBorders>
            <w:vAlign w:val="center"/>
          </w:tcPr>
          <w:p w14:paraId="300766B1"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142.1</w:t>
            </w:r>
          </w:p>
        </w:tc>
      </w:tr>
      <w:tr w:rsidR="005870E8" w:rsidRPr="005870E8" w14:paraId="41A4F467" w14:textId="77777777" w:rsidTr="00567750">
        <w:tc>
          <w:tcPr>
            <w:tcW w:w="692" w:type="dxa"/>
            <w:tcBorders>
              <w:top w:val="single" w:sz="4" w:space="0" w:color="auto"/>
              <w:bottom w:val="single" w:sz="4" w:space="0" w:color="auto"/>
            </w:tcBorders>
            <w:vAlign w:val="center"/>
          </w:tcPr>
          <w:p w14:paraId="135ED38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129</w:t>
            </w:r>
          </w:p>
        </w:tc>
        <w:tc>
          <w:tcPr>
            <w:tcW w:w="1954" w:type="dxa"/>
            <w:tcBorders>
              <w:top w:val="single" w:sz="4" w:space="0" w:color="auto"/>
              <w:bottom w:val="single" w:sz="4" w:space="0" w:color="auto"/>
            </w:tcBorders>
            <w:vAlign w:val="center"/>
          </w:tcPr>
          <w:p w14:paraId="37E683F1"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(C10H8)H+</w:t>
            </w:r>
          </w:p>
        </w:tc>
        <w:tc>
          <w:tcPr>
            <w:tcW w:w="3734" w:type="dxa"/>
            <w:tcBorders>
              <w:top w:val="single" w:sz="4" w:space="0" w:color="auto"/>
              <w:bottom w:val="single" w:sz="4" w:space="0" w:color="auto"/>
            </w:tcBorders>
            <w:vAlign w:val="center"/>
          </w:tcPr>
          <w:p w14:paraId="2160857A"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Naphthalene; Fragments</w:t>
            </w:r>
          </w:p>
        </w:tc>
        <w:tc>
          <w:tcPr>
            <w:tcW w:w="2440" w:type="dxa"/>
            <w:tcBorders>
              <w:top w:val="single" w:sz="4" w:space="0" w:color="auto"/>
              <w:bottom w:val="single" w:sz="4" w:space="0" w:color="auto"/>
            </w:tcBorders>
            <w:vAlign w:val="center"/>
          </w:tcPr>
          <w:p w14:paraId="0EED5365"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138.6</w:t>
            </w:r>
          </w:p>
        </w:tc>
      </w:tr>
      <w:tr w:rsidR="005870E8" w:rsidRPr="005870E8" w14:paraId="34836CC3" w14:textId="77777777" w:rsidTr="00567750">
        <w:tc>
          <w:tcPr>
            <w:tcW w:w="692" w:type="dxa"/>
            <w:tcBorders>
              <w:top w:val="single" w:sz="4" w:space="0" w:color="auto"/>
              <w:bottom w:val="single" w:sz="4" w:space="0" w:color="auto"/>
            </w:tcBorders>
            <w:vAlign w:val="center"/>
          </w:tcPr>
          <w:p w14:paraId="7040DB6C"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135</w:t>
            </w:r>
          </w:p>
        </w:tc>
        <w:tc>
          <w:tcPr>
            <w:tcW w:w="1954" w:type="dxa"/>
            <w:tcBorders>
              <w:top w:val="single" w:sz="4" w:space="0" w:color="auto"/>
              <w:bottom w:val="single" w:sz="4" w:space="0" w:color="auto"/>
            </w:tcBorders>
            <w:vAlign w:val="center"/>
          </w:tcPr>
          <w:p w14:paraId="032EAD6F"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(C10H14)H+</w:t>
            </w:r>
          </w:p>
        </w:tc>
        <w:tc>
          <w:tcPr>
            <w:tcW w:w="3734" w:type="dxa"/>
            <w:tcBorders>
              <w:top w:val="single" w:sz="4" w:space="0" w:color="auto"/>
              <w:bottom w:val="single" w:sz="4" w:space="0" w:color="auto"/>
            </w:tcBorders>
            <w:vAlign w:val="center"/>
          </w:tcPr>
          <w:p w14:paraId="30C01DB8"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C4-benzenes</w:t>
            </w:r>
          </w:p>
        </w:tc>
        <w:tc>
          <w:tcPr>
            <w:tcW w:w="2440" w:type="dxa"/>
            <w:tcBorders>
              <w:top w:val="single" w:sz="4" w:space="0" w:color="auto"/>
              <w:bottom w:val="single" w:sz="4" w:space="0" w:color="auto"/>
            </w:tcBorders>
            <w:vAlign w:val="center"/>
          </w:tcPr>
          <w:p w14:paraId="5540DDA2"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149.1</w:t>
            </w:r>
          </w:p>
        </w:tc>
      </w:tr>
      <w:tr w:rsidR="005870E8" w:rsidRPr="005870E8" w14:paraId="5C518108" w14:textId="77777777" w:rsidTr="00567750">
        <w:tc>
          <w:tcPr>
            <w:tcW w:w="692" w:type="dxa"/>
            <w:tcBorders>
              <w:top w:val="single" w:sz="4" w:space="0" w:color="auto"/>
              <w:bottom w:val="single" w:sz="4" w:space="0" w:color="auto"/>
            </w:tcBorders>
            <w:vAlign w:val="center"/>
          </w:tcPr>
          <w:p w14:paraId="30F057AC"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137</w:t>
            </w:r>
          </w:p>
        </w:tc>
        <w:tc>
          <w:tcPr>
            <w:tcW w:w="1954" w:type="dxa"/>
            <w:tcBorders>
              <w:top w:val="single" w:sz="4" w:space="0" w:color="auto"/>
              <w:bottom w:val="single" w:sz="4" w:space="0" w:color="auto"/>
            </w:tcBorders>
            <w:vAlign w:val="center"/>
          </w:tcPr>
          <w:p w14:paraId="0F602B5E"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(C10H16)H+</w:t>
            </w:r>
          </w:p>
        </w:tc>
        <w:tc>
          <w:tcPr>
            <w:tcW w:w="3734" w:type="dxa"/>
            <w:tcBorders>
              <w:top w:val="single" w:sz="4" w:space="0" w:color="auto"/>
              <w:bottom w:val="single" w:sz="4" w:space="0" w:color="auto"/>
            </w:tcBorders>
            <w:vAlign w:val="center"/>
          </w:tcPr>
          <w:p w14:paraId="776C6C5E"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Monoterpenes (</w:t>
            </w:r>
            <w:r w:rsidRPr="005870E8">
              <w:rPr>
                <w:rFonts w:cs="Times New Roman"/>
                <w:b/>
                <w:bCs/>
                <w:color w:val="000000"/>
                <w:sz w:val="22"/>
              </w:rPr>
              <w:t>α-pinene</w:t>
            </w:r>
            <w:r w:rsidRPr="005870E8">
              <w:rPr>
                <w:rFonts w:cs="Times New Roman"/>
                <w:color w:val="000000"/>
                <w:sz w:val="22"/>
              </w:rPr>
              <w:t>)</w:t>
            </w:r>
          </w:p>
        </w:tc>
        <w:tc>
          <w:tcPr>
            <w:tcW w:w="2440" w:type="dxa"/>
            <w:tcBorders>
              <w:top w:val="single" w:sz="4" w:space="0" w:color="auto"/>
              <w:bottom w:val="single" w:sz="4" w:space="0" w:color="auto"/>
            </w:tcBorders>
            <w:vAlign w:val="center"/>
          </w:tcPr>
          <w:p w14:paraId="15864D55" w14:textId="77777777" w:rsidR="005870E8" w:rsidRPr="005870E8" w:rsidRDefault="005870E8" w:rsidP="00567750">
            <w:pPr>
              <w:spacing w:beforeLines="20" w:before="48" w:afterLines="20" w:after="48" w:line="240" w:lineRule="auto"/>
              <w:jc w:val="center"/>
              <w:rPr>
                <w:rFonts w:cs="Times New Roman"/>
                <w:b/>
                <w:bCs/>
                <w:color w:val="000000"/>
                <w:sz w:val="22"/>
              </w:rPr>
            </w:pPr>
            <w:r w:rsidRPr="005870E8">
              <w:rPr>
                <w:rFonts w:cs="Times New Roman"/>
                <w:b/>
                <w:bCs/>
                <w:sz w:val="22"/>
                <w:szCs w:val="20"/>
              </w:rPr>
              <w:t>34.1</w:t>
            </w:r>
          </w:p>
        </w:tc>
      </w:tr>
      <w:tr w:rsidR="005870E8" w:rsidRPr="005870E8" w14:paraId="332DE8B0" w14:textId="77777777" w:rsidTr="00567750">
        <w:tc>
          <w:tcPr>
            <w:tcW w:w="692" w:type="dxa"/>
            <w:tcBorders>
              <w:top w:val="single" w:sz="4" w:space="0" w:color="auto"/>
              <w:bottom w:val="single" w:sz="4" w:space="0" w:color="auto"/>
            </w:tcBorders>
            <w:vAlign w:val="center"/>
          </w:tcPr>
          <w:p w14:paraId="3DCFF0D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143</w:t>
            </w:r>
          </w:p>
        </w:tc>
        <w:tc>
          <w:tcPr>
            <w:tcW w:w="1954" w:type="dxa"/>
            <w:tcBorders>
              <w:top w:val="single" w:sz="4" w:space="0" w:color="auto"/>
              <w:bottom w:val="single" w:sz="4" w:space="0" w:color="auto"/>
            </w:tcBorders>
            <w:vAlign w:val="center"/>
          </w:tcPr>
          <w:p w14:paraId="6D5829C5"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(C9H18O)H+</w:t>
            </w:r>
          </w:p>
        </w:tc>
        <w:tc>
          <w:tcPr>
            <w:tcW w:w="3734" w:type="dxa"/>
            <w:tcBorders>
              <w:top w:val="single" w:sz="4" w:space="0" w:color="auto"/>
              <w:bottom w:val="single" w:sz="4" w:space="0" w:color="auto"/>
            </w:tcBorders>
            <w:vAlign w:val="center"/>
          </w:tcPr>
          <w:p w14:paraId="6A476273"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Nonanal; Trimethylhexanal; Nonanones</w:t>
            </w:r>
          </w:p>
        </w:tc>
        <w:tc>
          <w:tcPr>
            <w:tcW w:w="2440" w:type="dxa"/>
            <w:tcBorders>
              <w:top w:val="single" w:sz="4" w:space="0" w:color="auto"/>
              <w:bottom w:val="single" w:sz="4" w:space="0" w:color="auto"/>
            </w:tcBorders>
            <w:vAlign w:val="center"/>
          </w:tcPr>
          <w:p w14:paraId="4F98C798"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235.5</w:t>
            </w:r>
          </w:p>
        </w:tc>
      </w:tr>
      <w:tr w:rsidR="005870E8" w:rsidRPr="005870E8" w14:paraId="02E53867" w14:textId="77777777" w:rsidTr="00567750">
        <w:tc>
          <w:tcPr>
            <w:tcW w:w="692" w:type="dxa"/>
            <w:tcBorders>
              <w:top w:val="single" w:sz="4" w:space="0" w:color="auto"/>
              <w:bottom w:val="single" w:sz="4" w:space="0" w:color="auto"/>
            </w:tcBorders>
            <w:vAlign w:val="center"/>
          </w:tcPr>
          <w:p w14:paraId="034472F2"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149</w:t>
            </w:r>
          </w:p>
        </w:tc>
        <w:tc>
          <w:tcPr>
            <w:tcW w:w="1954" w:type="dxa"/>
            <w:tcBorders>
              <w:top w:val="single" w:sz="4" w:space="0" w:color="auto"/>
              <w:bottom w:val="single" w:sz="4" w:space="0" w:color="auto"/>
            </w:tcBorders>
            <w:vAlign w:val="center"/>
          </w:tcPr>
          <w:p w14:paraId="73FA5A92"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(C11H16)H+</w:t>
            </w:r>
          </w:p>
        </w:tc>
        <w:tc>
          <w:tcPr>
            <w:tcW w:w="3734" w:type="dxa"/>
            <w:tcBorders>
              <w:top w:val="single" w:sz="4" w:space="0" w:color="auto"/>
              <w:bottom w:val="single" w:sz="4" w:space="0" w:color="auto"/>
            </w:tcBorders>
            <w:vAlign w:val="center"/>
          </w:tcPr>
          <w:p w14:paraId="667176C5"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C5-benzenes</w:t>
            </w:r>
          </w:p>
        </w:tc>
        <w:tc>
          <w:tcPr>
            <w:tcW w:w="2440" w:type="dxa"/>
            <w:tcBorders>
              <w:top w:val="single" w:sz="4" w:space="0" w:color="auto"/>
              <w:bottom w:val="single" w:sz="4" w:space="0" w:color="auto"/>
            </w:tcBorders>
            <w:vAlign w:val="center"/>
          </w:tcPr>
          <w:p w14:paraId="29E64B58"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150.5</w:t>
            </w:r>
          </w:p>
        </w:tc>
      </w:tr>
      <w:tr w:rsidR="005870E8" w:rsidRPr="005870E8" w14:paraId="47C02090" w14:textId="77777777" w:rsidTr="00567750">
        <w:tc>
          <w:tcPr>
            <w:tcW w:w="692" w:type="dxa"/>
            <w:tcBorders>
              <w:top w:val="single" w:sz="4" w:space="0" w:color="auto"/>
              <w:bottom w:val="single" w:sz="4" w:space="0" w:color="auto"/>
            </w:tcBorders>
            <w:vAlign w:val="center"/>
          </w:tcPr>
          <w:p w14:paraId="2EB17B32"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153</w:t>
            </w:r>
          </w:p>
        </w:tc>
        <w:tc>
          <w:tcPr>
            <w:tcW w:w="1954" w:type="dxa"/>
            <w:tcBorders>
              <w:top w:val="single" w:sz="4" w:space="0" w:color="auto"/>
              <w:bottom w:val="single" w:sz="4" w:space="0" w:color="auto"/>
            </w:tcBorders>
            <w:vAlign w:val="center"/>
          </w:tcPr>
          <w:p w14:paraId="69CFF459"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(C10H16O)H+</w:t>
            </w:r>
          </w:p>
        </w:tc>
        <w:tc>
          <w:tcPr>
            <w:tcW w:w="3734" w:type="dxa"/>
            <w:tcBorders>
              <w:top w:val="single" w:sz="4" w:space="0" w:color="auto"/>
              <w:bottom w:val="single" w:sz="4" w:space="0" w:color="auto"/>
            </w:tcBorders>
            <w:vAlign w:val="center"/>
          </w:tcPr>
          <w:p w14:paraId="69DDDA3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Camphor; Fenchone</w:t>
            </w:r>
          </w:p>
        </w:tc>
        <w:tc>
          <w:tcPr>
            <w:tcW w:w="2440" w:type="dxa"/>
            <w:tcBorders>
              <w:top w:val="single" w:sz="4" w:space="0" w:color="auto"/>
              <w:bottom w:val="single" w:sz="4" w:space="0" w:color="auto"/>
            </w:tcBorders>
            <w:vAlign w:val="center"/>
          </w:tcPr>
          <w:p w14:paraId="7F0A432D"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268.2</w:t>
            </w:r>
          </w:p>
        </w:tc>
      </w:tr>
      <w:tr w:rsidR="005870E8" w:rsidRPr="005870E8" w14:paraId="6CD38E86" w14:textId="77777777" w:rsidTr="00567750">
        <w:tc>
          <w:tcPr>
            <w:tcW w:w="692" w:type="dxa"/>
            <w:tcBorders>
              <w:top w:val="single" w:sz="4" w:space="0" w:color="auto"/>
              <w:bottom w:val="single" w:sz="4" w:space="0" w:color="auto"/>
            </w:tcBorders>
            <w:vAlign w:val="center"/>
          </w:tcPr>
          <w:p w14:paraId="30AE2109"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155</w:t>
            </w:r>
          </w:p>
        </w:tc>
        <w:tc>
          <w:tcPr>
            <w:tcW w:w="1954" w:type="dxa"/>
            <w:tcBorders>
              <w:top w:val="single" w:sz="4" w:space="0" w:color="auto"/>
              <w:bottom w:val="single" w:sz="4" w:space="0" w:color="auto"/>
            </w:tcBorders>
            <w:vAlign w:val="center"/>
          </w:tcPr>
          <w:p w14:paraId="23361F40"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(C12H10)H+</w:t>
            </w:r>
          </w:p>
        </w:tc>
        <w:tc>
          <w:tcPr>
            <w:tcW w:w="3734" w:type="dxa"/>
            <w:tcBorders>
              <w:top w:val="single" w:sz="4" w:space="0" w:color="auto"/>
              <w:bottom w:val="single" w:sz="4" w:space="0" w:color="auto"/>
            </w:tcBorders>
            <w:vAlign w:val="center"/>
          </w:tcPr>
          <w:p w14:paraId="6E59B0F1"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Biphenyl; Heptalene; Acenaphthene</w:t>
            </w:r>
          </w:p>
        </w:tc>
        <w:tc>
          <w:tcPr>
            <w:tcW w:w="2440" w:type="dxa"/>
            <w:tcBorders>
              <w:top w:val="single" w:sz="4" w:space="0" w:color="auto"/>
              <w:bottom w:val="single" w:sz="4" w:space="0" w:color="auto"/>
            </w:tcBorders>
            <w:vAlign w:val="center"/>
          </w:tcPr>
          <w:p w14:paraId="01E5ED77"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172.1</w:t>
            </w:r>
          </w:p>
        </w:tc>
      </w:tr>
      <w:tr w:rsidR="005870E8" w:rsidRPr="005870E8" w14:paraId="779D2BF9" w14:textId="77777777" w:rsidTr="00567750">
        <w:tc>
          <w:tcPr>
            <w:tcW w:w="692" w:type="dxa"/>
            <w:tcBorders>
              <w:top w:val="single" w:sz="4" w:space="0" w:color="auto"/>
              <w:bottom w:val="single" w:sz="4" w:space="0" w:color="auto"/>
            </w:tcBorders>
            <w:vAlign w:val="center"/>
          </w:tcPr>
          <w:p w14:paraId="0B0F8F8A"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155</w:t>
            </w:r>
          </w:p>
        </w:tc>
        <w:tc>
          <w:tcPr>
            <w:tcW w:w="1954" w:type="dxa"/>
            <w:tcBorders>
              <w:top w:val="single" w:sz="4" w:space="0" w:color="auto"/>
              <w:bottom w:val="single" w:sz="4" w:space="0" w:color="auto"/>
            </w:tcBorders>
            <w:vAlign w:val="center"/>
          </w:tcPr>
          <w:p w14:paraId="6F02580D"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(C10H18O)H+</w:t>
            </w:r>
          </w:p>
        </w:tc>
        <w:tc>
          <w:tcPr>
            <w:tcW w:w="3734" w:type="dxa"/>
            <w:tcBorders>
              <w:top w:val="single" w:sz="4" w:space="0" w:color="auto"/>
              <w:bottom w:val="single" w:sz="4" w:space="0" w:color="auto"/>
            </w:tcBorders>
            <w:vAlign w:val="center"/>
          </w:tcPr>
          <w:p w14:paraId="47F8F065"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Linalool; Menthone; Monoterpenenoids</w:t>
            </w:r>
          </w:p>
        </w:tc>
        <w:tc>
          <w:tcPr>
            <w:tcW w:w="2440" w:type="dxa"/>
            <w:tcBorders>
              <w:top w:val="single" w:sz="4" w:space="0" w:color="auto"/>
              <w:bottom w:val="single" w:sz="4" w:space="0" w:color="auto"/>
            </w:tcBorders>
            <w:vAlign w:val="center"/>
          </w:tcPr>
          <w:p w14:paraId="342B2E54"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176.6</w:t>
            </w:r>
          </w:p>
        </w:tc>
      </w:tr>
      <w:tr w:rsidR="005870E8" w:rsidRPr="005870E8" w14:paraId="1051DA17" w14:textId="77777777" w:rsidTr="00567750">
        <w:tc>
          <w:tcPr>
            <w:tcW w:w="692" w:type="dxa"/>
            <w:tcBorders>
              <w:top w:val="single" w:sz="4" w:space="0" w:color="auto"/>
              <w:bottom w:val="single" w:sz="4" w:space="0" w:color="auto"/>
            </w:tcBorders>
            <w:vAlign w:val="center"/>
          </w:tcPr>
          <w:p w14:paraId="63ACD907"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163*</w:t>
            </w:r>
          </w:p>
        </w:tc>
        <w:tc>
          <w:tcPr>
            <w:tcW w:w="1954" w:type="dxa"/>
            <w:tcBorders>
              <w:top w:val="single" w:sz="4" w:space="0" w:color="auto"/>
              <w:bottom w:val="single" w:sz="4" w:space="0" w:color="auto"/>
            </w:tcBorders>
            <w:vAlign w:val="center"/>
          </w:tcPr>
          <w:p w14:paraId="790EDF32"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(C12H18)H+/</w:t>
            </w:r>
          </w:p>
          <w:p w14:paraId="4A957275"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(C10H14N2)H+</w:t>
            </w:r>
          </w:p>
        </w:tc>
        <w:tc>
          <w:tcPr>
            <w:tcW w:w="3734" w:type="dxa"/>
            <w:tcBorders>
              <w:top w:val="single" w:sz="4" w:space="0" w:color="auto"/>
              <w:bottom w:val="single" w:sz="4" w:space="0" w:color="auto"/>
            </w:tcBorders>
            <w:vAlign w:val="center"/>
          </w:tcPr>
          <w:p w14:paraId="6254BE8E"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C6-benzenes;</w:t>
            </w:r>
            <w:r w:rsidRPr="005870E8">
              <w:rPr>
                <w:rFonts w:cs="Times New Roman"/>
                <w:color w:val="000000"/>
                <w:sz w:val="22"/>
              </w:rPr>
              <w:br/>
              <w:t>Nicotine</w:t>
            </w:r>
          </w:p>
        </w:tc>
        <w:tc>
          <w:tcPr>
            <w:tcW w:w="2440" w:type="dxa"/>
            <w:tcBorders>
              <w:top w:val="single" w:sz="4" w:space="0" w:color="auto"/>
              <w:bottom w:val="single" w:sz="4" w:space="0" w:color="auto"/>
            </w:tcBorders>
            <w:vAlign w:val="center"/>
          </w:tcPr>
          <w:p w14:paraId="681F356F"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150.5</w:t>
            </w:r>
          </w:p>
        </w:tc>
      </w:tr>
      <w:tr w:rsidR="005870E8" w:rsidRPr="005870E8" w14:paraId="66AFCEC6" w14:textId="77777777" w:rsidTr="00567750">
        <w:tc>
          <w:tcPr>
            <w:tcW w:w="692" w:type="dxa"/>
            <w:tcBorders>
              <w:top w:val="single" w:sz="4" w:space="0" w:color="auto"/>
              <w:bottom w:val="single" w:sz="4" w:space="0" w:color="auto"/>
            </w:tcBorders>
            <w:vAlign w:val="center"/>
          </w:tcPr>
          <w:p w14:paraId="2F285403"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205</w:t>
            </w:r>
          </w:p>
        </w:tc>
        <w:tc>
          <w:tcPr>
            <w:tcW w:w="1954" w:type="dxa"/>
            <w:tcBorders>
              <w:top w:val="single" w:sz="4" w:space="0" w:color="auto"/>
              <w:bottom w:val="single" w:sz="4" w:space="0" w:color="auto"/>
            </w:tcBorders>
            <w:vAlign w:val="center"/>
          </w:tcPr>
          <w:p w14:paraId="392BBEA6"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(C15H24)H+</w:t>
            </w:r>
          </w:p>
        </w:tc>
        <w:tc>
          <w:tcPr>
            <w:tcW w:w="3734" w:type="dxa"/>
            <w:tcBorders>
              <w:top w:val="single" w:sz="4" w:space="0" w:color="auto"/>
              <w:bottom w:val="single" w:sz="4" w:space="0" w:color="auto"/>
            </w:tcBorders>
            <w:vAlign w:val="center"/>
          </w:tcPr>
          <w:p w14:paraId="5E3DABB0"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Sesquiterpenes</w:t>
            </w:r>
          </w:p>
        </w:tc>
        <w:tc>
          <w:tcPr>
            <w:tcW w:w="2440" w:type="dxa"/>
            <w:tcBorders>
              <w:top w:val="single" w:sz="4" w:space="0" w:color="auto"/>
              <w:bottom w:val="single" w:sz="4" w:space="0" w:color="auto"/>
            </w:tcBorders>
            <w:vAlign w:val="center"/>
          </w:tcPr>
          <w:p w14:paraId="7EF0606A"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163.6</w:t>
            </w:r>
          </w:p>
        </w:tc>
      </w:tr>
      <w:tr w:rsidR="005870E8" w:rsidRPr="005870E8" w14:paraId="18CCBFA6" w14:textId="77777777" w:rsidTr="00567750">
        <w:tc>
          <w:tcPr>
            <w:tcW w:w="692" w:type="dxa"/>
            <w:tcBorders>
              <w:top w:val="single" w:sz="4" w:space="0" w:color="auto"/>
              <w:bottom w:val="single" w:sz="4" w:space="0" w:color="auto"/>
            </w:tcBorders>
            <w:vAlign w:val="center"/>
          </w:tcPr>
          <w:p w14:paraId="019C5CF9"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297</w:t>
            </w:r>
          </w:p>
        </w:tc>
        <w:tc>
          <w:tcPr>
            <w:tcW w:w="1954" w:type="dxa"/>
            <w:tcBorders>
              <w:top w:val="single" w:sz="4" w:space="0" w:color="auto"/>
              <w:bottom w:val="single" w:sz="4" w:space="0" w:color="auto"/>
            </w:tcBorders>
            <w:vAlign w:val="center"/>
          </w:tcPr>
          <w:p w14:paraId="66A7642B"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(C8H24O4Si4)H+</w:t>
            </w:r>
          </w:p>
        </w:tc>
        <w:tc>
          <w:tcPr>
            <w:tcW w:w="3734" w:type="dxa"/>
            <w:tcBorders>
              <w:top w:val="single" w:sz="4" w:space="0" w:color="auto"/>
              <w:bottom w:val="single" w:sz="4" w:space="0" w:color="auto"/>
            </w:tcBorders>
            <w:vAlign w:val="center"/>
          </w:tcPr>
          <w:p w14:paraId="3EBAA9CD"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D4-siloxane</w:t>
            </w:r>
          </w:p>
        </w:tc>
        <w:tc>
          <w:tcPr>
            <w:tcW w:w="2440" w:type="dxa"/>
            <w:tcBorders>
              <w:top w:val="single" w:sz="4" w:space="0" w:color="auto"/>
              <w:bottom w:val="single" w:sz="4" w:space="0" w:color="auto"/>
            </w:tcBorders>
            <w:vAlign w:val="center"/>
          </w:tcPr>
          <w:p w14:paraId="1A10FD29"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196.3</w:t>
            </w:r>
          </w:p>
        </w:tc>
      </w:tr>
      <w:tr w:rsidR="005870E8" w:rsidRPr="005870E8" w14:paraId="40C13367" w14:textId="77777777" w:rsidTr="00567750">
        <w:tc>
          <w:tcPr>
            <w:tcW w:w="692" w:type="dxa"/>
            <w:tcBorders>
              <w:top w:val="single" w:sz="4" w:space="0" w:color="auto"/>
            </w:tcBorders>
            <w:vAlign w:val="center"/>
          </w:tcPr>
          <w:p w14:paraId="01E10E2A"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371</w:t>
            </w:r>
          </w:p>
        </w:tc>
        <w:tc>
          <w:tcPr>
            <w:tcW w:w="1954" w:type="dxa"/>
            <w:tcBorders>
              <w:top w:val="single" w:sz="4" w:space="0" w:color="auto"/>
            </w:tcBorders>
            <w:vAlign w:val="center"/>
          </w:tcPr>
          <w:p w14:paraId="31E8FFFB" w14:textId="77777777" w:rsidR="005870E8" w:rsidRPr="005870E8" w:rsidRDefault="005870E8" w:rsidP="009571B5">
            <w:pPr>
              <w:spacing w:beforeLines="20" w:before="48" w:afterLines="20" w:after="48" w:line="240" w:lineRule="auto"/>
              <w:jc w:val="left"/>
              <w:rPr>
                <w:rFonts w:cs="Times New Roman"/>
                <w:sz w:val="22"/>
                <w:szCs w:val="20"/>
              </w:rPr>
            </w:pPr>
            <w:r w:rsidRPr="005870E8">
              <w:rPr>
                <w:rFonts w:cs="Times New Roman"/>
                <w:sz w:val="22"/>
                <w:szCs w:val="20"/>
              </w:rPr>
              <w:t>(C10H30O5Si5)H+</w:t>
            </w:r>
          </w:p>
        </w:tc>
        <w:tc>
          <w:tcPr>
            <w:tcW w:w="3734" w:type="dxa"/>
            <w:tcBorders>
              <w:top w:val="single" w:sz="4" w:space="0" w:color="auto"/>
            </w:tcBorders>
            <w:vAlign w:val="center"/>
          </w:tcPr>
          <w:p w14:paraId="52B105CB" w14:textId="77777777" w:rsidR="005870E8" w:rsidRPr="005870E8" w:rsidRDefault="005870E8" w:rsidP="009571B5">
            <w:pPr>
              <w:spacing w:beforeLines="20" w:before="48" w:afterLines="20" w:after="48" w:line="240" w:lineRule="auto"/>
              <w:jc w:val="left"/>
              <w:rPr>
                <w:rFonts w:cs="Times New Roman"/>
                <w:color w:val="000000"/>
                <w:sz w:val="22"/>
              </w:rPr>
            </w:pPr>
            <w:r w:rsidRPr="005870E8">
              <w:rPr>
                <w:rFonts w:cs="Times New Roman"/>
                <w:color w:val="000000"/>
                <w:sz w:val="22"/>
              </w:rPr>
              <w:t>D5-siloxane</w:t>
            </w:r>
          </w:p>
        </w:tc>
        <w:tc>
          <w:tcPr>
            <w:tcW w:w="2440" w:type="dxa"/>
            <w:tcBorders>
              <w:top w:val="single" w:sz="4" w:space="0" w:color="auto"/>
            </w:tcBorders>
            <w:vAlign w:val="center"/>
          </w:tcPr>
          <w:p w14:paraId="6C3823C5" w14:textId="77777777" w:rsidR="005870E8" w:rsidRPr="005870E8" w:rsidRDefault="005870E8" w:rsidP="00567750">
            <w:pPr>
              <w:spacing w:beforeLines="20" w:before="48" w:afterLines="20" w:after="48" w:line="240" w:lineRule="auto"/>
              <w:jc w:val="center"/>
              <w:rPr>
                <w:rFonts w:cs="Times New Roman"/>
                <w:color w:val="000000"/>
                <w:sz w:val="22"/>
              </w:rPr>
            </w:pPr>
            <w:r w:rsidRPr="005870E8">
              <w:rPr>
                <w:rFonts w:cs="Times New Roman"/>
                <w:sz w:val="22"/>
                <w:szCs w:val="20"/>
              </w:rPr>
              <w:t>222.4</w:t>
            </w:r>
          </w:p>
        </w:tc>
      </w:tr>
    </w:tbl>
    <w:p w14:paraId="4EDDD38E" w14:textId="77777777" w:rsidR="005870E8" w:rsidRPr="005870E8" w:rsidRDefault="005870E8">
      <w:pPr>
        <w:spacing w:after="160" w:line="259" w:lineRule="auto"/>
        <w:jc w:val="left"/>
        <w:rPr>
          <w:rFonts w:eastAsia="Times New Roman" w:cs="Times New Roman"/>
          <w:color w:val="000000"/>
          <w:sz w:val="22"/>
        </w:rPr>
      </w:pPr>
    </w:p>
    <w:p w14:paraId="2F09BFF6" w14:textId="77777777" w:rsidR="005870E8" w:rsidRPr="005870E8" w:rsidRDefault="005870E8" w:rsidP="002E064E">
      <w:pPr>
        <w:tabs>
          <w:tab w:val="left" w:pos="8345"/>
        </w:tabs>
        <w:spacing w:after="160" w:line="259" w:lineRule="auto"/>
        <w:jc w:val="left"/>
        <w:rPr>
          <w:rFonts w:eastAsia="Times New Roman" w:cs="Times New Roman"/>
          <w:color w:val="000000"/>
          <w:sz w:val="22"/>
        </w:rPr>
      </w:pPr>
      <w:r w:rsidRPr="005870E8">
        <w:rPr>
          <w:rFonts w:ascii="Segoe UI Symbol" w:hAnsi="Segoe UI Symbol" w:cs="Segoe UI Symbol"/>
          <w:sz w:val="22"/>
          <w:szCs w:val="20"/>
        </w:rPr>
        <w:t>✝</w:t>
      </w:r>
      <w:r w:rsidRPr="005870E8">
        <w:rPr>
          <w:rFonts w:eastAsia="Times New Roman" w:cs="Times New Roman"/>
          <w:color w:val="000000"/>
          <w:sz w:val="22"/>
        </w:rPr>
        <w:t>Sensitivity of ethanol adjusted by a factor of 0.33.</w:t>
      </w:r>
    </w:p>
    <w:p w14:paraId="2415FDE3" w14:textId="77777777" w:rsidR="005870E8" w:rsidRPr="005870E8" w:rsidRDefault="005870E8" w:rsidP="00D342FE">
      <w:pPr>
        <w:tabs>
          <w:tab w:val="left" w:pos="8345"/>
        </w:tabs>
        <w:spacing w:after="160" w:line="259" w:lineRule="auto"/>
        <w:jc w:val="left"/>
        <w:rPr>
          <w:rFonts w:eastAsia="Times New Roman" w:cs="Times New Roman"/>
          <w:color w:val="000000"/>
          <w:sz w:val="22"/>
        </w:rPr>
      </w:pPr>
      <w:r w:rsidRPr="005870E8">
        <w:rPr>
          <w:rFonts w:eastAsia="Times New Roman" w:cs="Times New Roman"/>
          <w:color w:val="000000"/>
          <w:sz w:val="22"/>
        </w:rPr>
        <w:t>*m/z 77, m/z 88, and m/z 163 peaks are not entirely resolved at all times; although total signals are consistently above the limit of detection to be considered in the NNMF</w:t>
      </w:r>
    </w:p>
    <w:p w14:paraId="7AB9A5CF" w14:textId="77777777" w:rsidR="005870E8" w:rsidRPr="005870E8" w:rsidRDefault="005870E8">
      <w:pPr>
        <w:spacing w:after="160" w:line="259" w:lineRule="auto"/>
        <w:jc w:val="left"/>
        <w:rPr>
          <w:rFonts w:eastAsia="Times New Roman" w:cs="Times New Roman"/>
          <w:color w:val="000000"/>
          <w:sz w:val="22"/>
        </w:rPr>
      </w:pPr>
      <w:r w:rsidRPr="005870E8">
        <w:rPr>
          <w:rFonts w:eastAsia="Times New Roman" w:cs="Times New Roman"/>
          <w:color w:val="000000"/>
          <w:sz w:val="22"/>
        </w:rPr>
        <w:br w:type="page"/>
      </w:r>
    </w:p>
    <w:p w14:paraId="3F1AE6D1" w14:textId="77777777" w:rsidR="005870E8" w:rsidRPr="005870E8" w:rsidRDefault="005870E8" w:rsidP="0062420D">
      <w:pPr>
        <w:pStyle w:val="TESupportingInformation"/>
        <w:spacing w:line="360" w:lineRule="auto"/>
        <w:rPr>
          <w:rFonts w:ascii="Times New Roman" w:hAnsi="Times New Roman"/>
          <w:sz w:val="22"/>
          <w:szCs w:val="18"/>
          <w:u w:val="single"/>
        </w:rPr>
      </w:pPr>
      <w:r w:rsidRPr="005870E8">
        <w:rPr>
          <w:rFonts w:ascii="Times New Roman" w:hAnsi="Times New Roman"/>
          <w:sz w:val="22"/>
          <w:szCs w:val="18"/>
          <w:u w:val="single"/>
        </w:rPr>
        <w:lastRenderedPageBreak/>
        <w:t>S2.2: Bayesian information criterion (BIC) analysis results</w:t>
      </w:r>
    </w:p>
    <w:p w14:paraId="0615BA12" w14:textId="77777777" w:rsidR="005870E8" w:rsidRPr="005870E8" w:rsidRDefault="005870E8" w:rsidP="002B7949">
      <w:pPr>
        <w:pStyle w:val="TESupportingInformation"/>
        <w:spacing w:after="120" w:line="276" w:lineRule="auto"/>
        <w:rPr>
          <w:rFonts w:ascii="Times New Roman" w:hAnsi="Times New Roman"/>
          <w:sz w:val="22"/>
          <w:szCs w:val="18"/>
        </w:rPr>
      </w:pPr>
      <w:r w:rsidRPr="005870E8">
        <w:rPr>
          <w:rFonts w:ascii="Times New Roman" w:hAnsi="Times New Roman"/>
          <w:sz w:val="22"/>
          <w:szCs w:val="18"/>
        </w:rPr>
        <w:t xml:space="preserve">The Bayesian information criterion defined by </w:t>
      </w:r>
      <w:r w:rsidRPr="005870E8">
        <w:rPr>
          <w:rFonts w:ascii="Times New Roman" w:hAnsi="Times New Roman"/>
          <w:noProof/>
          <w:sz w:val="22"/>
          <w:szCs w:val="18"/>
        </w:rPr>
        <w:t>Stoica and Selen (2004)</w:t>
      </w:r>
      <w:r w:rsidRPr="005870E8">
        <w:rPr>
          <w:rFonts w:ascii="Times New Roman" w:hAnsi="Times New Roman"/>
          <w:sz w:val="22"/>
          <w:szCs w:val="18"/>
        </w:rPr>
        <w:t xml:space="preserve"> and adapted by </w:t>
      </w:r>
      <w:r w:rsidRPr="005870E8">
        <w:rPr>
          <w:rFonts w:ascii="Times New Roman" w:hAnsi="Times New Roman"/>
          <w:noProof/>
          <w:sz w:val="22"/>
          <w:szCs w:val="18"/>
        </w:rPr>
        <w:t>Karl et al. (2018)</w:t>
      </w:r>
      <w:r w:rsidRPr="005870E8">
        <w:rPr>
          <w:rFonts w:ascii="Times New Roman" w:hAnsi="Times New Roman"/>
          <w:sz w:val="22"/>
          <w:szCs w:val="18"/>
        </w:rPr>
        <w:t xml:space="preserve"> takes on the following form:</w:t>
      </w:r>
    </w:p>
    <w:p w14:paraId="0A8FE55C" w14:textId="77777777" w:rsidR="005870E8" w:rsidRPr="005870E8" w:rsidRDefault="005870E8" w:rsidP="002B7949">
      <w:pPr>
        <w:pStyle w:val="TESupportingInformation"/>
        <w:spacing w:after="120" w:line="276" w:lineRule="auto"/>
        <w:rPr>
          <w:rFonts w:ascii="Times New Roman" w:hAnsi="Times New Roman"/>
          <w:sz w:val="22"/>
          <w:szCs w:val="18"/>
        </w:rPr>
      </w:pPr>
      <m:oMath>
        <m:r>
          <w:rPr>
            <w:rFonts w:ascii="Cambria Math" w:hAnsi="Cambria Math"/>
            <w:sz w:val="22"/>
            <w:szCs w:val="18"/>
          </w:rPr>
          <m:t>BIC</m:t>
        </m:r>
        <m:r>
          <m:rPr>
            <m:sty m:val="p"/>
          </m:rPr>
          <w:rPr>
            <w:rFonts w:ascii="Cambria Math" w:hAnsi="Cambria Math"/>
            <w:sz w:val="22"/>
            <w:szCs w:val="18"/>
          </w:rPr>
          <m:t>=</m:t>
        </m:r>
        <m:func>
          <m:funcPr>
            <m:ctrlPr>
              <w:rPr>
                <w:rFonts w:ascii="Cambria Math" w:hAnsi="Cambria Math"/>
                <w:sz w:val="22"/>
                <w:szCs w:val="18"/>
              </w:rPr>
            </m:ctrlPr>
          </m:funcPr>
          <m:fName>
            <m:r>
              <m:rPr>
                <m:sty m:val="p"/>
              </m:rPr>
              <w:rPr>
                <w:rFonts w:ascii="Cambria Math" w:hAnsi="Cambria Math"/>
                <w:sz w:val="22"/>
                <w:szCs w:val="18"/>
              </w:rPr>
              <m:t>log</m:t>
            </m:r>
          </m:fName>
          <m:e>
            <m:d>
              <m:dPr>
                <m:ctrlPr>
                  <w:rPr>
                    <w:rFonts w:ascii="Cambria Math" w:hAnsi="Cambria Math"/>
                    <w:sz w:val="22"/>
                    <w:szCs w:val="18"/>
                  </w:rPr>
                </m:ctrlPr>
              </m:dPr>
              <m:e>
                <m:sSup>
                  <m:sSupPr>
                    <m:ctrlPr>
                      <w:rPr>
                        <w:rFonts w:ascii="Cambria Math" w:hAnsi="Cambria Math"/>
                        <w:sz w:val="22"/>
                        <w:szCs w:val="18"/>
                      </w:rPr>
                    </m:ctrlPr>
                  </m:sSupPr>
                  <m:e>
                    <m:d>
                      <m:dPr>
                        <m:begChr m:val="‖"/>
                        <m:endChr m:val="‖"/>
                        <m:ctrlPr>
                          <w:rPr>
                            <w:rFonts w:ascii="Cambria Math" w:hAnsi="Cambria Math"/>
                            <w:sz w:val="22"/>
                            <w:szCs w:val="18"/>
                          </w:rPr>
                        </m:ctrlPr>
                      </m:dPr>
                      <m:e>
                        <m:acc>
                          <m:accPr>
                            <m:chr m:val="⃡"/>
                            <m:ctrlPr>
                              <w:rPr>
                                <w:rFonts w:ascii="Cambria Math" w:hAnsi="Cambria Math"/>
                                <w:sz w:val="22"/>
                                <w:szCs w:val="18"/>
                              </w:rPr>
                            </m:ctrlPr>
                          </m:accPr>
                          <m:e>
                            <m:r>
                              <w:rPr>
                                <w:rFonts w:ascii="Cambria Math" w:hAnsi="Cambria Math"/>
                                <w:sz w:val="22"/>
                                <w:szCs w:val="18"/>
                              </w:rPr>
                              <m:t>W</m:t>
                            </m:r>
                          </m:e>
                        </m:acc>
                        <m:r>
                          <m:rPr>
                            <m:sty m:val="p"/>
                          </m:rPr>
                          <w:rPr>
                            <w:rFonts w:ascii="Cambria Math" w:hAnsi="Cambria Math"/>
                            <w:sz w:val="22"/>
                            <w:szCs w:val="18"/>
                          </w:rPr>
                          <m:t>×</m:t>
                        </m:r>
                        <m:acc>
                          <m:accPr>
                            <m:chr m:val="⃡"/>
                            <m:ctrlPr>
                              <w:rPr>
                                <w:rFonts w:ascii="Cambria Math" w:hAnsi="Cambria Math"/>
                                <w:sz w:val="22"/>
                                <w:szCs w:val="18"/>
                              </w:rPr>
                            </m:ctrlPr>
                          </m:accPr>
                          <m:e>
                            <m:r>
                              <w:rPr>
                                <w:rFonts w:ascii="Cambria Math" w:hAnsi="Cambria Math"/>
                                <w:sz w:val="22"/>
                                <w:szCs w:val="18"/>
                              </w:rPr>
                              <m:t>H</m:t>
                            </m:r>
                          </m:e>
                        </m:acc>
                        <m:r>
                          <m:rPr>
                            <m:sty m:val="p"/>
                          </m:rPr>
                          <w:rPr>
                            <w:rFonts w:ascii="Cambria Math" w:hAnsi="Cambria Math"/>
                            <w:sz w:val="22"/>
                            <w:szCs w:val="18"/>
                          </w:rPr>
                          <m:t>-</m:t>
                        </m:r>
                        <m:acc>
                          <m:accPr>
                            <m:chr m:val="⃡"/>
                            <m:ctrlPr>
                              <w:rPr>
                                <w:rFonts w:ascii="Cambria Math" w:hAnsi="Cambria Math"/>
                                <w:sz w:val="22"/>
                                <w:szCs w:val="18"/>
                              </w:rPr>
                            </m:ctrlPr>
                          </m:accPr>
                          <m:e>
                            <m:r>
                              <w:rPr>
                                <w:rFonts w:ascii="Cambria Math" w:hAnsi="Cambria Math"/>
                                <w:sz w:val="22"/>
                                <w:szCs w:val="18"/>
                              </w:rPr>
                              <m:t>F</m:t>
                            </m:r>
                          </m:e>
                        </m:acc>
                      </m:e>
                    </m:d>
                  </m:e>
                  <m:sup>
                    <m:r>
                      <m:rPr>
                        <m:sty m:val="p"/>
                      </m:rPr>
                      <w:rPr>
                        <w:rFonts w:ascii="Cambria Math" w:hAnsi="Cambria Math"/>
                        <w:sz w:val="22"/>
                        <w:szCs w:val="18"/>
                      </w:rPr>
                      <m:t>2</m:t>
                    </m:r>
                  </m:sup>
                </m:sSup>
              </m:e>
            </m:d>
          </m:e>
        </m:func>
        <m:r>
          <m:rPr>
            <m:sty m:val="p"/>
          </m:rPr>
          <w:rPr>
            <w:rFonts w:ascii="Cambria Math" w:hAnsi="Cambria Math"/>
            <w:sz w:val="22"/>
            <w:szCs w:val="18"/>
          </w:rPr>
          <m:t>+</m:t>
        </m:r>
        <m:r>
          <w:rPr>
            <w:rFonts w:ascii="Cambria Math" w:hAnsi="Cambria Math"/>
            <w:sz w:val="22"/>
            <w:szCs w:val="18"/>
          </w:rPr>
          <m:t>k</m:t>
        </m:r>
        <m:f>
          <m:fPr>
            <m:ctrlPr>
              <w:rPr>
                <w:rFonts w:ascii="Cambria Math" w:hAnsi="Cambria Math"/>
                <w:sz w:val="22"/>
                <w:szCs w:val="18"/>
              </w:rPr>
            </m:ctrlPr>
          </m:fPr>
          <m:num>
            <m:r>
              <w:rPr>
                <w:rFonts w:ascii="Cambria Math" w:hAnsi="Cambria Math"/>
                <w:sz w:val="22"/>
                <w:szCs w:val="18"/>
              </w:rPr>
              <m:t>s</m:t>
            </m:r>
            <m:r>
              <m:rPr>
                <m:sty m:val="p"/>
              </m:rPr>
              <w:rPr>
                <w:rFonts w:ascii="Cambria Math" w:hAnsi="Cambria Math"/>
                <w:sz w:val="22"/>
                <w:szCs w:val="18"/>
              </w:rPr>
              <m:t>+</m:t>
            </m:r>
            <m:r>
              <w:rPr>
                <w:rFonts w:ascii="Cambria Math" w:hAnsi="Cambria Math"/>
                <w:sz w:val="22"/>
                <w:szCs w:val="18"/>
              </w:rPr>
              <m:t>t</m:t>
            </m:r>
          </m:num>
          <m:den>
            <m:r>
              <w:rPr>
                <w:rFonts w:ascii="Cambria Math" w:hAnsi="Cambria Math"/>
                <w:sz w:val="22"/>
                <w:szCs w:val="18"/>
              </w:rPr>
              <m:t>st</m:t>
            </m:r>
          </m:den>
        </m:f>
        <m:func>
          <m:funcPr>
            <m:ctrlPr>
              <w:rPr>
                <w:rFonts w:ascii="Cambria Math" w:hAnsi="Cambria Math"/>
                <w:sz w:val="22"/>
                <w:szCs w:val="18"/>
              </w:rPr>
            </m:ctrlPr>
          </m:funcPr>
          <m:fName>
            <m:r>
              <m:rPr>
                <m:sty m:val="p"/>
              </m:rPr>
              <w:rPr>
                <w:rFonts w:ascii="Cambria Math" w:hAnsi="Cambria Math"/>
                <w:sz w:val="22"/>
                <w:szCs w:val="18"/>
              </w:rPr>
              <m:t>log</m:t>
            </m:r>
          </m:fName>
          <m:e>
            <m:d>
              <m:dPr>
                <m:ctrlPr>
                  <w:rPr>
                    <w:rFonts w:ascii="Cambria Math" w:hAnsi="Cambria Math"/>
                    <w:sz w:val="22"/>
                    <w:szCs w:val="18"/>
                  </w:rPr>
                </m:ctrlPr>
              </m:dPr>
              <m:e>
                <m:f>
                  <m:fPr>
                    <m:ctrlPr>
                      <w:rPr>
                        <w:rFonts w:ascii="Cambria Math" w:hAnsi="Cambria Math"/>
                        <w:sz w:val="22"/>
                        <w:szCs w:val="18"/>
                      </w:rPr>
                    </m:ctrlPr>
                  </m:fPr>
                  <m:num>
                    <m:r>
                      <w:rPr>
                        <w:rFonts w:ascii="Cambria Math" w:hAnsi="Cambria Math"/>
                        <w:sz w:val="22"/>
                        <w:szCs w:val="18"/>
                      </w:rPr>
                      <m:t>st</m:t>
                    </m:r>
                  </m:num>
                  <m:den>
                    <m:r>
                      <w:rPr>
                        <w:rFonts w:ascii="Cambria Math" w:hAnsi="Cambria Math"/>
                        <w:sz w:val="22"/>
                        <w:szCs w:val="18"/>
                      </w:rPr>
                      <m:t>s</m:t>
                    </m:r>
                    <m:r>
                      <m:rPr>
                        <m:sty m:val="p"/>
                      </m:rPr>
                      <w:rPr>
                        <w:rFonts w:ascii="Cambria Math" w:hAnsi="Cambria Math"/>
                        <w:sz w:val="22"/>
                        <w:szCs w:val="18"/>
                      </w:rPr>
                      <m:t>+</m:t>
                    </m:r>
                    <m:r>
                      <w:rPr>
                        <w:rFonts w:ascii="Cambria Math" w:hAnsi="Cambria Math"/>
                        <w:sz w:val="22"/>
                        <w:szCs w:val="18"/>
                      </w:rPr>
                      <m:t>t</m:t>
                    </m:r>
                  </m:den>
                </m:f>
              </m:e>
            </m:d>
          </m:e>
        </m:func>
      </m:oMath>
      <w:r w:rsidRPr="005870E8">
        <w:rPr>
          <w:rFonts w:ascii="Times New Roman" w:hAnsi="Times New Roman"/>
          <w:sz w:val="22"/>
          <w:szCs w:val="18"/>
        </w:rPr>
        <w:t xml:space="preserve"> </w:t>
      </w:r>
      <w:r w:rsidRPr="005870E8">
        <w:rPr>
          <w:rFonts w:ascii="Times New Roman" w:hAnsi="Times New Roman"/>
          <w:sz w:val="22"/>
          <w:szCs w:val="18"/>
        </w:rPr>
        <w:tab/>
      </w:r>
      <w:r w:rsidRPr="005870E8">
        <w:rPr>
          <w:rFonts w:ascii="Times New Roman" w:hAnsi="Times New Roman"/>
          <w:sz w:val="22"/>
          <w:szCs w:val="18"/>
        </w:rPr>
        <w:tab/>
      </w:r>
      <w:r w:rsidRPr="005870E8">
        <w:rPr>
          <w:rFonts w:ascii="Times New Roman" w:hAnsi="Times New Roman"/>
          <w:sz w:val="22"/>
          <w:szCs w:val="18"/>
        </w:rPr>
        <w:tab/>
      </w:r>
      <w:r w:rsidRPr="005870E8">
        <w:rPr>
          <w:rFonts w:ascii="Times New Roman" w:hAnsi="Times New Roman"/>
          <w:sz w:val="22"/>
          <w:szCs w:val="18"/>
        </w:rPr>
        <w:tab/>
      </w:r>
      <w:r w:rsidRPr="005870E8">
        <w:rPr>
          <w:rFonts w:ascii="Times New Roman" w:hAnsi="Times New Roman"/>
          <w:sz w:val="22"/>
          <w:szCs w:val="18"/>
        </w:rPr>
        <w:tab/>
        <w:t>[S2.1]</w:t>
      </w:r>
    </w:p>
    <w:p w14:paraId="4D5EC354" w14:textId="77777777" w:rsidR="005870E8" w:rsidRPr="005870E8" w:rsidRDefault="005870E8" w:rsidP="002B7949">
      <w:pPr>
        <w:pStyle w:val="TESupportingInformation"/>
        <w:spacing w:after="120" w:line="276" w:lineRule="auto"/>
        <w:rPr>
          <w:rFonts w:ascii="Times New Roman" w:hAnsi="Times New Roman"/>
          <w:sz w:val="22"/>
          <w:szCs w:val="18"/>
        </w:rPr>
      </w:pPr>
      <w:r w:rsidRPr="005870E8">
        <w:rPr>
          <w:rFonts w:ascii="Times New Roman" w:hAnsi="Times New Roman"/>
          <w:sz w:val="22"/>
          <w:szCs w:val="18"/>
        </w:rPr>
        <w:t xml:space="preserve">Minimizing the BIC value would give a NNMF matrix that’s representative of the original dataset while separating source factors in an efficient way. We performed NNMF analysis for number of factors k between 3 and 25, then calculate the BIC value using the above equation.  </w:t>
      </w:r>
    </w:p>
    <w:p w14:paraId="47783D3D" w14:textId="77777777" w:rsidR="005870E8" w:rsidRPr="005870E8" w:rsidRDefault="005870E8" w:rsidP="002B7949">
      <w:pPr>
        <w:pStyle w:val="TESupportingInformation"/>
        <w:spacing w:after="120" w:line="276" w:lineRule="auto"/>
        <w:rPr>
          <w:rFonts w:ascii="Times New Roman" w:hAnsi="Times New Roman"/>
          <w:sz w:val="22"/>
          <w:szCs w:val="18"/>
        </w:rPr>
      </w:pPr>
      <w:r w:rsidRPr="005870E8">
        <w:rPr>
          <w:rFonts w:ascii="Times New Roman" w:hAnsi="Times New Roman"/>
          <w:noProof/>
          <w:sz w:val="22"/>
          <w:szCs w:val="18"/>
          <w:lang w:eastAsia="zh-CN"/>
        </w:rPr>
        <mc:AlternateContent>
          <mc:Choice Requires="wps">
            <w:drawing>
              <wp:anchor distT="45720" distB="45720" distL="114300" distR="114300" simplePos="0" relativeHeight="251664384" behindDoc="0" locked="0" layoutInCell="1" allowOverlap="1" wp14:anchorId="661C4F4A" wp14:editId="145C9317">
                <wp:simplePos x="0" y="0"/>
                <wp:positionH relativeFrom="column">
                  <wp:posOffset>698500</wp:posOffset>
                </wp:positionH>
                <wp:positionV relativeFrom="paragraph">
                  <wp:posOffset>3697605</wp:posOffset>
                </wp:positionV>
                <wp:extent cx="5296535" cy="310515"/>
                <wp:effectExtent l="0" t="0" r="0" b="0"/>
                <wp:wrapTopAndBottom/>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535" cy="310515"/>
                        </a:xfrm>
                        <a:prstGeom prst="rect">
                          <a:avLst/>
                        </a:prstGeom>
                        <a:solidFill>
                          <a:srgbClr val="FFFFFF"/>
                        </a:solidFill>
                        <a:ln w="9525">
                          <a:solidFill>
                            <a:srgbClr val="000000"/>
                          </a:solidFill>
                          <a:miter lim="800000"/>
                          <a:headEnd/>
                          <a:tailEnd/>
                        </a:ln>
                      </wps:spPr>
                      <wps:txbx>
                        <w:txbxContent>
                          <w:p w14:paraId="58F83AE1" w14:textId="77777777" w:rsidR="005870E8" w:rsidRPr="00A81DD3" w:rsidRDefault="005870E8" w:rsidP="00081D6A">
                            <w:pPr>
                              <w:rPr>
                                <w:sz w:val="22"/>
                                <w:szCs w:val="20"/>
                              </w:rPr>
                            </w:pPr>
                            <w:r w:rsidRPr="00A81DD3">
                              <w:rPr>
                                <w:sz w:val="22"/>
                                <w:szCs w:val="20"/>
                              </w:rPr>
                              <w:t>Figure S2.2 – Results of BIC analysis showing minimum values at 7 or 8 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C4F4A" id="Text Box 50" o:spid="_x0000_s1028" type="#_x0000_t202" style="position:absolute;left:0;text-align:left;margin-left:55pt;margin-top:291.15pt;width:417.05pt;height:24.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">
                <v:textbox>
                  <w:txbxContent>
                    <w:p w14:paraId="58F83AE1" w14:textId="77777777" w:rsidR="005870E8" w:rsidRPr="00A81DD3" w:rsidRDefault="005870E8" w:rsidP="00081D6A">
                      <w:pPr>
                        <w:rPr>
                          <w:sz w:val="22"/>
                          <w:szCs w:val="20"/>
                        </w:rPr>
                      </w:pPr>
                      <w:r w:rsidRPr="00A81DD3">
                        <w:rPr>
                          <w:sz w:val="22"/>
                          <w:szCs w:val="20"/>
                        </w:rPr>
                        <w:t>Figure S2.2 – Results of BIC analysis showing minimum values at 7 or 8 factors.</w:t>
                      </w:r>
                    </w:p>
                  </w:txbxContent>
                </v:textbox>
                <w10:wrap type="topAndBottom"/>
              </v:shape>
            </w:pict>
          </mc:Fallback>
        </mc:AlternateContent>
      </w:r>
      <w:r w:rsidRPr="005870E8">
        <w:rPr>
          <w:rFonts w:ascii="Times New Roman" w:hAnsi="Times New Roman"/>
          <w:noProof/>
          <w:sz w:val="22"/>
          <w:szCs w:val="18"/>
          <w:lang w:eastAsia="zh-CN"/>
        </w:rPr>
        <w:drawing>
          <wp:anchor distT="0" distB="0" distL="114300" distR="114300" simplePos="0" relativeHeight="251661312" behindDoc="0" locked="0" layoutInCell="1" allowOverlap="1" wp14:anchorId="08F888FB" wp14:editId="41ABAE05">
            <wp:simplePos x="0" y="0"/>
            <wp:positionH relativeFrom="column">
              <wp:posOffset>1415271</wp:posOffset>
            </wp:positionH>
            <wp:positionV relativeFrom="paragraph">
              <wp:posOffset>893877</wp:posOffset>
            </wp:positionV>
            <wp:extent cx="3553460" cy="2538095"/>
            <wp:effectExtent l="0" t="0" r="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53460" cy="2538095"/>
                    </a:xfrm>
                    <a:prstGeom prst="rect">
                      <a:avLst/>
                    </a:prstGeom>
                  </pic:spPr>
                </pic:pic>
              </a:graphicData>
            </a:graphic>
            <wp14:sizeRelH relativeFrom="page">
              <wp14:pctWidth>0</wp14:pctWidth>
            </wp14:sizeRelH>
            <wp14:sizeRelV relativeFrom="page">
              <wp14:pctHeight>0</wp14:pctHeight>
            </wp14:sizeRelV>
          </wp:anchor>
        </w:drawing>
      </w:r>
      <w:r w:rsidRPr="005870E8">
        <w:rPr>
          <w:rFonts w:ascii="Times New Roman" w:hAnsi="Times New Roman"/>
          <w:sz w:val="22"/>
          <w:szCs w:val="18"/>
        </w:rPr>
        <w:t>Based on the results, the optimal number of factors are likely 7 or 8 (where BIC is the lowest). We select the number of factors to be 8 in our final analysis with the additional information provided in species fingerprint (Sect. S2.1) and NNMF residual values (SI Sect. S2.3).</w:t>
      </w:r>
      <w:r w:rsidRPr="005870E8">
        <w:rPr>
          <w:rFonts w:ascii="Times New Roman" w:hAnsi="Times New Roman"/>
          <w:sz w:val="22"/>
          <w:szCs w:val="18"/>
        </w:rPr>
        <w:br w:type="page"/>
      </w:r>
    </w:p>
    <w:p w14:paraId="6AD23130" w14:textId="77777777" w:rsidR="005870E8" w:rsidRPr="005870E8" w:rsidRDefault="005870E8" w:rsidP="0062420D">
      <w:pPr>
        <w:pStyle w:val="TESupportingInformation"/>
        <w:spacing w:line="360" w:lineRule="auto"/>
        <w:rPr>
          <w:rFonts w:ascii="Times New Roman" w:hAnsi="Times New Roman"/>
          <w:sz w:val="22"/>
          <w:szCs w:val="18"/>
          <w:u w:val="single"/>
        </w:rPr>
      </w:pPr>
      <w:r w:rsidRPr="005870E8">
        <w:rPr>
          <w:rFonts w:ascii="Times New Roman" w:hAnsi="Times New Roman"/>
          <w:sz w:val="22"/>
          <w:szCs w:val="18"/>
          <w:u w:val="single"/>
        </w:rPr>
        <w:lastRenderedPageBreak/>
        <w:t>S2.3: NNMF bias – residual matrix</w:t>
      </w:r>
    </w:p>
    <w:p w14:paraId="1CB5EB16" w14:textId="77777777" w:rsidR="005870E8" w:rsidRPr="005870E8" w:rsidRDefault="005870E8" w:rsidP="00E86A0E">
      <w:pPr>
        <w:pStyle w:val="TESupportingInformation"/>
        <w:spacing w:after="120" w:line="276" w:lineRule="auto"/>
        <w:rPr>
          <w:rFonts w:ascii="Times New Roman" w:hAnsi="Times New Roman"/>
          <w:sz w:val="22"/>
          <w:szCs w:val="18"/>
        </w:rPr>
      </w:pPr>
      <w:r w:rsidRPr="005870E8">
        <w:rPr>
          <w:rFonts w:ascii="Times New Roman" w:hAnsi="Times New Roman"/>
          <w:sz w:val="22"/>
          <w:szCs w:val="18"/>
        </w:rPr>
        <w:t xml:space="preserve">Biases of the NNMF method in each species make up the residual </w:t>
      </w:r>
      <w:r w:rsidRPr="005870E8">
        <w:rPr>
          <w:rFonts w:ascii="Times New Roman" w:hAnsi="Times New Roman"/>
          <w:color w:val="000000"/>
          <w:sz w:val="22"/>
          <w:szCs w:val="18"/>
        </w:rPr>
        <w:t xml:space="preserve">matrix </w:t>
      </w:r>
      <m:oMath>
        <m:acc>
          <m:accPr>
            <m:chr m:val="⃡"/>
            <m:ctrlPr>
              <w:rPr>
                <w:rFonts w:ascii="Cambria Math" w:hAnsi="Cambria Math"/>
                <w:i/>
                <w:color w:val="000000"/>
                <w:sz w:val="22"/>
                <w:szCs w:val="18"/>
              </w:rPr>
            </m:ctrlPr>
          </m:accPr>
          <m:e>
            <m:r>
              <w:rPr>
                <w:rFonts w:ascii="Cambria Math" w:hAnsi="Cambria Math"/>
                <w:color w:val="000000"/>
                <w:sz w:val="22"/>
                <w:szCs w:val="18"/>
              </w:rPr>
              <m:t>r</m:t>
            </m:r>
          </m:e>
        </m:acc>
      </m:oMath>
      <w:r w:rsidRPr="005870E8">
        <w:rPr>
          <w:rFonts w:ascii="Times New Roman" w:hAnsi="Times New Roman"/>
          <w:color w:val="000000"/>
          <w:sz w:val="22"/>
          <w:szCs w:val="18"/>
        </w:rPr>
        <w:t xml:space="preserve"> in </w:t>
      </w:r>
      <w:r w:rsidRPr="005870E8">
        <w:rPr>
          <w:rFonts w:ascii="Times New Roman" w:hAnsi="Times New Roman"/>
          <w:sz w:val="22"/>
          <w:szCs w:val="18"/>
        </w:rPr>
        <w:t xml:space="preserve">Eqn. 1. The bias for each species </w:t>
      </w:r>
      <m:oMath>
        <m:r>
          <w:rPr>
            <w:rFonts w:ascii="Cambria Math" w:hAnsi="Cambria Math"/>
            <w:sz w:val="22"/>
            <w:szCs w:val="18"/>
          </w:rPr>
          <m:t>s</m:t>
        </m:r>
      </m:oMath>
      <w:r w:rsidRPr="005870E8">
        <w:rPr>
          <w:rFonts w:ascii="Times New Roman" w:hAnsi="Times New Roman"/>
          <w:sz w:val="22"/>
          <w:szCs w:val="18"/>
        </w:rPr>
        <w:t xml:space="preserve"> at time step </w:t>
      </w:r>
      <m:oMath>
        <m:sSub>
          <m:sSubPr>
            <m:ctrlPr>
              <w:rPr>
                <w:rFonts w:ascii="Cambria Math" w:hAnsi="Cambria Math"/>
                <w:i/>
                <w:sz w:val="22"/>
                <w:szCs w:val="18"/>
              </w:rPr>
            </m:ctrlPr>
          </m:sSubPr>
          <m:e>
            <m:r>
              <w:rPr>
                <w:rFonts w:ascii="Cambria Math" w:hAnsi="Cambria Math"/>
                <w:sz w:val="22"/>
                <w:szCs w:val="18"/>
              </w:rPr>
              <m:t>t</m:t>
            </m:r>
          </m:e>
          <m:sub>
            <m:r>
              <w:rPr>
                <w:rFonts w:ascii="Cambria Math" w:hAnsi="Cambria Math"/>
                <w:sz w:val="22"/>
                <w:szCs w:val="18"/>
              </w:rPr>
              <m:t>i</m:t>
            </m:r>
          </m:sub>
        </m:sSub>
      </m:oMath>
      <w:r w:rsidRPr="005870E8">
        <w:rPr>
          <w:rFonts w:ascii="Times New Roman" w:hAnsi="Times New Roman"/>
          <w:sz w:val="22"/>
          <w:szCs w:val="18"/>
        </w:rPr>
        <w:t xml:space="preserve"> can be evaluated using the following equation:</w:t>
      </w:r>
    </w:p>
    <w:p w14:paraId="0A086D28" w14:textId="77777777" w:rsidR="005870E8" w:rsidRPr="005870E8" w:rsidRDefault="005870E8" w:rsidP="00E86A0E">
      <w:pPr>
        <w:pStyle w:val="TESupportingInformation"/>
        <w:spacing w:after="120" w:line="276" w:lineRule="auto"/>
        <w:rPr>
          <w:rFonts w:ascii="Times New Roman" w:hAnsi="Times New Roman"/>
          <w:sz w:val="22"/>
          <w:szCs w:val="18"/>
        </w:rPr>
      </w:pPr>
      <m:oMath>
        <m:r>
          <w:rPr>
            <w:rFonts w:ascii="Cambria Math" w:hAnsi="Cambria Math"/>
            <w:sz w:val="22"/>
            <w:szCs w:val="22"/>
          </w:rPr>
          <m:t>Bia</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m:t>
                </m:r>
              </m:sub>
            </m:sSub>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m:t>
                    </m:r>
                  </m:sub>
                </m:sSub>
              </m:sub>
            </m:sSub>
          </m:e>
        </m:acc>
        <m:r>
          <w:rPr>
            <w:rFonts w:ascii="Cambria Math" w:hAnsi="Cambria Math"/>
            <w:sz w:val="22"/>
            <w:szCs w:val="22"/>
          </w:rPr>
          <m:t xml:space="preserve"> </m:t>
        </m:r>
        <m:d>
          <m:dPr>
            <m:begChr m:val="["/>
            <m:endChr m:val="]"/>
            <m:ctrlPr>
              <w:rPr>
                <w:rFonts w:ascii="Cambria Math" w:hAnsi="Cambria Math"/>
                <w:i/>
                <w:sz w:val="22"/>
                <w:szCs w:val="22"/>
              </w:rPr>
            </m:ctrlPr>
          </m:dPr>
          <m:e>
            <m:r>
              <w:rPr>
                <w:rFonts w:ascii="Cambria Math" w:hAnsi="Cambria Math"/>
                <w:sz w:val="22"/>
                <w:szCs w:val="22"/>
              </w:rPr>
              <m:t>ppbC</m:t>
            </m:r>
          </m:e>
        </m:d>
        <m:r>
          <w:rPr>
            <w:rFonts w:ascii="Cambria Math" w:hAnsi="Cambria Math"/>
            <w:sz w:val="22"/>
            <w:szCs w:val="22"/>
          </w:rPr>
          <m:t>=</m:t>
        </m:r>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m:t>
                    </m:r>
                  </m:sub>
                </m:sSub>
              </m:sub>
            </m:sSub>
          </m:e>
        </m:acc>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8</m:t>
            </m:r>
          </m:sup>
          <m:e>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s,k</m:t>
                    </m:r>
                  </m:sub>
                </m:sSub>
              </m:e>
            </m:acc>
            <m:r>
              <w:rPr>
                <w:rFonts w:ascii="Cambria Math" w:hAnsi="Cambria Math"/>
                <w:sz w:val="22"/>
                <w:szCs w:val="22"/>
              </w:rPr>
              <m:t xml:space="preserve"> ×</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m:t>
                        </m:r>
                      </m:sub>
                    </m:sSub>
                  </m:sub>
                </m:sSub>
              </m:e>
            </m:acc>
          </m:e>
        </m:nary>
      </m:oMath>
      <w:r w:rsidRPr="005870E8">
        <w:rPr>
          <w:rFonts w:ascii="Times New Roman" w:hAnsi="Times New Roman"/>
          <w:sz w:val="22"/>
          <w:szCs w:val="18"/>
        </w:rPr>
        <w:t xml:space="preserve"> </w:t>
      </w:r>
      <w:r w:rsidRPr="005870E8">
        <w:rPr>
          <w:rFonts w:ascii="Times New Roman" w:hAnsi="Times New Roman"/>
          <w:sz w:val="22"/>
          <w:szCs w:val="18"/>
        </w:rPr>
        <w:tab/>
      </w:r>
      <w:r w:rsidRPr="005870E8">
        <w:rPr>
          <w:rFonts w:ascii="Times New Roman" w:hAnsi="Times New Roman"/>
          <w:sz w:val="22"/>
          <w:szCs w:val="18"/>
        </w:rPr>
        <w:tab/>
      </w:r>
      <w:r w:rsidRPr="005870E8">
        <w:rPr>
          <w:rFonts w:ascii="Times New Roman" w:hAnsi="Times New Roman"/>
          <w:sz w:val="22"/>
          <w:szCs w:val="18"/>
        </w:rPr>
        <w:tab/>
      </w:r>
      <w:r w:rsidRPr="005870E8">
        <w:rPr>
          <w:rFonts w:ascii="Times New Roman" w:hAnsi="Times New Roman"/>
          <w:sz w:val="22"/>
          <w:szCs w:val="18"/>
        </w:rPr>
        <w:tab/>
        <w:t>[S2.2]</w:t>
      </w:r>
    </w:p>
    <w:p w14:paraId="005059EC" w14:textId="77777777" w:rsidR="005870E8" w:rsidRPr="005870E8" w:rsidRDefault="005870E8" w:rsidP="00E86A0E">
      <w:pPr>
        <w:pStyle w:val="TESupportingInformation"/>
        <w:spacing w:after="120" w:line="276" w:lineRule="auto"/>
        <w:rPr>
          <w:rFonts w:ascii="Times New Roman" w:hAnsi="Times New Roman"/>
          <w:sz w:val="22"/>
          <w:szCs w:val="18"/>
        </w:rPr>
      </w:pPr>
      <w:r w:rsidRPr="005870E8">
        <w:rPr>
          <w:rFonts w:ascii="Times New Roman" w:hAnsi="Times New Roman"/>
          <w:sz w:val="22"/>
          <w:szCs w:val="18"/>
        </w:rPr>
        <w:t xml:space="preserve">  We then calculate bias for all species to obtain absolute bias time series (Fig. S2.3a), and divide that by original mixing ratios to get relative bias (Fig. S2.3b). Figure S2.3c shows the scatter plot of PTR-ToF-MS measured total mixing ratio vs. NNMF calculated ratio. The slope (1.014 &gt; 1) and intercept (3.884 &gt; 0) of the regression suggest a slight overestimation of VOCs in the NNMF analysis, especially at lower total concentrations. The overall correlation is high with an R value of 0.987, indicating that the NNMF represents our dataset well. The larger relative biases in the winter months are due to the lower total VOCs on average, and possibly also the higher variation as observed in winter (Figs. 3, 4). Bias does not follow any diurnal trends.</w:t>
      </w:r>
    </w:p>
    <w:p w14:paraId="259663AA" w14:textId="79BFA434" w:rsidR="005870E8" w:rsidRPr="005870E8" w:rsidRDefault="005870E8" w:rsidP="00E86A0E">
      <w:pPr>
        <w:pStyle w:val="TESupportingInformation"/>
        <w:spacing w:after="120" w:line="276" w:lineRule="auto"/>
        <w:rPr>
          <w:rFonts w:ascii="Times New Roman" w:hAnsi="Times New Roman"/>
          <w:sz w:val="22"/>
          <w:szCs w:val="18"/>
        </w:rPr>
      </w:pPr>
      <w:r w:rsidRPr="005870E8">
        <w:rPr>
          <w:rFonts w:ascii="Times New Roman" w:hAnsi="Times New Roman"/>
          <w:noProof/>
          <w:sz w:val="22"/>
          <w:szCs w:val="18"/>
        </w:rPr>
        <w:drawing>
          <wp:anchor distT="0" distB="0" distL="114300" distR="114300" simplePos="0" relativeHeight="251663360" behindDoc="0" locked="0" layoutInCell="1" allowOverlap="1" wp14:anchorId="11C26230" wp14:editId="452E4531">
            <wp:simplePos x="0" y="0"/>
            <wp:positionH relativeFrom="column">
              <wp:posOffset>-100330</wp:posOffset>
            </wp:positionH>
            <wp:positionV relativeFrom="paragraph">
              <wp:posOffset>2428240</wp:posOffset>
            </wp:positionV>
            <wp:extent cx="3778250" cy="1554480"/>
            <wp:effectExtent l="0" t="0" r="0" b="0"/>
            <wp:wrapTopAndBottom/>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825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0E8">
        <w:rPr>
          <w:rFonts w:ascii="Times New Roman" w:hAnsi="Times New Roman"/>
          <w:noProof/>
          <w:sz w:val="22"/>
          <w:szCs w:val="18"/>
        </w:rPr>
        <w:drawing>
          <wp:anchor distT="0" distB="0" distL="114300" distR="114300" simplePos="0" relativeHeight="251668480" behindDoc="0" locked="0" layoutInCell="1" allowOverlap="1" wp14:anchorId="765D52A2" wp14:editId="75381B04">
            <wp:simplePos x="0" y="0"/>
            <wp:positionH relativeFrom="column">
              <wp:posOffset>3673475</wp:posOffset>
            </wp:positionH>
            <wp:positionV relativeFrom="paragraph">
              <wp:posOffset>1294130</wp:posOffset>
            </wp:positionV>
            <wp:extent cx="2924175" cy="2560320"/>
            <wp:effectExtent l="0" t="0" r="0" b="0"/>
            <wp:wrapTopAndBottom/>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0E8">
        <w:rPr>
          <w:rFonts w:ascii="Times New Roman" w:hAnsi="Times New Roman"/>
          <w:noProof/>
          <w:sz w:val="22"/>
          <w:szCs w:val="18"/>
        </w:rPr>
        <w:drawing>
          <wp:anchor distT="0" distB="0" distL="114300" distR="114300" simplePos="0" relativeHeight="251669504" behindDoc="0" locked="0" layoutInCell="1" allowOverlap="1" wp14:anchorId="04716690" wp14:editId="0D784A67">
            <wp:simplePos x="0" y="0"/>
            <wp:positionH relativeFrom="column">
              <wp:posOffset>-55880</wp:posOffset>
            </wp:positionH>
            <wp:positionV relativeFrom="paragraph">
              <wp:posOffset>896811</wp:posOffset>
            </wp:positionV>
            <wp:extent cx="3734435" cy="1533525"/>
            <wp:effectExtent l="0" t="0" r="0" b="0"/>
            <wp:wrapTopAndBottom/>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443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0E8">
        <w:rPr>
          <w:rFonts w:ascii="Times New Roman" w:hAnsi="Times New Roman"/>
          <w:sz w:val="22"/>
          <w:szCs w:val="18"/>
        </w:rPr>
        <w:t>Speciated NNMF vs. original mixing ratios also correlate well for most species; for example, isoprene has an R value of 0.992, monoterpenes 0.992, benzene 0.917, and toluene 0.954.</w:t>
      </w:r>
    </w:p>
    <w:p w14:paraId="157A3BB1" w14:textId="480B48C4" w:rsidR="005870E8" w:rsidRPr="005870E8" w:rsidRDefault="00A81DD3">
      <w:pPr>
        <w:spacing w:after="160" w:line="259" w:lineRule="auto"/>
        <w:jc w:val="left"/>
        <w:rPr>
          <w:rFonts w:cs="Times New Roman"/>
          <w:sz w:val="22"/>
          <w:szCs w:val="20"/>
          <w:lang w:eastAsia="en-US"/>
        </w:rPr>
      </w:pPr>
      <w:r w:rsidRPr="00BB614B">
        <w:rPr>
          <w:noProof/>
        </w:rPr>
        <mc:AlternateContent>
          <mc:Choice Requires="wps">
            <w:drawing>
              <wp:anchor distT="45720" distB="45720" distL="114300" distR="114300" simplePos="0" relativeHeight="251681792" behindDoc="0" locked="0" layoutInCell="1" allowOverlap="1" wp14:anchorId="632AD71A" wp14:editId="078E252B">
                <wp:simplePos x="0" y="0"/>
                <wp:positionH relativeFrom="column">
                  <wp:posOffset>257175</wp:posOffset>
                </wp:positionH>
                <wp:positionV relativeFrom="paragraph">
                  <wp:posOffset>3638550</wp:posOffset>
                </wp:positionV>
                <wp:extent cx="5960745" cy="586105"/>
                <wp:effectExtent l="0" t="0" r="1905" b="4445"/>
                <wp:wrapTopAndBottom/>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586105"/>
                        </a:xfrm>
                        <a:prstGeom prst="rect">
                          <a:avLst/>
                        </a:prstGeom>
                        <a:solidFill>
                          <a:srgbClr val="FFFFFF"/>
                        </a:solidFill>
                        <a:ln w="9525">
                          <a:solidFill>
                            <a:srgbClr val="000000"/>
                          </a:solidFill>
                          <a:miter lim="800000"/>
                          <a:headEnd/>
                          <a:tailEnd/>
                        </a:ln>
                      </wps:spPr>
                      <wps:txbx>
                        <w:txbxContent>
                          <w:p w14:paraId="4B7D4D94" w14:textId="77777777" w:rsidR="00A81DD3" w:rsidRPr="00A81DD3" w:rsidRDefault="00A81DD3" w:rsidP="00A81DD3">
                            <w:pPr>
                              <w:spacing w:line="276" w:lineRule="auto"/>
                              <w:rPr>
                                <w:sz w:val="22"/>
                                <w:szCs w:val="20"/>
                              </w:rPr>
                            </w:pPr>
                            <w:r w:rsidRPr="00A81DD3">
                              <w:rPr>
                                <w:sz w:val="22"/>
                                <w:szCs w:val="20"/>
                              </w:rPr>
                              <w:t xml:space="preserve">Figure S2.3 – Absolute and relative total NNMF bias for all species, and scatter plots of measured and NNMF speciated total VOC.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AD71A" id="Text Box 206" o:spid="_x0000_s1029" type="#_x0000_t202" style="position:absolute;margin-left:20.25pt;margin-top:286.5pt;width:469.35pt;height:46.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">
                <v:textbox>
                  <w:txbxContent>
                    <w:p w14:paraId="4B7D4D94" w14:textId="77777777" w:rsidR="00A81DD3" w:rsidRPr="00A81DD3" w:rsidRDefault="00A81DD3" w:rsidP="00A81DD3">
                      <w:pPr>
                        <w:spacing w:line="276" w:lineRule="auto"/>
                        <w:rPr>
                          <w:sz w:val="22"/>
                          <w:szCs w:val="20"/>
                        </w:rPr>
                      </w:pPr>
                      <w:r w:rsidRPr="00A81DD3">
                        <w:rPr>
                          <w:sz w:val="22"/>
                          <w:szCs w:val="20"/>
                        </w:rPr>
                        <w:t xml:space="preserve">Figure S2.3 – Absolute and relative total NNMF bias for all species, and scatter plots of measured and NNMF speciated total VOC. </w:t>
                      </w:r>
                    </w:p>
                  </w:txbxContent>
                </v:textbox>
                <w10:wrap type="topAndBottom"/>
              </v:shape>
            </w:pict>
          </mc:Fallback>
        </mc:AlternateContent>
      </w:r>
      <w:r w:rsidR="005870E8" w:rsidRPr="005870E8">
        <w:rPr>
          <w:rFonts w:cs="Times New Roman"/>
          <w:sz w:val="22"/>
          <w:szCs w:val="20"/>
          <w:lang w:eastAsia="en-US"/>
        </w:rPr>
        <w:br w:type="page"/>
      </w:r>
    </w:p>
    <w:p w14:paraId="0D50A961" w14:textId="77777777" w:rsidR="005870E8" w:rsidRPr="005870E8" w:rsidRDefault="005870E8" w:rsidP="0080768A">
      <w:pPr>
        <w:pStyle w:val="TESupportingInformation"/>
        <w:spacing w:line="360" w:lineRule="auto"/>
        <w:rPr>
          <w:rFonts w:ascii="Times New Roman" w:hAnsi="Times New Roman"/>
          <w:sz w:val="22"/>
          <w:szCs w:val="18"/>
          <w:u w:val="single"/>
        </w:rPr>
      </w:pPr>
      <w:r w:rsidRPr="005870E8">
        <w:rPr>
          <w:rFonts w:ascii="Times New Roman" w:hAnsi="Times New Roman"/>
          <w:sz w:val="22"/>
          <w:szCs w:val="18"/>
          <w:u w:val="single"/>
        </w:rPr>
        <w:lastRenderedPageBreak/>
        <w:t>S2.4: NNMF variability and uncertainty analysis</w:t>
      </w:r>
    </w:p>
    <w:p w14:paraId="6A7EAAEE" w14:textId="77777777" w:rsidR="005870E8" w:rsidRPr="005870E8" w:rsidRDefault="005870E8" w:rsidP="002439B0">
      <w:pPr>
        <w:pStyle w:val="TESupportingInformation"/>
        <w:spacing w:after="120" w:line="23" w:lineRule="atLeast"/>
        <w:rPr>
          <w:rFonts w:ascii="Times New Roman" w:hAnsi="Times New Roman"/>
          <w:color w:val="000000"/>
          <w:sz w:val="22"/>
          <w:szCs w:val="18"/>
        </w:rPr>
      </w:pPr>
      <w:r w:rsidRPr="005870E8">
        <w:rPr>
          <w:rFonts w:ascii="Times New Roman" w:hAnsi="Times New Roman"/>
          <w:sz w:val="22"/>
          <w:szCs w:val="18"/>
        </w:rPr>
        <w:t xml:space="preserve">We evaluate the variability and reproducibility of our NNMF analysis through an iterative application of the algorithm in MATLAB. For each variability test run, we use the species fingerprint </w:t>
      </w:r>
      <m:oMath>
        <m:acc>
          <m:accPr>
            <m:chr m:val="⃡"/>
            <m:ctrlPr>
              <w:rPr>
                <w:rFonts w:ascii="Cambria Math" w:hAnsi="Cambria Math"/>
                <w:i/>
                <w:color w:val="000000"/>
                <w:sz w:val="22"/>
                <w:szCs w:val="18"/>
              </w:rPr>
            </m:ctrlPr>
          </m:accPr>
          <m:e>
            <m:r>
              <w:rPr>
                <w:rFonts w:ascii="Cambria Math" w:hAnsi="Cambria Math"/>
                <w:color w:val="000000"/>
                <w:sz w:val="22"/>
                <w:szCs w:val="18"/>
              </w:rPr>
              <m:t>W</m:t>
            </m:r>
          </m:e>
        </m:acc>
      </m:oMath>
      <w:r w:rsidRPr="005870E8">
        <w:rPr>
          <w:rFonts w:ascii="Times New Roman" w:hAnsi="Times New Roman"/>
          <w:color w:val="000000"/>
          <w:sz w:val="22"/>
          <w:szCs w:val="18"/>
        </w:rPr>
        <w:t xml:space="preserve"> and time series </w:t>
      </w:r>
      <m:oMath>
        <m:acc>
          <m:accPr>
            <m:chr m:val="⃡"/>
            <m:ctrlPr>
              <w:rPr>
                <w:rFonts w:ascii="Cambria Math" w:hAnsi="Cambria Math"/>
                <w:i/>
                <w:color w:val="000000"/>
                <w:sz w:val="22"/>
                <w:szCs w:val="18"/>
              </w:rPr>
            </m:ctrlPr>
          </m:accPr>
          <m:e>
            <m:r>
              <w:rPr>
                <w:rFonts w:ascii="Cambria Math" w:hAnsi="Cambria Math"/>
                <w:color w:val="000000"/>
                <w:sz w:val="22"/>
                <w:szCs w:val="18"/>
              </w:rPr>
              <m:t>H</m:t>
            </m:r>
          </m:e>
        </m:acc>
      </m:oMath>
      <w:r w:rsidRPr="005870E8">
        <w:rPr>
          <w:rFonts w:ascii="Times New Roman" w:hAnsi="Times New Roman"/>
          <w:color w:val="000000"/>
          <w:sz w:val="22"/>
          <w:szCs w:val="18"/>
        </w:rPr>
        <w:t xml:space="preserve"> matrices as initial values (</w:t>
      </w:r>
      <m:oMath>
        <m:acc>
          <m:accPr>
            <m:chr m:val="⃡"/>
            <m:ctrlPr>
              <w:rPr>
                <w:rFonts w:ascii="Cambria Math" w:hAnsi="Cambria Math"/>
                <w:i/>
                <w:color w:val="000000"/>
                <w:sz w:val="22"/>
                <w:szCs w:val="18"/>
              </w:rPr>
            </m:ctrlPr>
          </m:accPr>
          <m:e>
            <m:sSub>
              <m:sSubPr>
                <m:ctrlPr>
                  <w:rPr>
                    <w:rFonts w:ascii="Cambria Math" w:hAnsi="Cambria Math"/>
                    <w:i/>
                    <w:color w:val="000000"/>
                    <w:sz w:val="22"/>
                    <w:szCs w:val="18"/>
                  </w:rPr>
                </m:ctrlPr>
              </m:sSubPr>
              <m:e>
                <m:r>
                  <w:rPr>
                    <w:rFonts w:ascii="Cambria Math" w:hAnsi="Cambria Math"/>
                    <w:color w:val="000000"/>
                    <w:sz w:val="22"/>
                    <w:szCs w:val="18"/>
                  </w:rPr>
                  <m:t>W</m:t>
                </m:r>
              </m:e>
              <m:sub>
                <m:r>
                  <w:rPr>
                    <w:rFonts w:ascii="Cambria Math" w:hAnsi="Cambria Math"/>
                    <w:color w:val="000000"/>
                    <w:sz w:val="22"/>
                    <w:szCs w:val="18"/>
                  </w:rPr>
                  <m:t>0</m:t>
                </m:r>
              </m:sub>
            </m:sSub>
          </m:e>
        </m:acc>
      </m:oMath>
      <w:r w:rsidRPr="005870E8">
        <w:rPr>
          <w:rFonts w:ascii="Times New Roman" w:hAnsi="Times New Roman"/>
          <w:color w:val="000000"/>
          <w:sz w:val="22"/>
          <w:szCs w:val="18"/>
        </w:rPr>
        <w:t xml:space="preserve"> and </w:t>
      </w:r>
      <m:oMath>
        <m:acc>
          <m:accPr>
            <m:chr m:val="⃡"/>
            <m:ctrlPr>
              <w:rPr>
                <w:rFonts w:ascii="Cambria Math" w:hAnsi="Cambria Math"/>
                <w:i/>
                <w:color w:val="000000"/>
                <w:sz w:val="22"/>
                <w:szCs w:val="18"/>
              </w:rPr>
            </m:ctrlPr>
          </m:accPr>
          <m:e>
            <m:sSub>
              <m:sSubPr>
                <m:ctrlPr>
                  <w:rPr>
                    <w:rFonts w:ascii="Cambria Math" w:hAnsi="Cambria Math"/>
                    <w:i/>
                    <w:color w:val="000000"/>
                    <w:sz w:val="22"/>
                    <w:szCs w:val="18"/>
                  </w:rPr>
                </m:ctrlPr>
              </m:sSubPr>
              <m:e>
                <m:r>
                  <w:rPr>
                    <w:rFonts w:ascii="Cambria Math" w:hAnsi="Cambria Math"/>
                    <w:color w:val="000000"/>
                    <w:sz w:val="22"/>
                    <w:szCs w:val="18"/>
                  </w:rPr>
                  <m:t>H</m:t>
                </m:r>
              </m:e>
              <m:sub>
                <m:r>
                  <w:rPr>
                    <w:rFonts w:ascii="Cambria Math" w:hAnsi="Cambria Math"/>
                    <w:color w:val="000000"/>
                    <w:sz w:val="22"/>
                    <w:szCs w:val="18"/>
                  </w:rPr>
                  <m:t>0</m:t>
                </m:r>
              </m:sub>
            </m:sSub>
          </m:e>
        </m:acc>
      </m:oMath>
      <w:r w:rsidRPr="005870E8">
        <w:rPr>
          <w:rFonts w:ascii="Times New Roman" w:hAnsi="Times New Roman"/>
          <w:color w:val="000000"/>
          <w:sz w:val="22"/>
          <w:szCs w:val="18"/>
        </w:rPr>
        <w:t xml:space="preserve">) of the algorithm, and perform the factorization analysis under identical settings (i.e., 8 factors, 50 maximum iterations per run, multiplicative algorithm), with the exception of a single replicate for each run to allow the fully-resolved matrices to be saved each time (rather than the algorithm choosing the smallest RMSE and saving that run only). We perform a total of 10 variability test runs, and compare the species and time matrices of each run with the original results. </w:t>
      </w:r>
    </w:p>
    <w:p w14:paraId="18704B3F" w14:textId="77777777" w:rsidR="005870E8" w:rsidRPr="005870E8" w:rsidRDefault="005870E8" w:rsidP="002439B0">
      <w:pPr>
        <w:spacing w:after="120" w:line="23" w:lineRule="atLeast"/>
        <w:ind w:firstLine="180"/>
        <w:rPr>
          <w:rFonts w:cs="Times New Roman"/>
          <w:sz w:val="22"/>
          <w:szCs w:val="20"/>
          <w:lang w:eastAsia="en-US"/>
        </w:rPr>
      </w:pPr>
      <w:r w:rsidRPr="005870E8">
        <w:rPr>
          <w:rFonts w:cs="Times New Roman"/>
          <w:sz w:val="22"/>
          <w:szCs w:val="20"/>
          <w:lang w:eastAsia="en-US"/>
        </w:rPr>
        <w:t xml:space="preserve">We found that all 10 variability runs agree excellently with the original results. Figure S2.4 show the daily average concentration of VOCs in each factor, separated by season. The bar graphs represent our original NNMF result. Each of the x’s represent concentration in that factor from one variability run, in the same order from left to right, i.e., the left-most x’s for each factor are from the same run. Error bars represent ranges of these x’s. We see that for most factors, each variability run agrees with the original factorization within ±10%, with a couple of exceptions that reach ±12%. The average standard deviation of the variability of all factors is ~6%. In addition, these 10 runs show slight differences in species fingerprints that also vary within ±10% on average, although in very rare cases, the differences in individual species to each factor can reach 30% for a single data point. This is most-likely due to the inability of the algorithm to fully account for every species and/or data point at all times, and that the bias in the original NNMF can reach &gt;30% for single points as well (Fig. S2.3). </w:t>
      </w:r>
    </w:p>
    <w:p w14:paraId="2703811C" w14:textId="77777777" w:rsidR="005870E8" w:rsidRPr="005870E8" w:rsidRDefault="0037327C" w:rsidP="00C46E8E">
      <w:pPr>
        <w:spacing w:after="120" w:line="23" w:lineRule="atLeast"/>
        <w:ind w:firstLine="180"/>
        <w:rPr>
          <w:rFonts w:eastAsia="Times New Roman" w:cs="Times New Roman"/>
          <w:sz w:val="22"/>
          <w:szCs w:val="18"/>
          <w:lang w:eastAsia="en-US"/>
        </w:rPr>
      </w:pPr>
      <w:r>
        <w:rPr>
          <w:rFonts w:cs="Times New Roman"/>
          <w:noProof/>
          <w:sz w:val="22"/>
          <w:szCs w:val="20"/>
        </w:rPr>
        <w:pict w14:anchorId="00F030FE">
          <v:shape id="_x0000_s1028" type="#_x0000_t202" style="position:absolute;left:0;text-align:left;margin-left:.65pt;margin-top:349.25pt;width:509.45pt;height:58.35pt;z-index:2516776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">
            <v:textbox style="mso-next-textbox:#_x0000_s1028">
              <w:txbxContent>
                <w:p w14:paraId="73B8E896" w14:textId="77777777" w:rsidR="005870E8" w:rsidRPr="00A81DD3" w:rsidRDefault="005870E8" w:rsidP="009F7845">
                  <w:pPr>
                    <w:spacing w:line="276" w:lineRule="auto"/>
                    <w:rPr>
                      <w:sz w:val="22"/>
                      <w:szCs w:val="20"/>
                    </w:rPr>
                  </w:pPr>
                  <w:r w:rsidRPr="00A81DD3">
                    <w:rPr>
                      <w:sz w:val="22"/>
                      <w:szCs w:val="20"/>
                    </w:rPr>
                    <w:t>Figure S2.4 – Variability and reproducibility test results. Bar graphs represent daily average concentrations of VOCs in each factor in the original NNMF results, in summer (top) and winter (bottom).  Each x represents summed VOCs in that factor from one variability run, error bars show range of these values.</w:t>
                  </w:r>
                </w:p>
              </w:txbxContent>
            </v:textbox>
            <w10:wrap type="topAndBottom"/>
          </v:shape>
        </w:pict>
      </w:r>
      <w:r w:rsidR="005870E8" w:rsidRPr="005870E8">
        <w:rPr>
          <w:rFonts w:cs="Times New Roman"/>
          <w:noProof/>
          <w:sz w:val="22"/>
          <w:szCs w:val="20"/>
        </w:rPr>
        <w:drawing>
          <wp:anchor distT="0" distB="0" distL="114300" distR="114300" simplePos="0" relativeHeight="251673600" behindDoc="0" locked="0" layoutInCell="1" allowOverlap="1" wp14:anchorId="3A8D2B18" wp14:editId="54BB19B9">
            <wp:simplePos x="0" y="0"/>
            <wp:positionH relativeFrom="column">
              <wp:posOffset>415925</wp:posOffset>
            </wp:positionH>
            <wp:positionV relativeFrom="paragraph">
              <wp:posOffset>2404745</wp:posOffset>
            </wp:positionV>
            <wp:extent cx="5528945" cy="2073910"/>
            <wp:effectExtent l="0" t="0" r="0" b="0"/>
            <wp:wrapTopAndBottom/>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8945" cy="207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0E8" w:rsidRPr="005870E8">
        <w:rPr>
          <w:rFonts w:cs="Times New Roman"/>
          <w:noProof/>
          <w:sz w:val="22"/>
          <w:szCs w:val="20"/>
        </w:rPr>
        <w:drawing>
          <wp:anchor distT="0" distB="0" distL="114300" distR="114300" simplePos="0" relativeHeight="251672576" behindDoc="0" locked="0" layoutInCell="1" allowOverlap="1" wp14:anchorId="28D6BE87" wp14:editId="5157FF3C">
            <wp:simplePos x="0" y="0"/>
            <wp:positionH relativeFrom="column">
              <wp:posOffset>414020</wp:posOffset>
            </wp:positionH>
            <wp:positionV relativeFrom="paragraph">
              <wp:posOffset>430266</wp:posOffset>
            </wp:positionV>
            <wp:extent cx="5528945" cy="2073275"/>
            <wp:effectExtent l="0" t="0" r="0" b="0"/>
            <wp:wrapTopAndBottom/>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8945"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0E8" w:rsidRPr="005870E8">
        <w:rPr>
          <w:rFonts w:cs="Times New Roman"/>
          <w:sz w:val="22"/>
          <w:szCs w:val="20"/>
          <w:lang w:eastAsia="en-US"/>
        </w:rPr>
        <w:t>Considering the large dataset, we are still able to consistently recreate the same factorization with this method, and we conclude that an estimated uncertainty of 10% is adequate for our NNMF analysis.</w:t>
      </w:r>
      <w:r w:rsidR="005870E8" w:rsidRPr="005870E8">
        <w:rPr>
          <w:rFonts w:cs="Times New Roman"/>
          <w:sz w:val="22"/>
          <w:szCs w:val="20"/>
        </w:rPr>
        <w:br w:type="page"/>
      </w:r>
    </w:p>
    <w:p w14:paraId="4C7CE51D" w14:textId="77777777" w:rsidR="005870E8" w:rsidRPr="005870E8" w:rsidRDefault="005870E8" w:rsidP="00380F91">
      <w:pPr>
        <w:pStyle w:val="Heading1"/>
        <w:rPr>
          <w:rFonts w:cs="Times New Roman"/>
          <w:sz w:val="22"/>
          <w:szCs w:val="28"/>
        </w:rPr>
      </w:pPr>
      <w:r w:rsidRPr="005870E8">
        <w:rPr>
          <w:rFonts w:cs="Times New Roman"/>
          <w:sz w:val="22"/>
          <w:szCs w:val="28"/>
        </w:rPr>
        <w:lastRenderedPageBreak/>
        <w:t>S3. Meteorological and traffic data</w:t>
      </w:r>
    </w:p>
    <w:p w14:paraId="6E6E707C" w14:textId="77777777" w:rsidR="005870E8" w:rsidRPr="005870E8" w:rsidRDefault="0037327C" w:rsidP="00EA0EB7">
      <w:pPr>
        <w:spacing w:after="160" w:line="259" w:lineRule="auto"/>
        <w:jc w:val="left"/>
        <w:rPr>
          <w:rFonts w:cs="Times New Roman"/>
          <w:sz w:val="22"/>
          <w:szCs w:val="20"/>
          <w:lang w:eastAsia="en-US"/>
        </w:rPr>
      </w:pPr>
      <w:r>
        <w:rPr>
          <w:rFonts w:cs="Times New Roman"/>
          <w:noProof/>
          <w:sz w:val="22"/>
          <w:szCs w:val="20"/>
        </w:rPr>
        <w:pict w14:anchorId="605662DD">
          <v:shape id="Text Box 2" o:spid="_x0000_s1027" type="#_x0000_t202" style="position:absolute;margin-left:-1.95pt;margin-top:280.3pt;width:492.45pt;height:48.9pt;z-index:2516766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">
            <v:textbox style="mso-next-textbox:#Text Box 2">
              <w:txbxContent>
                <w:p w14:paraId="33942D4A" w14:textId="77777777" w:rsidR="005870E8" w:rsidRPr="00A81DD3" w:rsidRDefault="005870E8" w:rsidP="00576441">
                  <w:pPr>
                    <w:spacing w:line="276" w:lineRule="auto"/>
                    <w:rPr>
                      <w:sz w:val="22"/>
                      <w:szCs w:val="20"/>
                    </w:rPr>
                  </w:pPr>
                  <w:r w:rsidRPr="00A81DD3">
                    <w:rPr>
                      <w:sz w:val="22"/>
                      <w:szCs w:val="20"/>
                    </w:rPr>
                    <w:t xml:space="preserve">Figure S3.1 – Seasonal comparison of a) temperature and b) traffic data in 2020. Traffic data show comparison of local (green) and highway (blue) stations between 2 seasons. </w:t>
                  </w:r>
                </w:p>
              </w:txbxContent>
            </v:textbox>
            <w10:wrap type="topAndBottom"/>
          </v:shape>
        </w:pict>
      </w:r>
      <w:r w:rsidR="005870E8" w:rsidRPr="005870E8">
        <w:rPr>
          <w:rFonts w:cs="Times New Roman"/>
          <w:noProof/>
          <w:sz w:val="22"/>
          <w:szCs w:val="20"/>
          <w:lang w:eastAsia="en-US"/>
        </w:rPr>
        <w:drawing>
          <wp:anchor distT="0" distB="0" distL="114300" distR="114300" simplePos="0" relativeHeight="251665408" behindDoc="0" locked="0" layoutInCell="1" allowOverlap="1" wp14:anchorId="44F9E0AA" wp14:editId="412CB732">
            <wp:simplePos x="0" y="0"/>
            <wp:positionH relativeFrom="column">
              <wp:posOffset>368935</wp:posOffset>
            </wp:positionH>
            <wp:positionV relativeFrom="paragraph">
              <wp:posOffset>1082675</wp:posOffset>
            </wp:positionV>
            <wp:extent cx="2642870" cy="2384425"/>
            <wp:effectExtent l="0" t="0" r="0" b="0"/>
            <wp:wrapTopAndBottom/>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2870" cy="238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0E8" w:rsidRPr="005870E8">
        <w:rPr>
          <w:rFonts w:cs="Times New Roman"/>
          <w:b/>
          <w:bCs/>
          <w:noProof/>
          <w:sz w:val="22"/>
          <w:szCs w:val="20"/>
        </w:rPr>
        <w:drawing>
          <wp:anchor distT="0" distB="0" distL="114300" distR="114300" simplePos="0" relativeHeight="251667456" behindDoc="0" locked="0" layoutInCell="1" allowOverlap="1" wp14:anchorId="6B7CC00B" wp14:editId="2BE05FC2">
            <wp:simplePos x="0" y="0"/>
            <wp:positionH relativeFrom="column">
              <wp:posOffset>2958213</wp:posOffset>
            </wp:positionH>
            <wp:positionV relativeFrom="paragraph">
              <wp:posOffset>1094141</wp:posOffset>
            </wp:positionV>
            <wp:extent cx="2846705" cy="2379345"/>
            <wp:effectExtent l="0" t="0" r="0" b="0"/>
            <wp:wrapTopAndBottom/>
            <wp:docPr id="2" name="Picture 2" descr="Graphical user interface, 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 surfac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6705" cy="237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0E8" w:rsidRPr="005870E8">
        <w:rPr>
          <w:rFonts w:cs="Times New Roman"/>
          <w:sz w:val="22"/>
          <w:szCs w:val="20"/>
          <w:lang w:eastAsia="en-US"/>
        </w:rPr>
        <w:t>We compare supporting meteorological and traffic data in 2020 in this following section. Figure S3.1 compares temperature and traffic volume between the two seasons. Traffic data includes the highway station (Fig. 1, blue square) and another site next to a local road with less traffic, ~1km NW of the measurement site (not pictured). Traffic trends show minimum variation between the seasons, suggesting minimum impact of the COVID-19 pandemic on anthropogenic activities by July 2020.</w:t>
      </w:r>
    </w:p>
    <w:p w14:paraId="1DDE34EB" w14:textId="34A03AED" w:rsidR="005870E8" w:rsidRPr="005870E8" w:rsidRDefault="00A81DD3" w:rsidP="00EA0EB7">
      <w:pPr>
        <w:spacing w:after="160" w:line="259" w:lineRule="auto"/>
        <w:jc w:val="left"/>
        <w:rPr>
          <w:rFonts w:cs="Times New Roman"/>
          <w:sz w:val="22"/>
          <w:szCs w:val="20"/>
        </w:rPr>
      </w:pPr>
      <w:r>
        <w:rPr>
          <w:rFonts w:cs="Times New Roman"/>
          <w:sz w:val="20"/>
          <w:szCs w:val="20"/>
        </w:rPr>
        <mc:AlternateContent>
          <mc:Choice Requires="wps">
            <w:drawing>
              <wp:anchor distT="45720" distB="45720" distL="114300" distR="114300" simplePos="0" relativeHeight="251679744" behindDoc="0" locked="0" layoutInCell="1" allowOverlap="1" wp14:anchorId="46D3FBCF" wp14:editId="2A293F2B">
                <wp:simplePos x="0" y="0"/>
                <wp:positionH relativeFrom="column">
                  <wp:posOffset>-68580</wp:posOffset>
                </wp:positionH>
                <wp:positionV relativeFrom="paragraph">
                  <wp:posOffset>6717665</wp:posOffset>
                </wp:positionV>
                <wp:extent cx="6573520" cy="741680"/>
                <wp:effectExtent l="0" t="0" r="17780" b="2032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741680"/>
                        </a:xfrm>
                        <a:prstGeom prst="rect">
                          <a:avLst/>
                        </a:prstGeom>
                        <a:solidFill>
                          <a:srgbClr val="FFFFFF"/>
                        </a:solidFill>
                        <a:ln w="9525">
                          <a:solidFill>
                            <a:srgbClr val="000000"/>
                          </a:solidFill>
                          <a:miter lim="800000"/>
                          <a:headEnd/>
                          <a:tailEnd/>
                        </a:ln>
                      </wps:spPr>
                      <wps:txbx>
                        <w:txbxContent>
                          <w:p w14:paraId="18FF79FC" w14:textId="77777777" w:rsidR="00A81DD3" w:rsidRPr="00A81DD3" w:rsidRDefault="00A81DD3" w:rsidP="00A81DD3">
                            <w:pPr>
                              <w:spacing w:line="276" w:lineRule="auto"/>
                              <w:rPr>
                                <w:sz w:val="22"/>
                                <w:szCs w:val="20"/>
                              </w:rPr>
                            </w:pPr>
                            <w:r w:rsidRPr="00A81DD3">
                              <w:rPr>
                                <w:sz w:val="22"/>
                                <w:szCs w:val="20"/>
                              </w:rPr>
                              <w:t>Figure S3.2 – Relative difference in November compared against median hourly values of the entire month of November at the same time of day, showing NNMF fresh traffic factor (red), traffic volume on the highways (blue), and wind speed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3FBCF" id="Text Box 5" o:spid="_x0000_s1030" type="#_x0000_t202" style="position:absolute;margin-left:-5.4pt;margin-top:528.95pt;width:517.6pt;height:58.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">
                <v:textbox>
                  <w:txbxContent>
                    <w:p w14:paraId="18FF79FC" w14:textId="77777777" w:rsidR="00A81DD3" w:rsidRPr="00A81DD3" w:rsidRDefault="00A81DD3" w:rsidP="00A81DD3">
                      <w:pPr>
                        <w:spacing w:line="276" w:lineRule="auto"/>
                        <w:rPr>
                          <w:sz w:val="22"/>
                          <w:szCs w:val="20"/>
                        </w:rPr>
                      </w:pPr>
                      <w:r w:rsidRPr="00A81DD3">
                        <w:rPr>
                          <w:sz w:val="22"/>
                          <w:szCs w:val="20"/>
                        </w:rPr>
                        <w:t>Figure S3.2 – Relative difference in November compared against median hourly values of the entire month of November at the same time of day, showing NNMF fresh traffic factor (red), traffic volume on the highways (blue), and wind speed (green).</w:t>
                      </w:r>
                    </w:p>
                  </w:txbxContent>
                </v:textbox>
                <w10:wrap type="topAndBottom"/>
              </v:shape>
            </w:pict>
          </mc:Fallback>
        </mc:AlternateContent>
      </w:r>
      <w:r w:rsidR="005870E8" w:rsidRPr="005870E8">
        <w:rPr>
          <w:rFonts w:cs="Times New Roman"/>
          <w:noProof/>
          <w:sz w:val="22"/>
          <w:szCs w:val="20"/>
          <w:lang w:eastAsia="en-US"/>
        </w:rPr>
        <w:drawing>
          <wp:anchor distT="0" distB="0" distL="114300" distR="114300" simplePos="0" relativeHeight="251670528" behindDoc="0" locked="0" layoutInCell="1" allowOverlap="1" wp14:anchorId="59C64F65" wp14:editId="74CE6586">
            <wp:simplePos x="0" y="0"/>
            <wp:positionH relativeFrom="column">
              <wp:posOffset>107315</wp:posOffset>
            </wp:positionH>
            <wp:positionV relativeFrom="paragraph">
              <wp:posOffset>4695825</wp:posOffset>
            </wp:positionV>
            <wp:extent cx="6583680" cy="1840865"/>
            <wp:effectExtent l="0" t="0" r="0" b="0"/>
            <wp:wrapTopAndBottom/>
            <wp:docPr id="15" name="Picture 1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3680" cy="1840865"/>
                    </a:xfrm>
                    <a:prstGeom prst="rect">
                      <a:avLst/>
                    </a:prstGeom>
                    <a:noFill/>
                    <a:ln>
                      <a:noFill/>
                    </a:ln>
                  </pic:spPr>
                </pic:pic>
              </a:graphicData>
            </a:graphic>
          </wp:anchor>
        </w:drawing>
      </w:r>
      <w:r w:rsidR="005870E8" w:rsidRPr="005870E8">
        <w:rPr>
          <w:rFonts w:cs="Times New Roman"/>
          <w:sz w:val="22"/>
          <w:szCs w:val="20"/>
          <w:lang w:eastAsia="en-US"/>
        </w:rPr>
        <w:t>Figure S3.2 compares the relative difference in November, calculated using median values of the entire month at each given hour of day, for traffic count (emission trends), the “traffic – fresh” factor in NNMF results (VOC measurements), and wind speed (met./transport effects). We use the hour of day diurnal averages to minimize the effects of photochemistry on our data, as nighttime and mid-day median values can vary greatly based on the species and chemistry. This plot shows that change in VOC measurements attributed to the traffic – fresh factor is largely driven by wind speed, i.e., vertical mixing and transport effects, at our site, although there are some correlations between measured VOC in this factor and emission trends.</w:t>
      </w:r>
      <w:r w:rsidR="005870E8" w:rsidRPr="005870E8">
        <w:rPr>
          <w:rFonts w:cs="Times New Roman"/>
          <w:sz w:val="22"/>
          <w:szCs w:val="20"/>
          <w:lang w:eastAsia="en-US"/>
        </w:rPr>
        <w:br w:type="page"/>
      </w:r>
      <w:r w:rsidR="005870E8" w:rsidRPr="005870E8">
        <w:rPr>
          <w:rFonts w:cs="Times New Roman"/>
          <w:b/>
          <w:bCs/>
          <w:sz w:val="22"/>
          <w:szCs w:val="20"/>
          <w:lang w:eastAsia="en-US"/>
        </w:rPr>
        <w:lastRenderedPageBreak/>
        <w:t>R</w:t>
      </w:r>
      <w:r w:rsidR="005870E8" w:rsidRPr="005870E8">
        <w:rPr>
          <w:rFonts w:cs="Times New Roman"/>
          <w:b/>
          <w:bCs/>
          <w:sz w:val="22"/>
          <w:szCs w:val="20"/>
        </w:rPr>
        <w:t>eferences:</w:t>
      </w:r>
    </w:p>
    <w:p w14:paraId="70A0D630"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Abdullahi, K. L., Delgado-Saborit, J. M., and Harrison, R. M.: Emissions and indoor concentrations of particulate matter and its specific chemical components from cooking: A review, Atmospheric Environment, 71, 260-294, 10.1016/j.atmosenv.2013.01.061, 2013.</w:t>
      </w:r>
    </w:p>
    <w:p w14:paraId="6545DFD4"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Brewer, J. F., Bishop, M., Kelp, M., Keller, C. A., Ravishankara, A. R., and Fischer, E. V.: A sensitivity analysis of key natural factors in the modeled global acetone budget, Journal of Geophysical Research: Atmospheres, 122, 2043-2058, 10.1002/2016jd025935, 2017.</w:t>
      </w:r>
    </w:p>
    <w:p w14:paraId="44A8B38A"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Coggon, M. M., McDonald, B. C., Vlasenko, A., Veres, P. R., Bernard, F., Koss, A. R., Yuan, B., Gilman, J. B., Peischl, J., Aikin, K. C., DuRant, J., Warneke, C., Li, S. M., and de Gouw, J. A.: Diurnal Variability and Emission Pattern of Decamethylcyclopentasiloxane (D5) from the Application of Personal Care Products in Two North American Cities, Environ Sci Technol, 52, 5610-5618, 10.1021/acs.est.8b00506, 2018.</w:t>
      </w:r>
    </w:p>
    <w:p w14:paraId="16FC81B6"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Coggon, M. M., Gkatzelis, G. I., McDonald, B. C., Gilman, J. B., Schwantes, R. H., Abuhassan, N., Aikin, K. C., Arend, M. F., Berkoff, T. A., Brown, S. S., Campos, T. L., Dickerson, R. R., Gronoff, G., Hurley, J. F., Isaacman-VanWertz, G., Koss, A. R., Li, M., McKeen, S. A., Moshary, F., Peischl, J., Pospisilova, V., Ren, X., Wilson, A., Wu, Y., Trainer, M., and Warneke, C.: Volatile chemical product emissions enhance ozone and modulate urban chemistry, Proc Natl Acad Sci U S A, 118, 10.1073/pnas.2026653118, 2021.</w:t>
      </w:r>
    </w:p>
    <w:p w14:paraId="7008EF04"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de Gouw, J. A., Gilman, J. B., Borbon, A., Warneke, C., Kuster, W. C., Goldan, P. D., Holloway, J. S., Peischl, J., Ryerson, T. B., Parrish, D. D., Gentner, D. R., Goldstein, A. H., and Harley, R. A.: Increasing atmospheric burden of ethanol in the United States, Geophysical Research Letters, 39, 10.1029/2012gl052109, 2012.</w:t>
      </w:r>
    </w:p>
    <w:p w14:paraId="21C66CBC"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Fu, T.-M., Jacob, D. J., Wittrock, F., Burrows, J. P., Vrekoussis, M., and Henze, D. K.: Global budgets of atmospheric glyoxal and methylglyoxal, and implications for formation of secondary organic aerosols, Journal of Geophysical Research: Atmospheres, 113, https://doi.org/10.1029/2007JD009505, 2008.</w:t>
      </w:r>
    </w:p>
    <w:p w14:paraId="54461A93"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Gelencsér, A., Siszler, K., and Hlavay, J.: Toluene−Benzene Concentration Ratio as a Tool for Characterizing the Distance from Vehicular Emission Sources, Environmental Science &amp; Technology, 31, 2869-2872, 10.1021/es970004c, 1997.</w:t>
      </w:r>
    </w:p>
    <w:p w14:paraId="20764EAC"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Gkatzelis, G. I., Coggon, M. M., McDonald, B. C., Peischl, J., Aikin, K. C., Gilman, J. B., Trainer, M., and Warneke, C.: Identifying Volatile Chemical Product Tracer Compounds in U.S. Cities, Environ Sci Technol, 55, 188-199, 10.1021/acs.est.0c05467, 2021.</w:t>
      </w:r>
    </w:p>
    <w:p w14:paraId="75B4EB15"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Guenther, A. B., Jiang, X., Heald, C. L., Sakulyanontvittaya, T., Duhl, T., Emmons, L. K., and Wang, X.: The Model of Emissions of Gases and Aerosols from Nature version 2.1 (MEGAN2.1): an extended and updated framework for modeling biogenic emissions, Geoscientific Model Development, 5, 1471-1492, 10.5194/gmd-5-1471-2012, 2012.</w:t>
      </w:r>
    </w:p>
    <w:p w14:paraId="38AB7339"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Ilgen, E., Karfich, N., Levsen, K., Angerer, J., Schneider, P., Heinrich, J., Wichmann, H. E., Dunemann, L., and Begerow, J.: Aromatic hydrocarbons in the atmospheric environment: Part I. Indoor versus outdoor sources, the influence of traffic, Atmospheric Environment, 35, 1235-1252, https://doi.org/10.1016/S1352-2310(00)00388-5, 2001.</w:t>
      </w:r>
    </w:p>
    <w:p w14:paraId="24702F72"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Jacob, D. J., Field, B. D., Jin, E. M., Bey, I., Li, Q., Logan, J. A., Yantosca, R. M., and Singh, H. B.: Atmospheric budget of acetone, Journal of Geophysical Research: Atmospheres, 107, ACH 5-1-ACH 5-17, 10.1029/2001jd000694, 2002.</w:t>
      </w:r>
    </w:p>
    <w:p w14:paraId="7ED8E4CE"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Karl, T., Striednig, M., Graus, M., Hammerle, A., and Wohlfahrt, G.: Urban flux measurements reveal a large pool of oxygenated volatile organic compound emissions, Proc Natl Acad Sci U S A, 115, 1186-1191, 10.1073/pnas.1714715115, 2018.</w:t>
      </w:r>
    </w:p>
    <w:p w14:paraId="61CE9C1C"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Klein, F., Platt, S. M., Farren, N. J., Detournay, A., Bruns, E. A., Bozzetti, C., Daellenbach, K. R., Kilic, D., Kumar, N. K., Pieber, S. M., Slowik, J. G., Temime-Roussel, B., Marchand, N., Hamilton, J. F., Baltensperger, U., Prevot, A. S., and El Haddad, I.: Characterization of Gas-Phase Organics Using Proton Transfer Reaction Time-of-Flight Mass Spectrometry: Cooking Emissions, Environ Sci Technol, 50, 1243-1250, 10.1021/acs.est.5b04618, 2016.</w:t>
      </w:r>
    </w:p>
    <w:p w14:paraId="4E47BFF4"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Link, M. F., Brophy, P., Fulgham, S. R., Murschell, T., and Farmer, D. K.: Isoprene versus Monoterpenes as Gas-Phase Organic Acid Precursors in the Atmosphere, ACS Earth and Space Chemistry, 5, 1600-1612, 10.1021/acsearthspacechem.1c00093, 2021.</w:t>
      </w:r>
    </w:p>
    <w:p w14:paraId="319BCF0E"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Miller, L., Xu, X., Wheeler, A., Atari, D. O., Grgicak-Mannion, A., and Luginaah, I.: Spatial variability and application of ratios between BTEX in two Canadian cities, ScientificWorldJournal, 11, 2536-2549, 10.1100/2011/167973, 2011.</w:t>
      </w:r>
    </w:p>
    <w:p w14:paraId="416316A4"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Müller, M., Anderson, B. E., Beyersdorf, A. J., Crawford, J. H., Diskin, G. S., Eichler, P., Fried, A., Keutsch, F. N., Mikoviny, T., Thornhill, K. L., Walega, J. G., Weinheimer, A. J., Yang, M., Yokelson, R. J., and Wisthaler, A.: In situ measurements and modeling of reactive trace gases in a small biomass burning plume, Atmos. Chem. Phys., 16, 3813-3824, 10.5194/acp-16-3813-2016, 2016.</w:t>
      </w:r>
    </w:p>
    <w:p w14:paraId="11686128"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Paulot, F., Wunch, D., Crounse, J. D., Toon, G. C., Millet, D. B., DeCarlo, P. F., Vigouroux, C., Deutscher, N. M., Gonzalez Abad, G., Notholt, J., Warneke, T., Hannigan, J. W., Warneke, C., de Gouw, J. A., Dunlea, E. J., De Maziere, M., Griffith, D. W. T., Bernath, P., Jimenez, J. L., and Wennberg, P. O.: Importance of secondary sources in the atmospheric budgets of formic and acetic acids, Atmos Chem Phys, 11, 1989-2013, 10.5194/acp-11-1989-2011, 2011.</w:t>
      </w:r>
    </w:p>
    <w:p w14:paraId="6C63EB42"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Seinfeld, J. H. and Pandis, S. N.: Atmospheric chemistry and physics: from air pollution to climate change, John Wiley &amp; Sons2016.</w:t>
      </w:r>
    </w:p>
    <w:p w14:paraId="504537DD"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Sekimoto, K., Li, S.-M., Yuan, B., Koss, A., Coggon, M., Warneke, C., and de Gouw, J.: Calculation of the sensitivity of proton-transfer-reaction mass spectrometry (PTR-MS) for organic trace gases using molecular properties, International Journal of Mass Spectrometry, 421, 71-94, 10.1016/j.ijms.2017.04.006, 2017.</w:t>
      </w:r>
    </w:p>
    <w:p w14:paraId="0A7D00EA"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Simoneit, B. R. T.: Biomass burning — a review of organic tracers for smoke from incomplete combustion, Applied Geochemistry, 17, 129-162, https://doi.org/10.1016/S0883-2927(01)00061-0, 2002.</w:t>
      </w:r>
    </w:p>
    <w:p w14:paraId="7898CC7F" w14:textId="73B6C508"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lastRenderedPageBreak/>
        <w:t>Steiner, A. L., Tonse, S., Cohen, R. C., Goldstein, A. H., and Harley, R. A.: Biogenic 2-methyl-3-buten-2-ol increases regional ozone and HOx sources, Geophysical Research Letters, 34, https://doi.org/10.1029/2007GL030802, 2007.</w:t>
      </w:r>
    </w:p>
    <w:p w14:paraId="18EA2CE2" w14:textId="77777777" w:rsidR="005870E8" w:rsidRPr="005870E8" w:rsidRDefault="005870E8" w:rsidP="005870E8">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Stoica, P. and Selen, Y.: Model-order selection: a review of information criterion rules, IEEE Signal Processing Magazine, 21, 36-47, 10.1109/MSP.2004.1311138, 2004.</w:t>
      </w:r>
    </w:p>
    <w:p w14:paraId="2D1B0A4F" w14:textId="5B039CB9" w:rsidR="007A1BF5" w:rsidRPr="004F6552" w:rsidRDefault="005870E8" w:rsidP="004F6552">
      <w:pPr>
        <w:pStyle w:val="EndNoteBibliography"/>
        <w:ind w:left="360" w:hanging="360"/>
        <w:rPr>
          <w:rFonts w:ascii="Times New Roman" w:hAnsi="Times New Roman" w:cs="Times New Roman"/>
          <w:sz w:val="20"/>
          <w:szCs w:val="20"/>
        </w:rPr>
      </w:pPr>
      <w:r w:rsidRPr="005870E8">
        <w:rPr>
          <w:rFonts w:ascii="Times New Roman" w:hAnsi="Times New Roman" w:cs="Times New Roman"/>
          <w:sz w:val="20"/>
          <w:szCs w:val="20"/>
        </w:rPr>
        <w:t>Yuan, B., Shao, M., Lu, S., and Wang, B.: Source profiles of volatile organic compounds associated with solvent use in Beijing, China, Atmospheric Environment, 44, 1919-1926, 10.1016/j.atmosenv.2010.02.014, 2010.</w:t>
      </w:r>
    </w:p>
    <w:sectPr w:rsidR="007A1BF5" w:rsidRPr="004F6552" w:rsidSect="005870E8">
      <w:pgSz w:w="12240" w:h="15840"/>
      <w:pgMar w:top="562" w:right="936" w:bottom="93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5870E8"/>
    <w:rsid w:val="0037327C"/>
    <w:rsid w:val="004F6552"/>
    <w:rsid w:val="005870E8"/>
    <w:rsid w:val="006A7534"/>
    <w:rsid w:val="007A1BF5"/>
    <w:rsid w:val="00A81DD3"/>
    <w:rsid w:val="00C70B7A"/>
    <w:rsid w:val="00C84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C9373FC"/>
  <w15:chartTrackingRefBased/>
  <w15:docId w15:val="{085953EC-9C3F-4F89-8C0A-8343E11A7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0E8"/>
    <w:pPr>
      <w:spacing w:after="0" w:line="360" w:lineRule="auto"/>
      <w:jc w:val="both"/>
    </w:pPr>
    <w:rPr>
      <w:rFonts w:ascii="Times New Roman" w:hAnsi="Times New Roman"/>
      <w:sz w:val="24"/>
    </w:rPr>
  </w:style>
  <w:style w:type="paragraph" w:styleId="Heading1">
    <w:name w:val="heading 1"/>
    <w:basedOn w:val="Normal"/>
    <w:next w:val="Normal"/>
    <w:link w:val="Heading1Char"/>
    <w:qFormat/>
    <w:rsid w:val="005870E8"/>
    <w:pPr>
      <w:keepNext/>
      <w:spacing w:before="480" w:after="240" w:line="240" w:lineRule="auto"/>
      <w:outlineLvl w:val="0"/>
    </w:pPr>
    <w:rPr>
      <w:rFonts w:eastAsia="Times New Roman" w:cs="Arial"/>
      <w:b/>
      <w:bCs/>
      <w:color w:val="000000"/>
      <w:kern w:val="32"/>
      <w:szCs w:val="32"/>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70E8"/>
    <w:rPr>
      <w:rFonts w:ascii="Times New Roman" w:eastAsia="Times New Roman" w:hAnsi="Times New Roman" w:cs="Arial"/>
      <w:b/>
      <w:bCs/>
      <w:color w:val="000000"/>
      <w:kern w:val="32"/>
      <w:sz w:val="24"/>
      <w:szCs w:val="32"/>
      <w:lang w:val="en-GB" w:eastAsia="de-DE"/>
    </w:rPr>
  </w:style>
  <w:style w:type="table" w:styleId="TableGrid">
    <w:name w:val="Table Grid"/>
    <w:basedOn w:val="TableNormal"/>
    <w:uiPriority w:val="39"/>
    <w:rsid w:val="00587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5870E8"/>
    <w:pPr>
      <w:spacing w:line="480" w:lineRule="auto"/>
      <w:ind w:firstLine="202"/>
    </w:pPr>
    <w:rPr>
      <w:rFonts w:ascii="Times" w:eastAsia="Times New Roman" w:hAnsi="Times" w:cs="Times New Roman"/>
      <w:szCs w:val="20"/>
      <w:lang w:eastAsia="en-US"/>
    </w:rPr>
  </w:style>
  <w:style w:type="paragraph" w:customStyle="1" w:styleId="TESupportingInformation">
    <w:name w:val="TE_Supporting_Information"/>
    <w:basedOn w:val="Normal"/>
    <w:next w:val="Normal"/>
    <w:rsid w:val="005870E8"/>
    <w:pPr>
      <w:spacing w:after="200" w:line="480" w:lineRule="auto"/>
      <w:ind w:firstLine="187"/>
    </w:pPr>
    <w:rPr>
      <w:rFonts w:ascii="Times" w:eastAsia="Times New Roman" w:hAnsi="Times" w:cs="Times New Roman"/>
      <w:szCs w:val="20"/>
      <w:lang w:eastAsia="en-US"/>
    </w:rPr>
  </w:style>
  <w:style w:type="character" w:styleId="LineNumber">
    <w:name w:val="line number"/>
    <w:basedOn w:val="DefaultParagraphFont"/>
    <w:uiPriority w:val="99"/>
    <w:semiHidden/>
    <w:unhideWhenUsed/>
    <w:rsid w:val="005870E8"/>
  </w:style>
  <w:style w:type="paragraph" w:customStyle="1" w:styleId="EndNoteBibliographyTitle">
    <w:name w:val="EndNote Bibliography Title"/>
    <w:basedOn w:val="Normal"/>
    <w:link w:val="EndNoteBibliographyTitleChar"/>
    <w:rsid w:val="005870E8"/>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5870E8"/>
    <w:rPr>
      <w:rFonts w:ascii="Calibri" w:hAnsi="Calibri" w:cs="Calibri"/>
      <w:noProof/>
    </w:rPr>
  </w:style>
  <w:style w:type="paragraph" w:customStyle="1" w:styleId="EndNoteBibliography">
    <w:name w:val="EndNote Bibliography"/>
    <w:basedOn w:val="Normal"/>
    <w:link w:val="EndNoteBibliographyChar"/>
    <w:rsid w:val="005870E8"/>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5870E8"/>
    <w:rPr>
      <w:rFonts w:ascii="Calibri" w:hAnsi="Calibri" w:cs="Calibri"/>
      <w:noProof/>
    </w:rPr>
  </w:style>
  <w:style w:type="character" w:styleId="PlaceholderText">
    <w:name w:val="Placeholder Text"/>
    <w:basedOn w:val="DefaultParagraphFont"/>
    <w:uiPriority w:val="99"/>
    <w:semiHidden/>
    <w:rsid w:val="005870E8"/>
    <w:rPr>
      <w:color w:val="808080"/>
    </w:rPr>
  </w:style>
  <w:style w:type="character" w:styleId="Hyperlink">
    <w:name w:val="Hyperlink"/>
    <w:basedOn w:val="DefaultParagraphFont"/>
    <w:uiPriority w:val="99"/>
    <w:unhideWhenUsed/>
    <w:rsid w:val="005870E8"/>
    <w:rPr>
      <w:color w:val="0563C1" w:themeColor="hyperlink"/>
      <w:u w:val="single"/>
    </w:rPr>
  </w:style>
  <w:style w:type="paragraph" w:customStyle="1" w:styleId="MStitle">
    <w:name w:val="MS title"/>
    <w:basedOn w:val="Normal"/>
    <w:link w:val="MStitleChar"/>
    <w:qFormat/>
    <w:rsid w:val="005870E8"/>
    <w:pPr>
      <w:spacing w:before="360" w:line="440" w:lineRule="exact"/>
      <w:contextualSpacing/>
    </w:pPr>
    <w:rPr>
      <w:rFonts w:eastAsia="Times New Roman" w:cs="Times New Roman"/>
      <w:b/>
      <w:sz w:val="34"/>
      <w:szCs w:val="24"/>
      <w:lang w:val="en-GB" w:eastAsia="de-DE"/>
    </w:rPr>
  </w:style>
  <w:style w:type="character" w:customStyle="1" w:styleId="MStitleChar">
    <w:name w:val="MS title Char"/>
    <w:basedOn w:val="DefaultParagraphFont"/>
    <w:link w:val="MStitle"/>
    <w:rsid w:val="005870E8"/>
    <w:rPr>
      <w:rFonts w:ascii="Times New Roman" w:eastAsia="Times New Roman" w:hAnsi="Times New Roman" w:cs="Times New Roman"/>
      <w:b/>
      <w:sz w:val="34"/>
      <w:szCs w:val="24"/>
      <w:lang w:val="en-GB" w:eastAsia="de-DE"/>
    </w:rPr>
  </w:style>
  <w:style w:type="paragraph" w:customStyle="1" w:styleId="Correspondence">
    <w:name w:val="Correspondence"/>
    <w:basedOn w:val="Normal"/>
    <w:link w:val="CorrespondenceChar"/>
    <w:qFormat/>
    <w:rsid w:val="005870E8"/>
    <w:pPr>
      <w:spacing w:before="120" w:after="360" w:line="240" w:lineRule="auto"/>
    </w:pPr>
    <w:rPr>
      <w:rFonts w:eastAsia="Times New Roman" w:cs="Times New Roman"/>
      <w:sz w:val="20"/>
      <w:szCs w:val="24"/>
      <w:lang w:val="en-GB" w:eastAsia="de-DE"/>
    </w:rPr>
  </w:style>
  <w:style w:type="character" w:customStyle="1" w:styleId="CorrespondenceChar">
    <w:name w:val="Correspondence Char"/>
    <w:basedOn w:val="DefaultParagraphFont"/>
    <w:link w:val="Correspondence"/>
    <w:rsid w:val="005870E8"/>
    <w:rPr>
      <w:rFonts w:ascii="Times New Roman" w:eastAsia="Times New Roman" w:hAnsi="Times New Roman" w:cs="Times New Roman"/>
      <w:sz w:val="20"/>
      <w:szCs w:val="24"/>
      <w:lang w:val="en-GB" w:eastAsia="de-DE"/>
    </w:rPr>
  </w:style>
  <w:style w:type="paragraph" w:customStyle="1" w:styleId="Authors">
    <w:name w:val="Authors"/>
    <w:basedOn w:val="Normal"/>
    <w:link w:val="AuthorsChar"/>
    <w:qFormat/>
    <w:rsid w:val="005870E8"/>
    <w:pPr>
      <w:spacing w:before="180" w:line="240" w:lineRule="auto"/>
      <w:contextualSpacing/>
    </w:pPr>
    <w:rPr>
      <w:rFonts w:eastAsia="Times New Roman" w:cs="Times New Roman"/>
      <w:szCs w:val="24"/>
      <w:lang w:val="en-GB" w:eastAsia="de-DE"/>
    </w:rPr>
  </w:style>
  <w:style w:type="character" w:customStyle="1" w:styleId="AuthorsChar">
    <w:name w:val="Authors Char"/>
    <w:basedOn w:val="DefaultParagraphFont"/>
    <w:link w:val="Authors"/>
    <w:rsid w:val="005870E8"/>
    <w:rPr>
      <w:rFonts w:ascii="Times New Roman" w:eastAsia="Times New Roman" w:hAnsi="Times New Roman" w:cs="Times New Roman"/>
      <w:sz w:val="24"/>
      <w:szCs w:val="24"/>
      <w:lang w:val="en-GB" w:eastAsia="de-DE"/>
    </w:rPr>
  </w:style>
  <w:style w:type="paragraph" w:styleId="BalloonText">
    <w:name w:val="Balloon Text"/>
    <w:basedOn w:val="Normal"/>
    <w:link w:val="BalloonTextChar"/>
    <w:uiPriority w:val="99"/>
    <w:semiHidden/>
    <w:unhideWhenUsed/>
    <w:rsid w:val="005870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0E8"/>
    <w:rPr>
      <w:rFonts w:ascii="Segoe UI" w:hAnsi="Segoe UI" w:cs="Segoe UI"/>
      <w:sz w:val="18"/>
      <w:szCs w:val="18"/>
    </w:rPr>
  </w:style>
  <w:style w:type="character" w:styleId="UnresolvedMention">
    <w:name w:val="Unresolved Mention"/>
    <w:basedOn w:val="DefaultParagraphFont"/>
    <w:uiPriority w:val="99"/>
    <w:semiHidden/>
    <w:unhideWhenUsed/>
    <w:rsid w:val="005870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3264</Words>
  <Characters>18609</Characters>
  <Application>Microsoft Office Word</Application>
  <DocSecurity>0</DocSecurity>
  <Lines>155</Lines>
  <Paragraphs>43</Paragraphs>
  <ScaleCrop>false</ScaleCrop>
  <Company/>
  <LinksUpToDate>false</LinksUpToDate>
  <CharactersWithSpaces>21830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Chris</dc:creator>
  <cp:keywords/>
  <dc:description/>
  <cp:lastModifiedBy>Peng, Chris</cp:lastModifiedBy>
  <cp:revision>10</cp:revision>
  <dcterms:created xsi:type="dcterms:W3CDTF">2022-05-11T15:25:00Z</dcterms:created>
  <dcterms:modified xsi:type="dcterms:W3CDTF">2022-05-11T15:37:00Z</dcterms:modified>
</cp:coreProperties>
</file>