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4A6E" w14:textId="57F9C180" w:rsidR="004B501A" w:rsidRDefault="00144F76" w:rsidP="00144F76">
      <w:pPr>
        <w:rPr>
          <w:rFonts w:ascii="Times New Roman" w:hAnsi="Times New Roman" w:cs="Times New Roman"/>
          <w:b/>
          <w:bCs/>
          <w:sz w:val="24"/>
          <w:szCs w:val="24"/>
        </w:rPr>
      </w:pPr>
      <w:r>
        <w:rPr>
          <w:rFonts w:ascii="Times New Roman" w:hAnsi="Times New Roman" w:cs="Times New Roman"/>
          <w:b/>
          <w:bCs/>
          <w:sz w:val="24"/>
          <w:szCs w:val="24"/>
        </w:rPr>
        <w:t>Supplementary materials</w:t>
      </w:r>
    </w:p>
    <w:p w14:paraId="180CAF80" w14:textId="5E4C4D98" w:rsidR="007D6BFA" w:rsidRDefault="007D6BFA" w:rsidP="00106E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Supplementary </w:t>
      </w:r>
      <w:r w:rsidR="00E9742F">
        <w:rPr>
          <w:rFonts w:ascii="Times New Roman" w:hAnsi="Times New Roman" w:cs="Times New Roman"/>
          <w:sz w:val="24"/>
          <w:szCs w:val="24"/>
        </w:rPr>
        <w:t xml:space="preserve">tables and </w:t>
      </w:r>
      <w:r>
        <w:rPr>
          <w:rFonts w:ascii="Times New Roman" w:hAnsi="Times New Roman" w:cs="Times New Roman"/>
          <w:sz w:val="24"/>
          <w:szCs w:val="24"/>
        </w:rPr>
        <w:t>figures</w:t>
      </w:r>
    </w:p>
    <w:p w14:paraId="3049AD8A" w14:textId="21478AD0" w:rsidR="00E9742F" w:rsidRDefault="00CA5145" w:rsidP="00E9742F">
      <w:pPr>
        <w:rPr>
          <w:rFonts w:ascii="Times New Roman" w:hAnsi="Times New Roman" w:cs="Times New Roman"/>
          <w:sz w:val="24"/>
          <w:szCs w:val="24"/>
        </w:rPr>
      </w:pPr>
      <w:r>
        <w:rPr>
          <w:rFonts w:ascii="Times New Roman" w:hAnsi="Times New Roman" w:cs="Times New Roman"/>
          <w:b/>
          <w:bCs/>
          <w:sz w:val="24"/>
          <w:szCs w:val="24"/>
        </w:rPr>
        <w:t xml:space="preserve">Table S1. </w:t>
      </w:r>
      <w:r>
        <w:rPr>
          <w:rFonts w:ascii="Times New Roman" w:hAnsi="Times New Roman" w:cs="Times New Roman"/>
          <w:sz w:val="24"/>
          <w:szCs w:val="24"/>
        </w:rPr>
        <w:t>Equations for</w:t>
      </w:r>
      <w:r w:rsidR="00D82C18">
        <w:rPr>
          <w:rFonts w:ascii="Times New Roman" w:hAnsi="Times New Roman" w:cs="Times New Roman"/>
          <w:sz w:val="24"/>
          <w:szCs w:val="24"/>
        </w:rPr>
        <w:t xml:space="preserve"> the stochastic </w:t>
      </w:r>
      <w:r>
        <w:rPr>
          <w:rFonts w:ascii="Times New Roman" w:hAnsi="Times New Roman" w:cs="Times New Roman"/>
          <w:sz w:val="24"/>
          <w:szCs w:val="24"/>
        </w:rPr>
        <w:t>juvenile survival</w:t>
      </w:r>
      <w:r w:rsidR="00411781">
        <w:rPr>
          <w:rFonts w:ascii="Times New Roman" w:hAnsi="Times New Roman" w:cs="Times New Roman"/>
          <w:sz w:val="24"/>
          <w:szCs w:val="24"/>
        </w:rPr>
        <w:t xml:space="preserve"> (</w:t>
      </w:r>
      <w:proofErr w:type="spellStart"/>
      <w:r w:rsidR="00411781">
        <w:rPr>
          <w:rFonts w:ascii="Times New Roman" w:hAnsi="Times New Roman" w:cs="Times New Roman"/>
          <w:i/>
          <w:iCs/>
          <w:sz w:val="24"/>
          <w:szCs w:val="24"/>
        </w:rPr>
        <w:t>z</w:t>
      </w:r>
      <w:r w:rsidR="00411781">
        <w:rPr>
          <w:rFonts w:ascii="Times New Roman" w:hAnsi="Times New Roman" w:cs="Times New Roman"/>
          <w:i/>
          <w:iCs/>
          <w:sz w:val="24"/>
          <w:szCs w:val="24"/>
          <w:vertAlign w:val="subscript"/>
        </w:rPr>
        <w:t>t</w:t>
      </w:r>
      <w:proofErr w:type="spellEnd"/>
      <w:r w:rsidR="00411781">
        <w:rPr>
          <w:rFonts w:ascii="Times New Roman" w:hAnsi="Times New Roman" w:cs="Times New Roman"/>
          <w:sz w:val="24"/>
          <w:szCs w:val="24"/>
        </w:rPr>
        <w:t>)</w:t>
      </w:r>
      <w:r w:rsidR="00F65A5F">
        <w:rPr>
          <w:rFonts w:ascii="Times New Roman" w:hAnsi="Times New Roman" w:cs="Times New Roman"/>
          <w:sz w:val="24"/>
          <w:szCs w:val="24"/>
        </w:rPr>
        <w:t xml:space="preserve"> </w:t>
      </w:r>
      <w:r>
        <w:rPr>
          <w:rFonts w:ascii="Times New Roman" w:hAnsi="Times New Roman" w:cs="Times New Roman"/>
          <w:sz w:val="24"/>
          <w:szCs w:val="24"/>
        </w:rPr>
        <w:t>as a function of river flow</w:t>
      </w:r>
      <w:r w:rsidR="00411781">
        <w:rPr>
          <w:rFonts w:ascii="Times New Roman" w:hAnsi="Times New Roman" w:cs="Times New Roman"/>
          <w:sz w:val="24"/>
          <w:szCs w:val="24"/>
        </w:rPr>
        <w:t xml:space="preserve"> at time </w:t>
      </w:r>
      <w:r w:rsidR="00411781">
        <w:rPr>
          <w:rFonts w:ascii="Times New Roman" w:hAnsi="Times New Roman" w:cs="Times New Roman"/>
          <w:i/>
          <w:iCs/>
          <w:sz w:val="24"/>
          <w:szCs w:val="24"/>
        </w:rPr>
        <w:t>t</w:t>
      </w:r>
      <w:r>
        <w:rPr>
          <w:rFonts w:ascii="Times New Roman" w:hAnsi="Times New Roman" w:cs="Times New Roman"/>
          <w:sz w:val="24"/>
          <w:szCs w:val="24"/>
        </w:rPr>
        <w:t xml:space="preserve"> (</w:t>
      </w:r>
      <w:proofErr w:type="spellStart"/>
      <w:r w:rsidR="00D82C18">
        <w:rPr>
          <w:rFonts w:ascii="Times New Roman" w:hAnsi="Times New Roman" w:cs="Times New Roman"/>
          <w:sz w:val="24"/>
          <w:szCs w:val="24"/>
        </w:rPr>
        <w:t>cfs</w:t>
      </w:r>
      <w:proofErr w:type="spellEnd"/>
      <w:r w:rsidR="00430AAA">
        <w:rPr>
          <w:rFonts w:ascii="Times New Roman" w:hAnsi="Times New Roman" w:cs="Times New Roman"/>
          <w:sz w:val="24"/>
          <w:szCs w:val="24"/>
        </w:rPr>
        <w:t xml:space="preserve">, </w:t>
      </w:r>
      <w:proofErr w:type="spellStart"/>
      <w:r w:rsidR="00430AAA">
        <w:rPr>
          <w:rFonts w:ascii="Times New Roman" w:hAnsi="Times New Roman" w:cs="Times New Roman"/>
          <w:i/>
          <w:iCs/>
          <w:sz w:val="24"/>
          <w:szCs w:val="24"/>
        </w:rPr>
        <w:t>w</w:t>
      </w:r>
      <w:r w:rsidR="00430AAA">
        <w:rPr>
          <w:rFonts w:ascii="Times New Roman" w:hAnsi="Times New Roman" w:cs="Times New Roman"/>
          <w:i/>
          <w:iCs/>
          <w:sz w:val="24"/>
          <w:szCs w:val="24"/>
          <w:vertAlign w:val="subscript"/>
        </w:rPr>
        <w:t>t</w:t>
      </w:r>
      <w:proofErr w:type="spellEnd"/>
      <w:r w:rsidR="00D82C18">
        <w:rPr>
          <w:rFonts w:ascii="Times New Roman" w:hAnsi="Times New Roman" w:cs="Times New Roman"/>
          <w:sz w:val="24"/>
          <w:szCs w:val="24"/>
        </w:rPr>
        <w:t>)</w:t>
      </w:r>
      <w:r>
        <w:rPr>
          <w:rFonts w:ascii="Times New Roman" w:hAnsi="Times New Roman" w:cs="Times New Roman"/>
          <w:sz w:val="24"/>
          <w:szCs w:val="24"/>
        </w:rPr>
        <w:t>. The relationship represents a linear interpolation of the step function presented in Michel et al. (2021).</w:t>
      </w:r>
      <w:r w:rsidR="00412A70">
        <w:rPr>
          <w:rFonts w:ascii="Times New Roman" w:hAnsi="Times New Roman" w:cs="Times New Roman"/>
          <w:sz w:val="24"/>
          <w:szCs w:val="24"/>
        </w:rPr>
        <w:t xml:space="preserve"> </w:t>
      </w:r>
      <w:r w:rsidR="00037EF0">
        <w:rPr>
          <w:rFonts w:ascii="Times New Roman" w:hAnsi="Times New Roman" w:cs="Times New Roman"/>
          <w:sz w:val="24"/>
          <w:szCs w:val="24"/>
        </w:rPr>
        <w:t xml:space="preserve">Linear interpolation was accomplished by increasing the lower threshold and decreasing the upper threshold of each step by 5% of the original upper threshold presented in Michel et al. (2021), then implementing a linear function between </w:t>
      </w:r>
      <w:r w:rsidR="001808FD">
        <w:rPr>
          <w:rFonts w:ascii="Times New Roman" w:hAnsi="Times New Roman" w:cs="Times New Roman"/>
          <w:sz w:val="24"/>
          <w:szCs w:val="24"/>
        </w:rPr>
        <w:t>new threshold values</w:t>
      </w:r>
      <w:r w:rsidR="00037EF0">
        <w:rPr>
          <w:rFonts w:ascii="Times New Roman" w:hAnsi="Times New Roman" w:cs="Times New Roman"/>
          <w:sz w:val="24"/>
          <w:szCs w:val="24"/>
        </w:rP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4334"/>
        <w:gridCol w:w="450"/>
        <w:gridCol w:w="3960"/>
      </w:tblGrid>
      <w:tr w:rsidR="00411781" w14:paraId="5CB11263" w14:textId="794CF16B" w:rsidTr="00F01335">
        <w:trPr>
          <w:trHeight w:val="2160"/>
        </w:trPr>
        <w:tc>
          <w:tcPr>
            <w:tcW w:w="791" w:type="dxa"/>
            <w:vAlign w:val="center"/>
          </w:tcPr>
          <w:p w14:paraId="09004CF7" w14:textId="0B032FC6" w:rsidR="00411781" w:rsidRPr="00773C84" w:rsidRDefault="00411781" w:rsidP="00E67A0C">
            <w:pPr>
              <w:rPr>
                <w:rFonts w:ascii="Times New Roman" w:hAnsi="Times New Roman" w:cs="Times New Roman"/>
                <w:sz w:val="24"/>
                <w:szCs w:val="24"/>
              </w:rPr>
            </w:pPr>
            <w:r w:rsidRPr="00773C84">
              <w:rPr>
                <w:rFonts w:ascii="Times New Roman" w:hAnsi="Times New Roman" w:cs="Times New Roman"/>
                <w:sz w:val="24"/>
                <w:szCs w:val="24"/>
              </w:rPr>
              <w:t>(1)</w:t>
            </w:r>
          </w:p>
        </w:tc>
        <w:tc>
          <w:tcPr>
            <w:tcW w:w="4334" w:type="dxa"/>
            <w:vAlign w:val="center"/>
          </w:tcPr>
          <w:p w14:paraId="6B9560D7" w14:textId="66E608DB" w:rsidR="00411781" w:rsidRPr="00D82C18" w:rsidRDefault="00000000" w:rsidP="00E67A0C">
            <w:pPr>
              <w:rPr>
                <w:rFonts w:ascii="Times New Roman" w:hAnsi="Times New Roman" w:cs="Times New Roman"/>
                <w:b/>
                <w:bCs/>
                <w:sz w:val="24"/>
                <w:szCs w:val="24"/>
              </w:rPr>
            </w:pPr>
            <m:oMath>
              <m:d>
                <m:dPr>
                  <m:ctrlPr>
                    <w:rPr>
                      <w:rFonts w:ascii="Cambria Math" w:hAnsi="Cambria Math" w:cs="Times New Roman"/>
                      <w:i/>
                      <w:iCs/>
                      <w:sz w:val="24"/>
                      <w:szCs w:val="24"/>
                    </w:rPr>
                  </m:ctrlPr>
                </m:dPr>
                <m:e>
                  <m:r>
                    <m:rPr>
                      <m:sty m:val="p"/>
                    </m:rPr>
                    <w:rPr>
                      <w:rFonts w:ascii="Cambria Math" w:hAnsi="Cambria Math" w:cs="Times New Roman"/>
                      <w:sz w:val="24"/>
                      <w:szCs w:val="24"/>
                    </w:rPr>
                    <m:t>μ</m:t>
                  </m:r>
                  <m:r>
                    <w:rPr>
                      <w:rFonts w:ascii="Cambria Math" w:hAnsi="Cambria Math" w:cs="Times New Roman"/>
                      <w:sz w:val="24"/>
                      <w:szCs w:val="24"/>
                    </w:rPr>
                    <m:t>, σ</m:t>
                  </m:r>
                </m:e>
              </m:d>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cGp m:val="8"/>
                      <m:mcs>
                        <m:mc>
                          <m:mcPr>
                            <m:count m:val="1"/>
                            <m:mcJc m:val="left"/>
                          </m:mcPr>
                        </m:mc>
                      </m:mcs>
                      <m:ctrlPr>
                        <w:rPr>
                          <w:rFonts w:ascii="Cambria Math" w:hAnsi="Cambria Math" w:cs="Times New Roman"/>
                          <w:i/>
                          <w:iCs/>
                          <w:sz w:val="24"/>
                          <w:szCs w:val="24"/>
                        </w:rPr>
                      </m:ctrlPr>
                    </m:mPr>
                    <m:mr>
                      <m:e>
                        <m:r>
                          <m:rPr>
                            <m:nor/>
                          </m:rPr>
                          <w:rPr>
                            <w:rFonts w:ascii="Cambria Math" w:hAnsi="Cambria Math" w:cs="Times New Roman"/>
                            <w:iCs/>
                            <w:sz w:val="24"/>
                            <w:szCs w:val="24"/>
                          </w:rPr>
                          <m:t>0.03, 0.276</m:t>
                        </m:r>
                      </m:e>
                    </m:mr>
                    <m:mr>
                      <m:e>
                        <m:r>
                          <w:rPr>
                            <w:rFonts w:ascii="Cambria Math" w:hAnsi="Cambria Math" w:cs="Times New Roman"/>
                            <w:sz w:val="24"/>
                            <w:szCs w:val="24"/>
                          </w:rPr>
                          <m:t>0.0002(</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r>
                          <w:rPr>
                            <w:rFonts w:ascii="Cambria Math" w:hAnsi="Cambria Math" w:cs="Times New Roman"/>
                            <w:sz w:val="24"/>
                            <w:szCs w:val="24"/>
                          </w:rPr>
                          <m:t>)-0.8275, 0.37</m:t>
                        </m:r>
                      </m:e>
                    </m:mr>
                    <m:mr>
                      <m:e>
                        <m:m>
                          <m:mPr>
                            <m:cGp m:val="8"/>
                            <m:mcs>
                              <m:mc>
                                <m:mcPr>
                                  <m:count m:val="1"/>
                                  <m:mcJc m:val="left"/>
                                </m:mcPr>
                              </m:mc>
                            </m:mcs>
                            <m:ctrlPr>
                              <w:rPr>
                                <w:rFonts w:ascii="Cambria Math" w:hAnsi="Cambria Math" w:cs="Times New Roman"/>
                                <w:i/>
                                <w:iCs/>
                                <w:sz w:val="24"/>
                                <w:szCs w:val="24"/>
                              </w:rPr>
                            </m:ctrlPr>
                          </m:mPr>
                          <m:mr>
                            <m:e>
                              <m:r>
                                <w:rPr>
                                  <w:rFonts w:ascii="Cambria Math" w:hAnsi="Cambria Math" w:cs="Times New Roman"/>
                                  <w:sz w:val="24"/>
                                  <w:szCs w:val="24"/>
                                </w:rPr>
                                <m:t>0.189, 0.094</m:t>
                              </m:r>
                            </m:e>
                          </m:mr>
                          <m:mr>
                            <m:e>
                              <m:r>
                                <w:rPr>
                                  <w:rFonts w:ascii="Cambria Math" w:hAnsi="Cambria Math" w:cs="Times New Roman"/>
                                  <w:sz w:val="24"/>
                                  <w:szCs w:val="24"/>
                                </w:rPr>
                                <m:t>0.0002</m:t>
                              </m:r>
                              <m:d>
                                <m:dPr>
                                  <m:ctrlPr>
                                    <w:rPr>
                                      <w:rFonts w:ascii="Cambria Math" w:hAnsi="Cambria Math" w:cs="Times New Roman"/>
                                      <w:i/>
                                      <w:iCs/>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r>
                                <w:rPr>
                                  <w:rFonts w:ascii="Cambria Math" w:hAnsi="Cambria Math" w:cs="Times New Roman"/>
                                  <w:sz w:val="24"/>
                                  <w:szCs w:val="24"/>
                                </w:rPr>
                                <m:t>-1.7419, 0.176</m:t>
                              </m:r>
                            </m:e>
                          </m:mr>
                          <m:mr>
                            <m:e>
                              <m:m>
                                <m:mPr>
                                  <m:cGp m:val="8"/>
                                  <m:mcs>
                                    <m:mc>
                                      <m:mcPr>
                                        <m:count m:val="1"/>
                                        <m:mcJc m:val="left"/>
                                      </m:mcPr>
                                    </m:mc>
                                  </m:mcs>
                                  <m:ctrlPr>
                                    <w:rPr>
                                      <w:rFonts w:ascii="Cambria Math" w:hAnsi="Cambria Math" w:cs="Times New Roman"/>
                                      <w:i/>
                                      <w:iCs/>
                                      <w:sz w:val="24"/>
                                      <w:szCs w:val="24"/>
                                    </w:rPr>
                                  </m:ctrlPr>
                                </m:mPr>
                                <m:mr>
                                  <m:e>
                                    <m:r>
                                      <w:rPr>
                                        <w:rFonts w:ascii="Cambria Math" w:hAnsi="Cambria Math" w:cs="Times New Roman"/>
                                        <w:sz w:val="24"/>
                                        <w:szCs w:val="24"/>
                                      </w:rPr>
                                      <m:t>0.508, 0.082</m:t>
                                    </m:r>
                                  </m:e>
                                </m:mr>
                                <m:mr>
                                  <m:e>
                                    <m:r>
                                      <w:rPr>
                                        <w:rFonts w:ascii="Cambria Math" w:hAnsi="Cambria Math" w:cs="Times New Roman"/>
                                        <w:sz w:val="24"/>
                                        <w:szCs w:val="24"/>
                                      </w:rPr>
                                      <m:t>-6</m:t>
                                    </m:r>
                                    <m:sSup>
                                      <m:sSupPr>
                                        <m:ctrlPr>
                                          <w:rPr>
                                            <w:rFonts w:ascii="Cambria Math" w:hAnsi="Cambria Math" w:cs="Times New Roman"/>
                                            <w:i/>
                                            <w:iCs/>
                                            <w:sz w:val="24"/>
                                            <w:szCs w:val="24"/>
                                          </w:rPr>
                                        </m:ctrlPr>
                                      </m:sSupPr>
                                      <m:e>
                                        <m:r>
                                          <m:rPr>
                                            <m:sty m:val="p"/>
                                          </m:rPr>
                                          <w:rPr>
                                            <w:rFonts w:ascii="Cambria Math" w:hAnsi="Cambria Math" w:cs="Times New Roman"/>
                                            <w:sz w:val="24"/>
                                            <w:szCs w:val="24"/>
                                          </w:rPr>
                                          <m:t>e</m:t>
                                        </m:r>
                                      </m:e>
                                      <m:sup>
                                        <m:r>
                                          <w:rPr>
                                            <w:rFonts w:ascii="Cambria Math" w:hAnsi="Cambria Math" w:cs="Times New Roman"/>
                                            <w:sz w:val="24"/>
                                            <w:szCs w:val="24"/>
                                          </w:rPr>
                                          <m:t>-5</m:t>
                                        </m:r>
                                      </m:sup>
                                    </m:sSup>
                                    <m:d>
                                      <m:dPr>
                                        <m:ctrlPr>
                                          <w:rPr>
                                            <w:rFonts w:ascii="Cambria Math" w:hAnsi="Cambria Math" w:cs="Times New Roman"/>
                                            <w:i/>
                                            <w:iCs/>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r>
                                      <w:rPr>
                                        <w:rFonts w:ascii="Cambria Math" w:hAnsi="Cambria Math" w:cs="Times New Roman"/>
                                        <w:sz w:val="24"/>
                                        <w:szCs w:val="24"/>
                                      </w:rPr>
                                      <m:t>+1.9792, 0.17</m:t>
                                    </m:r>
                                  </m:e>
                                </m:mr>
                                <m:mr>
                                  <m:e>
                                    <m:r>
                                      <w:rPr>
                                        <w:rFonts w:ascii="Cambria Math" w:hAnsi="Cambria Math" w:cs="Times New Roman"/>
                                        <w:sz w:val="24"/>
                                        <w:szCs w:val="24"/>
                                      </w:rPr>
                                      <m:t>0.353, 0.088</m:t>
                                    </m:r>
                                  </m:e>
                                </m:mr>
                              </m:m>
                            </m:e>
                          </m:mr>
                        </m:m>
                      </m:e>
                    </m:mr>
                  </m:m>
                </m:e>
              </m:d>
            </m:oMath>
            <w:r w:rsidR="00411781">
              <w:rPr>
                <w:rFonts w:ascii="Times New Roman" w:hAnsi="Times New Roman" w:cs="Times New Roman"/>
                <w:b/>
                <w:bCs/>
                <w:sz w:val="24"/>
                <w:szCs w:val="24"/>
              </w:rPr>
              <w:t xml:space="preserve"> </w:t>
            </w:r>
          </w:p>
        </w:tc>
        <w:tc>
          <w:tcPr>
            <w:tcW w:w="450" w:type="dxa"/>
            <w:vAlign w:val="center"/>
          </w:tcPr>
          <w:p w14:paraId="1F678C65" w14:textId="035574CF"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13E6DCBB" w14:textId="35F562F7"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5C30D2B4" w14:textId="03FE8820"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2A95ABFE" w14:textId="0D39311F"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4965BAB0" w14:textId="302FB797"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4767B510" w14:textId="4F96AEED" w:rsidR="0041178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p w14:paraId="68E108CC" w14:textId="3A51CD76" w:rsidR="00411781" w:rsidRPr="00A87F51" w:rsidRDefault="00D70AE7" w:rsidP="00F01335">
            <w:pPr>
              <w:spacing w:after="20"/>
              <w:rPr>
                <w:rFonts w:ascii="Times New Roman" w:eastAsia="Calibri" w:hAnsi="Times New Roman" w:cs="Times New Roman"/>
                <w:iCs/>
                <w:sz w:val="24"/>
                <w:szCs w:val="24"/>
              </w:rPr>
            </w:pPr>
            <w:r>
              <w:rPr>
                <w:rFonts w:ascii="Times New Roman" w:eastAsia="Calibri" w:hAnsi="Times New Roman" w:cs="Times New Roman"/>
                <w:iCs/>
                <w:sz w:val="24"/>
                <w:szCs w:val="24"/>
              </w:rPr>
              <w:t>i</w:t>
            </w:r>
            <w:r w:rsidR="00411781">
              <w:rPr>
                <w:rFonts w:ascii="Times New Roman" w:eastAsia="Calibri" w:hAnsi="Times New Roman" w:cs="Times New Roman"/>
                <w:iCs/>
                <w:sz w:val="24"/>
                <w:szCs w:val="24"/>
              </w:rPr>
              <w:t>f</w:t>
            </w:r>
          </w:p>
        </w:tc>
        <w:tc>
          <w:tcPr>
            <w:tcW w:w="3960" w:type="dxa"/>
            <w:vAlign w:val="center"/>
          </w:tcPr>
          <w:p w14:paraId="17D68F68" w14:textId="3C416666" w:rsidR="00411781" w:rsidRDefault="00000000" w:rsidP="00E67A0C">
            <w:pPr>
              <w:rPr>
                <w:rFonts w:ascii="Times New Roman" w:eastAsia="Calibri" w:hAnsi="Times New Roman" w:cs="Times New Roman"/>
                <w:iCs/>
                <w:sz w:val="24"/>
                <w:szCs w:val="24"/>
              </w:rPr>
            </w:pPr>
            <m:oMath>
              <m:m>
                <m:mPr>
                  <m:mcs>
                    <m:mc>
                      <m:mcPr>
                        <m:count m:val="1"/>
                        <m:mcJc m:val="center"/>
                      </m:mcPr>
                    </m:mc>
                  </m:mcs>
                  <m:ctrlPr>
                    <w:rPr>
                      <w:rFonts w:ascii="Cambria Math" w:eastAsia="Calibri" w:hAnsi="Cambria Math" w:cs="Times New Roman"/>
                      <w:i/>
                      <w:iCs/>
                      <w:sz w:val="24"/>
                      <w:szCs w:val="24"/>
                    </w:rPr>
                  </m:ctrlPr>
                </m:mPr>
                <m:mr>
                  <m:e>
                    <m:r>
                      <w:rPr>
                        <w:rFonts w:ascii="Cambria Math" w:eastAsia="Calibri" w:hAnsi="Cambria Math" w:cs="Times New Roman"/>
                        <w:sz w:val="24"/>
                        <w:szCs w:val="24"/>
                      </w:rPr>
                      <m:t>0≤</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&lt;4045</m:t>
                    </m:r>
                  </m:e>
                </m:mr>
                <m:mr>
                  <m:e>
                    <m:r>
                      <w:rPr>
                        <w:rFonts w:ascii="Cambria Math" w:eastAsia="Calibri" w:hAnsi="Cambria Math" w:cs="Times New Roman"/>
                        <w:sz w:val="24"/>
                        <w:szCs w:val="24"/>
                      </w:rPr>
                      <m:t>4045≤</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&lt;4795</m:t>
                    </m:r>
                  </m:e>
                </m:mr>
                <m:mr>
                  <m:e>
                    <m:m>
                      <m:mPr>
                        <m:mcs>
                          <m:mc>
                            <m:mcPr>
                              <m:count m:val="1"/>
                              <m:mcJc m:val="center"/>
                            </m:mcPr>
                          </m:mc>
                        </m:mcs>
                        <m:ctrlPr>
                          <w:rPr>
                            <w:rFonts w:ascii="Cambria Math" w:eastAsia="Calibri" w:hAnsi="Cambria Math" w:cs="Times New Roman"/>
                            <w:i/>
                            <w:iCs/>
                            <w:sz w:val="24"/>
                            <w:szCs w:val="24"/>
                          </w:rPr>
                        </m:ctrlPr>
                      </m:mPr>
                      <m:mr>
                        <m:e>
                          <m:r>
                            <w:rPr>
                              <w:rFonts w:ascii="Cambria Math" w:eastAsia="Calibri" w:hAnsi="Cambria Math" w:cs="Times New Roman"/>
                              <w:sz w:val="24"/>
                              <w:szCs w:val="24"/>
                            </w:rPr>
                            <m:t>4795≤</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&lt;10175</m:t>
                          </m:r>
                        </m:e>
                      </m:mr>
                      <m:mr>
                        <m:e>
                          <m:r>
                            <w:rPr>
                              <w:rFonts w:ascii="Cambria Math" w:eastAsia="Calibri" w:hAnsi="Cambria Math" w:cs="Times New Roman"/>
                              <w:sz w:val="24"/>
                              <w:szCs w:val="24"/>
                            </w:rPr>
                            <m:t>10175≤</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&lt;11856</m:t>
                          </m:r>
                        </m:e>
                      </m:mr>
                      <m:mr>
                        <m:e>
                          <m:m>
                            <m:mPr>
                              <m:mcs>
                                <m:mc>
                                  <m:mcPr>
                                    <m:count m:val="1"/>
                                    <m:mcJc m:val="center"/>
                                  </m:mcPr>
                                </m:mc>
                              </m:mcs>
                              <m:ctrlPr>
                                <w:rPr>
                                  <w:rFonts w:ascii="Cambria Math" w:eastAsia="Calibri" w:hAnsi="Cambria Math" w:cs="Times New Roman"/>
                                  <w:i/>
                                  <w:iCs/>
                                  <w:sz w:val="24"/>
                                  <w:szCs w:val="24"/>
                                </w:rPr>
                              </m:ctrlPr>
                            </m:mPr>
                            <m:mr>
                              <m:e>
                                <m:r>
                                  <w:rPr>
                                    <w:rFonts w:ascii="Cambria Math" w:eastAsia="Calibri" w:hAnsi="Cambria Math" w:cs="Times New Roman"/>
                                    <w:sz w:val="24"/>
                                    <w:szCs w:val="24"/>
                                  </w:rPr>
                                  <m:t>11856≤</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&lt;21727</m:t>
                                </m:r>
                              </m:e>
                            </m:mr>
                            <m:mr>
                              <m:e>
                                <m:r>
                                  <w:rPr>
                                    <w:rFonts w:ascii="Cambria Math" w:eastAsia="Calibri" w:hAnsi="Cambria Math" w:cs="Times New Roman"/>
                                    <w:sz w:val="24"/>
                                    <w:szCs w:val="24"/>
                                  </w:rPr>
                                  <m:t>21727≤</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r>
                                  <w:rPr>
                                    <w:rFonts w:ascii="Cambria Math" w:eastAsia="Calibri" w:hAnsi="Cambria Math" w:cs="Times New Roman"/>
                                    <w:sz w:val="24"/>
                                    <w:szCs w:val="24"/>
                                  </w:rPr>
                                  <m:t>&lt;24016</m:t>
                                </m:r>
                              </m:e>
                            </m:mr>
                            <m:mr>
                              <m:e>
                                <m:r>
                                  <w:rPr>
                                    <w:rFonts w:ascii="Cambria Math" w:eastAsia="Calibri" w:hAnsi="Cambria Math" w:cs="Times New Roman"/>
                                    <w:sz w:val="24"/>
                                    <w:szCs w:val="24"/>
                                  </w:rPr>
                                  <m:t>24016≤</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t</m:t>
                                    </m:r>
                                  </m:sub>
                                </m:sSub>
                              </m:e>
                            </m:mr>
                          </m:m>
                        </m:e>
                      </m:mr>
                    </m:m>
                  </m:e>
                </m:mr>
              </m:m>
            </m:oMath>
            <w:r w:rsidR="00411781">
              <w:rPr>
                <w:rFonts w:ascii="Times New Roman" w:eastAsia="Calibri" w:hAnsi="Times New Roman" w:cs="Times New Roman"/>
                <w:iCs/>
                <w:sz w:val="24"/>
                <w:szCs w:val="24"/>
              </w:rPr>
              <w:t xml:space="preserve"> </w:t>
            </w:r>
          </w:p>
        </w:tc>
      </w:tr>
      <w:tr w:rsidR="00411781" w14:paraId="3930AD20" w14:textId="1D48543D" w:rsidTr="00F01335">
        <w:trPr>
          <w:trHeight w:val="432"/>
        </w:trPr>
        <w:tc>
          <w:tcPr>
            <w:tcW w:w="791" w:type="dxa"/>
            <w:vAlign w:val="center"/>
          </w:tcPr>
          <w:p w14:paraId="101B4A97" w14:textId="58DCFFCE" w:rsidR="00411781" w:rsidRPr="00D82C18" w:rsidRDefault="00411781" w:rsidP="00E67A0C">
            <w:pPr>
              <w:rPr>
                <w:rFonts w:ascii="Times New Roman" w:hAnsi="Times New Roman" w:cs="Times New Roman"/>
                <w:iCs/>
                <w:sz w:val="24"/>
                <w:szCs w:val="24"/>
              </w:rPr>
            </w:pPr>
            <w:r>
              <w:rPr>
                <w:rFonts w:ascii="Times New Roman" w:hAnsi="Times New Roman" w:cs="Times New Roman"/>
                <w:iCs/>
                <w:sz w:val="24"/>
                <w:szCs w:val="24"/>
              </w:rPr>
              <w:t>(2)</w:t>
            </w:r>
          </w:p>
        </w:tc>
        <w:tc>
          <w:tcPr>
            <w:tcW w:w="4334" w:type="dxa"/>
            <w:vAlign w:val="center"/>
          </w:tcPr>
          <w:p w14:paraId="0209488B" w14:textId="2E915DC0" w:rsidR="00411781" w:rsidRPr="00411781" w:rsidRDefault="00411781" w:rsidP="00E67A0C">
            <w:pPr>
              <w:rPr>
                <w:rFonts w:ascii="Times New Roman" w:hAnsi="Times New Roman" w:cs="Times New Roman"/>
                <w:iCs/>
                <w:sz w:val="24"/>
                <w:szCs w:val="24"/>
              </w:rPr>
            </w:pPr>
            <m:oMath>
              <m:r>
                <m:rPr>
                  <m:sty m:val="p"/>
                </m:rPr>
                <w:rPr>
                  <w:rFonts w:ascii="Cambria Math" w:hAnsi="Cambria Math" w:cs="Times New Roman"/>
                  <w:sz w:val="24"/>
                  <w:szCs w:val="24"/>
                </w:rPr>
                <m:t>ψ~Normal</m:t>
              </m:r>
              <m:d>
                <m:dPr>
                  <m:ctrlPr>
                    <w:rPr>
                      <w:rFonts w:ascii="Cambria Math" w:hAnsi="Cambria Math" w:cs="Times New Roman"/>
                      <w:iCs/>
                      <w:sz w:val="24"/>
                      <w:szCs w:val="24"/>
                    </w:rPr>
                  </m:ctrlPr>
                </m:dPr>
                <m:e>
                  <m:r>
                    <m:rPr>
                      <m:sty m:val="p"/>
                    </m:rPr>
                    <w:rPr>
                      <w:rFonts w:ascii="Cambria Math" w:hAnsi="Cambria Math" w:cs="Times New Roman"/>
                      <w:sz w:val="24"/>
                      <w:szCs w:val="24"/>
                    </w:rPr>
                    <m:t>logit</m:t>
                  </m:r>
                  <m:d>
                    <m:dPr>
                      <m:ctrlPr>
                        <w:rPr>
                          <w:rFonts w:ascii="Cambria Math" w:hAnsi="Cambria Math" w:cs="Times New Roman"/>
                          <w:i/>
                          <w:iCs/>
                          <w:sz w:val="24"/>
                          <w:szCs w:val="24"/>
                        </w:rPr>
                      </m:ctrlPr>
                    </m:dPr>
                    <m:e>
                      <m:r>
                        <m:rPr>
                          <m:sty m:val="p"/>
                        </m:rPr>
                        <w:rPr>
                          <w:rFonts w:ascii="Cambria Math" w:hAnsi="Cambria Math" w:cs="Times New Roman"/>
                          <w:sz w:val="24"/>
                          <w:szCs w:val="24"/>
                        </w:rPr>
                        <m:t>μ</m:t>
                      </m:r>
                    </m:e>
                  </m:d>
                  <m:r>
                    <w:rPr>
                      <w:rFonts w:ascii="Cambria Math" w:hAnsi="Cambria Math" w:cs="Times New Roman"/>
                      <w:sz w:val="24"/>
                      <w:szCs w:val="24"/>
                    </w:rPr>
                    <m:t>,σ</m:t>
                  </m:r>
                </m:e>
              </m:d>
            </m:oMath>
            <w:r w:rsidR="00B72C21">
              <w:rPr>
                <w:rFonts w:ascii="Times New Roman" w:hAnsi="Times New Roman" w:cs="Times New Roman"/>
                <w:iCs/>
                <w:sz w:val="24"/>
                <w:szCs w:val="24"/>
              </w:rPr>
              <w:t xml:space="preserve"> </w:t>
            </w:r>
          </w:p>
        </w:tc>
        <w:tc>
          <w:tcPr>
            <w:tcW w:w="450" w:type="dxa"/>
          </w:tcPr>
          <w:p w14:paraId="64F3C373" w14:textId="77777777" w:rsidR="00411781" w:rsidRDefault="00411781" w:rsidP="00E9742F">
            <w:pPr>
              <w:rPr>
                <w:rFonts w:ascii="Times New Roman" w:hAnsi="Times New Roman" w:cs="Times New Roman"/>
                <w:sz w:val="24"/>
                <w:szCs w:val="24"/>
              </w:rPr>
            </w:pPr>
          </w:p>
        </w:tc>
        <w:tc>
          <w:tcPr>
            <w:tcW w:w="3960" w:type="dxa"/>
          </w:tcPr>
          <w:p w14:paraId="7AD45843" w14:textId="77777777" w:rsidR="00411781" w:rsidRDefault="00411781" w:rsidP="00E9742F">
            <w:pPr>
              <w:rPr>
                <w:rFonts w:ascii="Times New Roman" w:hAnsi="Times New Roman" w:cs="Times New Roman"/>
                <w:sz w:val="24"/>
                <w:szCs w:val="24"/>
              </w:rPr>
            </w:pPr>
          </w:p>
        </w:tc>
      </w:tr>
      <w:tr w:rsidR="00411781" w14:paraId="39F4C40E" w14:textId="3F4AF3B5" w:rsidTr="00F01335">
        <w:trPr>
          <w:trHeight w:val="432"/>
        </w:trPr>
        <w:tc>
          <w:tcPr>
            <w:tcW w:w="791" w:type="dxa"/>
            <w:vAlign w:val="center"/>
          </w:tcPr>
          <w:p w14:paraId="1B6E7A0C" w14:textId="248ACF9F" w:rsidR="00411781" w:rsidRDefault="00411781" w:rsidP="00E67A0C">
            <w:pPr>
              <w:rPr>
                <w:rFonts w:ascii="Times New Roman" w:hAnsi="Times New Roman" w:cs="Times New Roman"/>
                <w:sz w:val="24"/>
                <w:szCs w:val="24"/>
              </w:rPr>
            </w:pPr>
            <w:r>
              <w:rPr>
                <w:rFonts w:ascii="Times New Roman" w:hAnsi="Times New Roman" w:cs="Times New Roman"/>
                <w:sz w:val="24"/>
                <w:szCs w:val="24"/>
              </w:rPr>
              <w:t>(3)</w:t>
            </w:r>
          </w:p>
        </w:tc>
        <w:tc>
          <w:tcPr>
            <w:tcW w:w="4334" w:type="dxa"/>
            <w:vAlign w:val="center"/>
          </w:tcPr>
          <w:p w14:paraId="784CEB88" w14:textId="692BF71B" w:rsidR="00411781" w:rsidRPr="00E67A0C" w:rsidRDefault="00000000" w:rsidP="00E67A0C">
            <w:pPr>
              <w:rPr>
                <w:rFonts w:ascii="Times New Roman" w:hAnsi="Times New Roman" w:cs="Times New Roman"/>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r>
                <m:rPr>
                  <m:sty m:val="p"/>
                </m:rPr>
                <w:rPr>
                  <w:rFonts w:ascii="Cambria Math" w:hAnsi="Cambria Math" w:cs="Times New Roman"/>
                  <w:sz w:val="24"/>
                  <w:szCs w:val="24"/>
                </w:rPr>
                <m:t>Inv.Logit</m:t>
              </m:r>
              <m:d>
                <m:dPr>
                  <m:ctrlPr>
                    <w:rPr>
                      <w:rFonts w:ascii="Cambria Math" w:hAnsi="Cambria Math" w:cs="Times New Roman"/>
                      <w:iCs/>
                      <w:sz w:val="24"/>
                      <w:szCs w:val="24"/>
                    </w:rPr>
                  </m:ctrlPr>
                </m:dPr>
                <m:e>
                  <m:r>
                    <m:rPr>
                      <m:sty m:val="p"/>
                    </m:rPr>
                    <w:rPr>
                      <w:rFonts w:ascii="Cambria Math" w:hAnsi="Cambria Math" w:cs="Times New Roman"/>
                      <w:sz w:val="24"/>
                      <w:szCs w:val="24"/>
                    </w:rPr>
                    <m:t>ψ</m:t>
                  </m:r>
                </m:e>
              </m:d>
            </m:oMath>
            <w:r w:rsidR="00B72C21">
              <w:rPr>
                <w:rFonts w:ascii="Times New Roman" w:hAnsi="Times New Roman" w:cs="Times New Roman"/>
                <w:iCs/>
                <w:sz w:val="24"/>
                <w:szCs w:val="24"/>
              </w:rPr>
              <w:t xml:space="preserve"> </w:t>
            </w:r>
          </w:p>
        </w:tc>
        <w:tc>
          <w:tcPr>
            <w:tcW w:w="450" w:type="dxa"/>
          </w:tcPr>
          <w:p w14:paraId="24F28AE8" w14:textId="77777777" w:rsidR="00411781" w:rsidRDefault="00411781" w:rsidP="00E9742F">
            <w:pPr>
              <w:rPr>
                <w:rFonts w:ascii="Times New Roman" w:hAnsi="Times New Roman" w:cs="Times New Roman"/>
                <w:sz w:val="24"/>
                <w:szCs w:val="24"/>
              </w:rPr>
            </w:pPr>
          </w:p>
        </w:tc>
        <w:tc>
          <w:tcPr>
            <w:tcW w:w="3960" w:type="dxa"/>
          </w:tcPr>
          <w:p w14:paraId="397439DA" w14:textId="77777777" w:rsidR="00411781" w:rsidRDefault="00411781" w:rsidP="00E9742F">
            <w:pPr>
              <w:rPr>
                <w:rFonts w:ascii="Times New Roman" w:hAnsi="Times New Roman" w:cs="Times New Roman"/>
                <w:sz w:val="24"/>
                <w:szCs w:val="24"/>
              </w:rPr>
            </w:pPr>
          </w:p>
        </w:tc>
      </w:tr>
    </w:tbl>
    <w:p w14:paraId="211DFBC6" w14:textId="0506320A" w:rsidR="00CA5145" w:rsidRDefault="00CA5145" w:rsidP="00CA5145">
      <w:pPr>
        <w:rPr>
          <w:rFonts w:ascii="Times New Roman" w:hAnsi="Times New Roman" w:cs="Times New Roman"/>
          <w:sz w:val="24"/>
          <w:szCs w:val="24"/>
        </w:rPr>
      </w:pPr>
    </w:p>
    <w:p w14:paraId="59BA4C79" w14:textId="0F51AB63" w:rsidR="00695CF8" w:rsidRDefault="00695CF8" w:rsidP="00B14F72">
      <w:pPr>
        <w:pageBreakBefore/>
        <w:rPr>
          <w:rFonts w:ascii="Times New Roman" w:hAnsi="Times New Roman" w:cs="Times New Roman"/>
          <w:sz w:val="24"/>
          <w:szCs w:val="24"/>
        </w:rPr>
      </w:pPr>
      <w:r>
        <w:rPr>
          <w:rFonts w:ascii="Times New Roman" w:hAnsi="Times New Roman" w:cs="Times New Roman"/>
          <w:b/>
          <w:bCs/>
          <w:sz w:val="24"/>
          <w:szCs w:val="24"/>
        </w:rPr>
        <w:lastRenderedPageBreak/>
        <w:t xml:space="preserve">Table S2. </w:t>
      </w:r>
      <w:r>
        <w:rPr>
          <w:rFonts w:ascii="Times New Roman" w:hAnsi="Times New Roman" w:cs="Times New Roman"/>
          <w:sz w:val="24"/>
          <w:szCs w:val="24"/>
        </w:rPr>
        <w:t>Equations for the harvest control rule</w:t>
      </w:r>
      <w:r w:rsidR="00062193">
        <w:rPr>
          <w:rFonts w:ascii="Times New Roman" w:hAnsi="Times New Roman" w:cs="Times New Roman"/>
          <w:sz w:val="24"/>
          <w:szCs w:val="24"/>
        </w:rPr>
        <w:t xml:space="preserve"> (HCR)</w:t>
      </w:r>
      <w:r>
        <w:rPr>
          <w:rFonts w:ascii="Times New Roman" w:hAnsi="Times New Roman" w:cs="Times New Roman"/>
          <w:sz w:val="24"/>
          <w:szCs w:val="24"/>
        </w:rPr>
        <w:t xml:space="preserve"> used for Sacramento River fall-run Chinook salmon. More detailed information on the </w:t>
      </w:r>
      <w:r w:rsidR="00062193">
        <w:rPr>
          <w:rFonts w:ascii="Times New Roman" w:hAnsi="Times New Roman" w:cs="Times New Roman"/>
          <w:sz w:val="24"/>
          <w:szCs w:val="24"/>
        </w:rPr>
        <w:t xml:space="preserve">HCR </w:t>
      </w:r>
      <w:r>
        <w:rPr>
          <w:rFonts w:ascii="Times New Roman" w:hAnsi="Times New Roman" w:cs="Times New Roman"/>
          <w:sz w:val="24"/>
          <w:szCs w:val="24"/>
        </w:rPr>
        <w:t>can be found in section 3.3.6.1 (p. 32) in PFMC (2021b).</w:t>
      </w:r>
      <w:r w:rsidR="00062193">
        <w:rPr>
          <w:rFonts w:ascii="Times New Roman" w:hAnsi="Times New Roman" w:cs="Times New Roman"/>
          <w:sz w:val="24"/>
          <w:szCs w:val="24"/>
        </w:rPr>
        <w:t xml:space="preserve"> Values used to calculate the abundance breakpoints are the minimum stock size threshold (MSST; 91,500), adult spawners that achieve maximum sustainable yield (S</w:t>
      </w:r>
      <w:r w:rsidR="00062193">
        <w:rPr>
          <w:rFonts w:ascii="Times New Roman" w:hAnsi="Times New Roman" w:cs="Times New Roman"/>
          <w:sz w:val="24"/>
          <w:szCs w:val="24"/>
          <w:vertAlign w:val="subscript"/>
        </w:rPr>
        <w:t>MSY</w:t>
      </w:r>
      <w:r w:rsidR="00062193">
        <w:rPr>
          <w:rFonts w:ascii="Times New Roman" w:hAnsi="Times New Roman" w:cs="Times New Roman"/>
          <w:sz w:val="24"/>
          <w:szCs w:val="24"/>
        </w:rPr>
        <w:t>; 122,000), and the annual exploitation rate associated with the acceptable biological catch (F</w:t>
      </w:r>
      <w:r w:rsidR="00062193">
        <w:rPr>
          <w:rFonts w:ascii="Times New Roman" w:hAnsi="Times New Roman" w:cs="Times New Roman"/>
          <w:sz w:val="24"/>
          <w:szCs w:val="24"/>
          <w:vertAlign w:val="subscript"/>
        </w:rPr>
        <w:t>ABC</w:t>
      </w:r>
      <w:r w:rsidR="00062193">
        <w:rPr>
          <w:rFonts w:ascii="Times New Roman" w:hAnsi="Times New Roman" w:cs="Times New Roman"/>
          <w:sz w:val="24"/>
          <w:szCs w:val="24"/>
        </w:rPr>
        <w:t xml:space="preserve">; </w:t>
      </w:r>
      <w:r w:rsidR="001E49A1">
        <w:rPr>
          <w:rFonts w:ascii="Times New Roman" w:hAnsi="Times New Roman" w:cs="Times New Roman"/>
          <w:sz w:val="24"/>
          <w:szCs w:val="24"/>
        </w:rPr>
        <w:t>0.7</w:t>
      </w:r>
      <w:r w:rsidR="00062193">
        <w:rPr>
          <w:rFonts w:ascii="Times New Roman" w:hAnsi="Times New Roman" w:cs="Times New Roman"/>
          <w:sz w:val="24"/>
          <w:szCs w:val="24"/>
        </w:rPr>
        <w:t xml:space="preserve">). </w:t>
      </w:r>
      <w:r w:rsidR="00A97EB0">
        <w:rPr>
          <w:rFonts w:ascii="Times New Roman" w:hAnsi="Times New Roman" w:cs="Times New Roman"/>
          <w:sz w:val="24"/>
          <w:szCs w:val="24"/>
        </w:rPr>
        <w:t>The pre-fishery ocean abundance in spawner equivalent units (N) is used to calculate the maximum allowable exploitation rate (F).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5218"/>
        <w:gridCol w:w="376"/>
        <w:gridCol w:w="167"/>
        <w:gridCol w:w="2875"/>
      </w:tblGrid>
      <w:tr w:rsidR="004677FF" w14:paraId="04B6EECB" w14:textId="77777777" w:rsidTr="00565F17">
        <w:trPr>
          <w:trHeight w:val="432"/>
        </w:trPr>
        <w:tc>
          <w:tcPr>
            <w:tcW w:w="9350" w:type="dxa"/>
            <w:gridSpan w:val="5"/>
            <w:vAlign w:val="center"/>
          </w:tcPr>
          <w:p w14:paraId="115F0106" w14:textId="326DBE79" w:rsidR="004677FF" w:rsidRDefault="004677FF" w:rsidP="004677FF">
            <w:pPr>
              <w:rPr>
                <w:rFonts w:ascii="Times New Roman" w:hAnsi="Times New Roman" w:cs="Times New Roman"/>
                <w:sz w:val="24"/>
                <w:szCs w:val="24"/>
              </w:rPr>
            </w:pPr>
            <w:r>
              <w:rPr>
                <w:rFonts w:ascii="Times New Roman" w:hAnsi="Times New Roman" w:cs="Times New Roman"/>
                <w:i/>
                <w:iCs/>
                <w:sz w:val="24"/>
                <w:szCs w:val="24"/>
              </w:rPr>
              <w:t>Abundance breakpoints</w:t>
            </w:r>
          </w:p>
        </w:tc>
      </w:tr>
      <w:tr w:rsidR="00565F17" w14:paraId="34203D5C" w14:textId="77777777" w:rsidTr="00565F17">
        <w:trPr>
          <w:trHeight w:val="432"/>
        </w:trPr>
        <w:tc>
          <w:tcPr>
            <w:tcW w:w="714" w:type="dxa"/>
            <w:vAlign w:val="center"/>
          </w:tcPr>
          <w:p w14:paraId="78F38A47" w14:textId="21DC7605" w:rsidR="004677FF" w:rsidRPr="004677FF" w:rsidRDefault="004677FF" w:rsidP="004677FF">
            <w:pPr>
              <w:rPr>
                <w:rFonts w:ascii="Times New Roman" w:hAnsi="Times New Roman" w:cs="Times New Roman"/>
                <w:sz w:val="24"/>
                <w:szCs w:val="24"/>
              </w:rPr>
            </w:pPr>
            <w:r>
              <w:rPr>
                <w:rFonts w:ascii="Times New Roman" w:hAnsi="Times New Roman" w:cs="Times New Roman"/>
                <w:sz w:val="24"/>
                <w:szCs w:val="24"/>
              </w:rPr>
              <w:t>(1)</w:t>
            </w:r>
          </w:p>
        </w:tc>
        <w:tc>
          <w:tcPr>
            <w:tcW w:w="5218" w:type="dxa"/>
            <w:vAlign w:val="center"/>
          </w:tcPr>
          <w:p w14:paraId="320CD043" w14:textId="12F97F93" w:rsidR="004677FF" w:rsidRPr="004677FF" w:rsidRDefault="004677FF" w:rsidP="004677FF">
            <w:pPr>
              <w:rPr>
                <w:rFonts w:ascii="Times New Roman" w:hAnsi="Times New Roman" w:cs="Times New Roman"/>
                <w:iCs/>
                <w:sz w:val="24"/>
                <w:szCs w:val="24"/>
              </w:rPr>
            </w:pPr>
            <m:oMath>
              <m:r>
                <m:rPr>
                  <m:sty m:val="p"/>
                </m:rPr>
                <w:rPr>
                  <w:rFonts w:ascii="Cambria Math" w:hAnsi="Cambria Math" w:cs="Times New Roman"/>
                  <w:sz w:val="24"/>
                  <w:szCs w:val="24"/>
                </w:rPr>
                <m:t>A=MSST/2</m:t>
              </m:r>
            </m:oMath>
            <w:r>
              <w:rPr>
                <w:rFonts w:ascii="Times New Roman" w:hAnsi="Times New Roman" w:cs="Times New Roman"/>
                <w:iCs/>
                <w:sz w:val="24"/>
                <w:szCs w:val="24"/>
              </w:rPr>
              <w:t xml:space="preserve"> </w:t>
            </w:r>
          </w:p>
        </w:tc>
        <w:tc>
          <w:tcPr>
            <w:tcW w:w="376" w:type="dxa"/>
            <w:vAlign w:val="center"/>
          </w:tcPr>
          <w:p w14:paraId="309E6798" w14:textId="77777777" w:rsidR="004677FF" w:rsidRDefault="004677FF" w:rsidP="004677FF">
            <w:pPr>
              <w:rPr>
                <w:rFonts w:ascii="Times New Roman" w:hAnsi="Times New Roman" w:cs="Times New Roman"/>
                <w:sz w:val="24"/>
                <w:szCs w:val="24"/>
              </w:rPr>
            </w:pPr>
          </w:p>
        </w:tc>
        <w:tc>
          <w:tcPr>
            <w:tcW w:w="3042" w:type="dxa"/>
            <w:gridSpan w:val="2"/>
            <w:vAlign w:val="center"/>
          </w:tcPr>
          <w:p w14:paraId="47F8F01C" w14:textId="77777777" w:rsidR="004677FF" w:rsidRDefault="004677FF" w:rsidP="004677FF">
            <w:pPr>
              <w:rPr>
                <w:rFonts w:ascii="Times New Roman" w:hAnsi="Times New Roman" w:cs="Times New Roman"/>
                <w:sz w:val="24"/>
                <w:szCs w:val="24"/>
              </w:rPr>
            </w:pPr>
          </w:p>
        </w:tc>
      </w:tr>
      <w:tr w:rsidR="00565F17" w14:paraId="6F806C18" w14:textId="77777777" w:rsidTr="00565F17">
        <w:trPr>
          <w:trHeight w:val="432"/>
        </w:trPr>
        <w:tc>
          <w:tcPr>
            <w:tcW w:w="714" w:type="dxa"/>
            <w:vAlign w:val="center"/>
          </w:tcPr>
          <w:p w14:paraId="53DECE6F" w14:textId="79BF4342" w:rsidR="004677FF" w:rsidRDefault="004677FF" w:rsidP="004677FF">
            <w:pPr>
              <w:rPr>
                <w:rFonts w:ascii="Times New Roman" w:hAnsi="Times New Roman" w:cs="Times New Roman"/>
                <w:sz w:val="24"/>
                <w:szCs w:val="24"/>
              </w:rPr>
            </w:pPr>
            <w:r>
              <w:rPr>
                <w:rFonts w:ascii="Times New Roman" w:hAnsi="Times New Roman" w:cs="Times New Roman"/>
                <w:sz w:val="24"/>
                <w:szCs w:val="24"/>
              </w:rPr>
              <w:t>(2)</w:t>
            </w:r>
          </w:p>
        </w:tc>
        <w:tc>
          <w:tcPr>
            <w:tcW w:w="5218" w:type="dxa"/>
            <w:vAlign w:val="center"/>
          </w:tcPr>
          <w:p w14:paraId="25A25443" w14:textId="017C96A3" w:rsidR="004677FF" w:rsidRDefault="004677FF" w:rsidP="004677FF">
            <w:pPr>
              <w:rPr>
                <w:rFonts w:ascii="Times New Roman" w:hAnsi="Times New Roman" w:cs="Times New Roman"/>
                <w:sz w:val="24"/>
                <w:szCs w:val="24"/>
              </w:rPr>
            </w:pPr>
            <m:oMath>
              <m:r>
                <m:rPr>
                  <m:sty m:val="p"/>
                </m:rPr>
                <w:rPr>
                  <w:rFonts w:ascii="Cambria Math" w:hAnsi="Cambria Math" w:cs="Times New Roman"/>
                  <w:sz w:val="24"/>
                  <w:szCs w:val="24"/>
                </w:rPr>
                <m:t>B=</m:t>
              </m:r>
              <m:d>
                <m:dPr>
                  <m:ctrlPr>
                    <w:rPr>
                      <w:rFonts w:ascii="Cambria Math" w:hAnsi="Cambria Math" w:cs="Times New Roman"/>
                      <w:iCs/>
                      <w:sz w:val="24"/>
                      <w:szCs w:val="24"/>
                    </w:rPr>
                  </m:ctrlPr>
                </m:dPr>
                <m:e>
                  <m:r>
                    <m:rPr>
                      <m:sty m:val="p"/>
                    </m:rPr>
                    <w:rPr>
                      <w:rFonts w:ascii="Cambria Math" w:hAnsi="Cambria Math" w:cs="Times New Roman"/>
                      <w:sz w:val="24"/>
                      <w:szCs w:val="24"/>
                    </w:rPr>
                    <m:t>MSST+</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MSY</m:t>
                      </m:r>
                    </m:sub>
                  </m:sSub>
                </m:e>
              </m:d>
              <m:r>
                <w:rPr>
                  <w:rFonts w:ascii="Cambria Math" w:hAnsi="Cambria Math" w:cs="Times New Roman"/>
                  <w:sz w:val="24"/>
                  <w:szCs w:val="24"/>
                </w:rPr>
                <m:t>/2</m:t>
              </m:r>
            </m:oMath>
            <w:r w:rsidR="00AD6B59">
              <w:rPr>
                <w:rFonts w:ascii="Times New Roman" w:hAnsi="Times New Roman" w:cs="Times New Roman"/>
                <w:sz w:val="24"/>
                <w:szCs w:val="24"/>
              </w:rPr>
              <w:t xml:space="preserve"> </w:t>
            </w:r>
          </w:p>
        </w:tc>
        <w:tc>
          <w:tcPr>
            <w:tcW w:w="376" w:type="dxa"/>
            <w:vAlign w:val="center"/>
          </w:tcPr>
          <w:p w14:paraId="5F87634F" w14:textId="77777777" w:rsidR="004677FF" w:rsidRDefault="004677FF" w:rsidP="004677FF">
            <w:pPr>
              <w:rPr>
                <w:rFonts w:ascii="Times New Roman" w:hAnsi="Times New Roman" w:cs="Times New Roman"/>
                <w:sz w:val="24"/>
                <w:szCs w:val="24"/>
              </w:rPr>
            </w:pPr>
          </w:p>
        </w:tc>
        <w:tc>
          <w:tcPr>
            <w:tcW w:w="3042" w:type="dxa"/>
            <w:gridSpan w:val="2"/>
            <w:vAlign w:val="center"/>
          </w:tcPr>
          <w:p w14:paraId="67F9A6C9" w14:textId="77777777" w:rsidR="004677FF" w:rsidRDefault="004677FF" w:rsidP="004677FF">
            <w:pPr>
              <w:rPr>
                <w:rFonts w:ascii="Times New Roman" w:hAnsi="Times New Roman" w:cs="Times New Roman"/>
                <w:sz w:val="24"/>
                <w:szCs w:val="24"/>
              </w:rPr>
            </w:pPr>
          </w:p>
        </w:tc>
      </w:tr>
      <w:tr w:rsidR="00565F17" w14:paraId="62835361" w14:textId="77777777" w:rsidTr="00565F17">
        <w:trPr>
          <w:trHeight w:val="432"/>
        </w:trPr>
        <w:tc>
          <w:tcPr>
            <w:tcW w:w="714" w:type="dxa"/>
            <w:vAlign w:val="center"/>
          </w:tcPr>
          <w:p w14:paraId="2CBFD752" w14:textId="073CD8B7" w:rsidR="004677FF" w:rsidRDefault="00AD6B59" w:rsidP="004677FF">
            <w:pPr>
              <w:rPr>
                <w:rFonts w:ascii="Times New Roman" w:hAnsi="Times New Roman" w:cs="Times New Roman"/>
                <w:sz w:val="24"/>
                <w:szCs w:val="24"/>
              </w:rPr>
            </w:pPr>
            <w:r>
              <w:rPr>
                <w:rFonts w:ascii="Times New Roman" w:hAnsi="Times New Roman" w:cs="Times New Roman"/>
                <w:sz w:val="24"/>
                <w:szCs w:val="24"/>
              </w:rPr>
              <w:t>(3)</w:t>
            </w:r>
          </w:p>
        </w:tc>
        <w:tc>
          <w:tcPr>
            <w:tcW w:w="5218" w:type="dxa"/>
            <w:vAlign w:val="center"/>
          </w:tcPr>
          <w:p w14:paraId="56B42F57" w14:textId="2C3617C6" w:rsidR="004677FF" w:rsidRDefault="00AD6B59" w:rsidP="004677FF">
            <w:pPr>
              <w:rPr>
                <w:rFonts w:ascii="Times New Roman" w:hAnsi="Times New Roman" w:cs="Times New Roman"/>
                <w:sz w:val="24"/>
                <w:szCs w:val="24"/>
              </w:rPr>
            </w:pPr>
            <m:oMath>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MSY</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1-0.25</m:t>
                  </m:r>
                </m:e>
              </m:d>
            </m:oMath>
            <w:r>
              <w:rPr>
                <w:rFonts w:ascii="Times New Roman" w:hAnsi="Times New Roman" w:cs="Times New Roman"/>
                <w:sz w:val="24"/>
                <w:szCs w:val="24"/>
              </w:rPr>
              <w:t xml:space="preserve"> </w:t>
            </w:r>
          </w:p>
        </w:tc>
        <w:tc>
          <w:tcPr>
            <w:tcW w:w="376" w:type="dxa"/>
            <w:vAlign w:val="center"/>
          </w:tcPr>
          <w:p w14:paraId="5989128B" w14:textId="77777777" w:rsidR="004677FF" w:rsidRDefault="004677FF" w:rsidP="004677FF">
            <w:pPr>
              <w:rPr>
                <w:rFonts w:ascii="Times New Roman" w:hAnsi="Times New Roman" w:cs="Times New Roman"/>
                <w:sz w:val="24"/>
                <w:szCs w:val="24"/>
              </w:rPr>
            </w:pPr>
          </w:p>
        </w:tc>
        <w:tc>
          <w:tcPr>
            <w:tcW w:w="3042" w:type="dxa"/>
            <w:gridSpan w:val="2"/>
            <w:vAlign w:val="center"/>
          </w:tcPr>
          <w:p w14:paraId="7A993496" w14:textId="77777777" w:rsidR="004677FF" w:rsidRDefault="004677FF" w:rsidP="004677FF">
            <w:pPr>
              <w:rPr>
                <w:rFonts w:ascii="Times New Roman" w:hAnsi="Times New Roman" w:cs="Times New Roman"/>
                <w:sz w:val="24"/>
                <w:szCs w:val="24"/>
              </w:rPr>
            </w:pPr>
          </w:p>
        </w:tc>
      </w:tr>
      <w:tr w:rsidR="00565F17" w14:paraId="652FE0EB" w14:textId="77777777" w:rsidTr="00565F17">
        <w:trPr>
          <w:trHeight w:val="432"/>
        </w:trPr>
        <w:tc>
          <w:tcPr>
            <w:tcW w:w="714" w:type="dxa"/>
            <w:vAlign w:val="center"/>
          </w:tcPr>
          <w:p w14:paraId="632297DD" w14:textId="373C50B2" w:rsidR="004677FF" w:rsidRDefault="00AD6B59" w:rsidP="004677FF">
            <w:pPr>
              <w:rPr>
                <w:rFonts w:ascii="Times New Roman" w:hAnsi="Times New Roman" w:cs="Times New Roman"/>
                <w:sz w:val="24"/>
                <w:szCs w:val="24"/>
              </w:rPr>
            </w:pPr>
            <w:r>
              <w:rPr>
                <w:rFonts w:ascii="Times New Roman" w:hAnsi="Times New Roman" w:cs="Times New Roman"/>
                <w:sz w:val="24"/>
                <w:szCs w:val="24"/>
              </w:rPr>
              <w:t>(4)</w:t>
            </w:r>
          </w:p>
        </w:tc>
        <w:tc>
          <w:tcPr>
            <w:tcW w:w="5218" w:type="dxa"/>
            <w:vAlign w:val="center"/>
          </w:tcPr>
          <w:p w14:paraId="4128DB24" w14:textId="757A6931" w:rsidR="004677FF" w:rsidRPr="00AD6B59" w:rsidRDefault="00AD6B59" w:rsidP="004677FF">
            <w:pPr>
              <w:rPr>
                <w:rFonts w:ascii="Times New Roman" w:hAnsi="Times New Roman" w:cs="Times New Roman"/>
                <w:iCs/>
                <w:sz w:val="24"/>
                <w:szCs w:val="24"/>
              </w:rPr>
            </w:pPr>
            <m:oMath>
              <m:r>
                <m:rPr>
                  <m:sty m:val="p"/>
                </m:rPr>
                <w:rPr>
                  <w:rFonts w:ascii="Cambria Math" w:hAnsi="Cambria Math" w:cs="Times New Roman"/>
                  <w:sz w:val="24"/>
                  <w:szCs w:val="24"/>
                </w:rPr>
                <m:t>D=</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MSY</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ABC</m:t>
                      </m:r>
                    </m:sub>
                  </m:sSub>
                </m:e>
              </m:d>
            </m:oMath>
            <w:r>
              <w:rPr>
                <w:rFonts w:ascii="Times New Roman" w:hAnsi="Times New Roman" w:cs="Times New Roman"/>
                <w:iCs/>
                <w:sz w:val="24"/>
                <w:szCs w:val="24"/>
              </w:rPr>
              <w:t xml:space="preserve"> </w:t>
            </w:r>
          </w:p>
        </w:tc>
        <w:tc>
          <w:tcPr>
            <w:tcW w:w="376" w:type="dxa"/>
            <w:vAlign w:val="center"/>
          </w:tcPr>
          <w:p w14:paraId="576BD675" w14:textId="77777777" w:rsidR="004677FF" w:rsidRDefault="004677FF" w:rsidP="004677FF">
            <w:pPr>
              <w:rPr>
                <w:rFonts w:ascii="Times New Roman" w:hAnsi="Times New Roman" w:cs="Times New Roman"/>
                <w:sz w:val="24"/>
                <w:szCs w:val="24"/>
              </w:rPr>
            </w:pPr>
          </w:p>
        </w:tc>
        <w:tc>
          <w:tcPr>
            <w:tcW w:w="3042" w:type="dxa"/>
            <w:gridSpan w:val="2"/>
            <w:vAlign w:val="center"/>
          </w:tcPr>
          <w:p w14:paraId="5F0F334C" w14:textId="77777777" w:rsidR="004677FF" w:rsidRDefault="004677FF" w:rsidP="004677FF">
            <w:pPr>
              <w:rPr>
                <w:rFonts w:ascii="Times New Roman" w:hAnsi="Times New Roman" w:cs="Times New Roman"/>
                <w:sz w:val="24"/>
                <w:szCs w:val="24"/>
              </w:rPr>
            </w:pPr>
          </w:p>
        </w:tc>
      </w:tr>
      <w:tr w:rsidR="00A97EB0" w14:paraId="3E1501CF" w14:textId="77777777" w:rsidTr="00565F17">
        <w:trPr>
          <w:trHeight w:val="432"/>
        </w:trPr>
        <w:tc>
          <w:tcPr>
            <w:tcW w:w="9350" w:type="dxa"/>
            <w:gridSpan w:val="5"/>
            <w:vAlign w:val="center"/>
          </w:tcPr>
          <w:p w14:paraId="5B0085AC" w14:textId="653E34B8" w:rsidR="00A97EB0" w:rsidRPr="00A97EB0" w:rsidRDefault="00A97EB0" w:rsidP="004677FF">
            <w:pPr>
              <w:rPr>
                <w:rFonts w:ascii="Times New Roman" w:hAnsi="Times New Roman" w:cs="Times New Roman"/>
                <w:i/>
                <w:iCs/>
                <w:sz w:val="24"/>
                <w:szCs w:val="24"/>
              </w:rPr>
            </w:pPr>
            <w:r>
              <w:rPr>
                <w:rFonts w:ascii="Times New Roman" w:hAnsi="Times New Roman" w:cs="Times New Roman"/>
                <w:i/>
                <w:iCs/>
                <w:sz w:val="24"/>
                <w:szCs w:val="24"/>
              </w:rPr>
              <w:t>Maximum allowable exploitation rates</w:t>
            </w:r>
          </w:p>
        </w:tc>
      </w:tr>
      <w:tr w:rsidR="00565F17" w14:paraId="0943D244" w14:textId="77777777" w:rsidTr="00565F17">
        <w:trPr>
          <w:trHeight w:val="1844"/>
        </w:trPr>
        <w:tc>
          <w:tcPr>
            <w:tcW w:w="714" w:type="dxa"/>
            <w:vAlign w:val="center"/>
          </w:tcPr>
          <w:p w14:paraId="46F3325F" w14:textId="7EC58FEF" w:rsidR="004677FF" w:rsidRDefault="00A97EB0" w:rsidP="004677FF">
            <w:pPr>
              <w:rPr>
                <w:rFonts w:ascii="Times New Roman" w:hAnsi="Times New Roman" w:cs="Times New Roman"/>
                <w:sz w:val="24"/>
                <w:szCs w:val="24"/>
              </w:rPr>
            </w:pPr>
            <w:r>
              <w:rPr>
                <w:rFonts w:ascii="Times New Roman" w:hAnsi="Times New Roman" w:cs="Times New Roman"/>
                <w:sz w:val="24"/>
                <w:szCs w:val="24"/>
              </w:rPr>
              <w:t>(5)</w:t>
            </w:r>
          </w:p>
        </w:tc>
        <w:tc>
          <w:tcPr>
            <w:tcW w:w="5218" w:type="dxa"/>
            <w:vAlign w:val="center"/>
          </w:tcPr>
          <w:p w14:paraId="7AE04DFC" w14:textId="0915AF57" w:rsidR="004677FF" w:rsidRDefault="00A97EB0" w:rsidP="004677FF">
            <w:pPr>
              <w:rPr>
                <w:rFonts w:ascii="Times New Roman" w:hAnsi="Times New Roman" w:cs="Times New Roman"/>
                <w:sz w:val="24"/>
                <w:szCs w:val="24"/>
              </w:rPr>
            </w:pPr>
            <m:oMath>
              <m:r>
                <w:rPr>
                  <w:rFonts w:ascii="Cambria Math" w:hAnsi="Cambria Math" w:cs="Times New Roman"/>
                  <w:sz w:val="24"/>
                  <w:szCs w:val="24"/>
                </w:rPr>
                <m:t>F=</m:t>
              </m:r>
              <m:d>
                <m:dPr>
                  <m:begChr m:val="{"/>
                  <m:endChr m:val=""/>
                  <m:ctrlPr>
                    <w:rPr>
                      <w:rFonts w:ascii="Cambria Math" w:hAnsi="Cambria Math" w:cs="Times New Roman"/>
                      <w:i/>
                      <w:sz w:val="24"/>
                      <w:szCs w:val="24"/>
                    </w:rPr>
                  </m:ctrlPr>
                </m:dPr>
                <m:e>
                  <m:m>
                    <m:mPr>
                      <m:cGp m:val="8"/>
                      <m:mcs>
                        <m:mc>
                          <m:mcPr>
                            <m:count m:val="1"/>
                            <m:mcJc m:val="left"/>
                          </m:mcPr>
                        </m:mc>
                      </m:mcs>
                      <m:ctrlPr>
                        <w:rPr>
                          <w:rFonts w:ascii="Cambria Math" w:hAnsi="Cambria Math" w:cs="Times New Roman"/>
                          <w:i/>
                          <w:sz w:val="24"/>
                          <w:szCs w:val="24"/>
                        </w:rPr>
                      </m:ctrlPr>
                    </m:mPr>
                    <m:mr>
                      <m:e>
                        <m:m>
                          <m:mPr>
                            <m:mcs>
                              <m:mc>
                                <m:mcPr>
                                  <m:count m:val="1"/>
                                  <m:mcJc m:val="left"/>
                                </m:mcPr>
                              </m:mc>
                            </m:mcs>
                            <m:ctrlPr>
                              <w:rPr>
                                <w:rFonts w:ascii="Cambria Math" w:hAnsi="Cambria Math" w:cs="Times New Roman"/>
                                <w:i/>
                                <w:sz w:val="24"/>
                                <w:szCs w:val="24"/>
                              </w:rPr>
                            </m:ctrlPr>
                          </m:mPr>
                          <m:mr>
                            <m:e>
                              <m:r>
                                <w:rPr>
                                  <w:rFonts w:ascii="Cambria Math" w:hAnsi="Cambria Math" w:cs="Times New Roman"/>
                                  <w:sz w:val="24"/>
                                  <w:szCs w:val="24"/>
                                </w:rPr>
                                <m:t>0.10*(</m:t>
                              </m:r>
                              <m:r>
                                <m:rPr>
                                  <m:sty m:val="p"/>
                                </m:rPr>
                                <w:rPr>
                                  <w:rFonts w:ascii="Cambria Math" w:hAnsi="Cambria Math" w:cs="Times New Roman"/>
                                  <w:sz w:val="24"/>
                                  <w:szCs w:val="24"/>
                                </w:rPr>
                                <m:t>N</m:t>
                              </m:r>
                              <m:r>
                                <w:rPr>
                                  <w:rFonts w:ascii="Cambria Math" w:hAnsi="Cambria Math" w:cs="Times New Roman"/>
                                  <w:sz w:val="24"/>
                                  <w:szCs w:val="24"/>
                                </w:rPr>
                                <m:t>/</m:t>
                              </m:r>
                              <m:r>
                                <m:rPr>
                                  <m:sty m:val="p"/>
                                </m:rPr>
                                <w:rPr>
                                  <w:rFonts w:ascii="Cambria Math" w:hAnsi="Cambria Math" w:cs="Times New Roman"/>
                                  <w:sz w:val="24"/>
                                  <w:szCs w:val="24"/>
                                </w:rPr>
                                <m:t>A</m:t>
                              </m:r>
                              <m:r>
                                <w:rPr>
                                  <w:rFonts w:ascii="Cambria Math" w:hAnsi="Cambria Math" w:cs="Times New Roman"/>
                                  <w:sz w:val="24"/>
                                  <w:szCs w:val="24"/>
                                </w:rPr>
                                <m:t>)</m:t>
                              </m:r>
                            </m:e>
                          </m:mr>
                          <m:mr>
                            <m:e>
                              <m:r>
                                <w:rPr>
                                  <w:rFonts w:ascii="Cambria Math" w:hAnsi="Cambria Math" w:cs="Times New Roman"/>
                                  <w:sz w:val="24"/>
                                  <w:szCs w:val="24"/>
                                </w:rPr>
                                <m:t>0.10</m:t>
                              </m:r>
                            </m:e>
                          </m:mr>
                        </m:m>
                      </m:e>
                    </m:mr>
                    <m:mr>
                      <m:e>
                        <m:r>
                          <w:rPr>
                            <w:rFonts w:ascii="Cambria Math" w:hAnsi="Cambria Math" w:cs="Times New Roman"/>
                            <w:sz w:val="24"/>
                            <w:szCs w:val="24"/>
                          </w:rPr>
                          <m:t>0.10+(0.15*((</m:t>
                        </m:r>
                        <m:r>
                          <m:rPr>
                            <m:sty m:val="p"/>
                          </m:rPr>
                          <w:rPr>
                            <w:rFonts w:ascii="Cambria Math" w:hAnsi="Cambria Math" w:cs="Times New Roman"/>
                            <w:sz w:val="24"/>
                            <w:szCs w:val="24"/>
                          </w:rPr>
                          <m:t>N-MSST</m:t>
                        </m:r>
                        <m:r>
                          <w:rPr>
                            <w:rFonts w:ascii="Cambria Math" w:hAnsi="Cambria Math" w:cs="Times New Roman"/>
                            <w:sz w:val="24"/>
                            <w:szCs w:val="24"/>
                          </w:rPr>
                          <m:t>)/(</m:t>
                        </m:r>
                        <m:r>
                          <m:rPr>
                            <m:sty m:val="p"/>
                          </m:rPr>
                          <w:rPr>
                            <w:rFonts w:ascii="Cambria Math" w:hAnsi="Cambria Math" w:cs="Times New Roman"/>
                            <w:sz w:val="24"/>
                            <w:szCs w:val="24"/>
                          </w:rPr>
                          <m:t>B-MSST</m:t>
                        </m:r>
                        <m:r>
                          <w:rPr>
                            <w:rFonts w:ascii="Cambria Math" w:hAnsi="Cambria Math" w:cs="Times New Roman"/>
                            <w:sz w:val="24"/>
                            <w:szCs w:val="24"/>
                          </w:rPr>
                          <m:t>)))</m:t>
                        </m:r>
                      </m:e>
                    </m:mr>
                    <m:mr>
                      <m:e>
                        <m:m>
                          <m:mPr>
                            <m:mcs>
                              <m:mc>
                                <m:mcPr>
                                  <m:count m:val="1"/>
                                  <m:mcJc m:val="left"/>
                                </m:mcPr>
                              </m:mc>
                            </m:mcs>
                            <m:ctrlPr>
                              <w:rPr>
                                <w:rFonts w:ascii="Cambria Math" w:hAnsi="Cambria Math" w:cs="Times New Roman"/>
                                <w:i/>
                                <w:sz w:val="24"/>
                                <w:szCs w:val="24"/>
                              </w:rPr>
                            </m:ctrlPr>
                          </m:mPr>
                          <m:mr>
                            <m:e>
                              <m:r>
                                <w:rPr>
                                  <w:rFonts w:ascii="Cambria Math" w:hAnsi="Cambria Math" w:cs="Times New Roman"/>
                                  <w:sz w:val="24"/>
                                  <w:szCs w:val="24"/>
                                </w:rPr>
                                <m:t>0.25</m:t>
                              </m:r>
                            </m:e>
                          </m:mr>
                          <m:mr>
                            <m:e>
                              <m:r>
                                <w:rPr>
                                  <w:rFonts w:ascii="Cambria Math" w:hAnsi="Cambria Math" w:cs="Times New Roman"/>
                                  <w:sz w:val="24"/>
                                  <w:szCs w:val="24"/>
                                </w:rPr>
                                <m:t>(</m:t>
                              </m:r>
                              <m:r>
                                <m:rPr>
                                  <m:sty m:val="p"/>
                                </m:rPr>
                                <w:rPr>
                                  <w:rFonts w:ascii="Cambria Math" w:hAnsi="Cambria Math" w:cs="Times New Roman"/>
                                  <w:sz w:val="24"/>
                                  <w:szCs w:val="24"/>
                                </w:rPr>
                                <m:t>N-</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MSY</m:t>
                                  </m:r>
                                </m:sub>
                              </m:sSub>
                              <m:r>
                                <w:rPr>
                                  <w:rFonts w:ascii="Cambria Math" w:hAnsi="Cambria Math" w:cs="Times New Roman"/>
                                  <w:sz w:val="24"/>
                                  <w:szCs w:val="24"/>
                                </w:rPr>
                                <m:t>)/</m:t>
                              </m:r>
                              <m:r>
                                <m:rPr>
                                  <m:sty m:val="p"/>
                                </m:rPr>
                                <w:rPr>
                                  <w:rFonts w:ascii="Cambria Math" w:hAnsi="Cambria Math" w:cs="Times New Roman"/>
                                  <w:sz w:val="24"/>
                                  <w:szCs w:val="24"/>
                                </w:rPr>
                                <m:t>N</m:t>
                              </m:r>
                            </m:e>
                          </m:mr>
                          <m:mr>
                            <m:e>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ABC</m:t>
                                  </m:r>
                                </m:sub>
                              </m:sSub>
                            </m:e>
                          </m:mr>
                        </m:m>
                      </m:e>
                    </m:mr>
                  </m:m>
                </m:e>
              </m:d>
            </m:oMath>
            <w:r>
              <w:rPr>
                <w:rFonts w:ascii="Times New Roman" w:hAnsi="Times New Roman" w:cs="Times New Roman"/>
                <w:sz w:val="24"/>
                <w:szCs w:val="24"/>
              </w:rPr>
              <w:t xml:space="preserve"> </w:t>
            </w:r>
          </w:p>
        </w:tc>
        <w:tc>
          <w:tcPr>
            <w:tcW w:w="543" w:type="dxa"/>
            <w:gridSpan w:val="2"/>
            <w:vAlign w:val="center"/>
          </w:tcPr>
          <w:p w14:paraId="191C9E19" w14:textId="7C4AF245" w:rsidR="004677FF"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p w14:paraId="191B9C4D" w14:textId="64FD6ECB" w:rsidR="00F01335"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p w14:paraId="7385658E" w14:textId="5D9297EE" w:rsidR="00F01335"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p w14:paraId="7ABB0840" w14:textId="0BA16A9A" w:rsidR="00F01335"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p w14:paraId="3BD5F464" w14:textId="2B95CF89" w:rsidR="00F01335"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p w14:paraId="0A1CB6D5" w14:textId="2AB03DCA" w:rsidR="00F01335" w:rsidRDefault="00D70AE7" w:rsidP="006822A6">
            <w:pPr>
              <w:rPr>
                <w:rFonts w:ascii="Times New Roman" w:hAnsi="Times New Roman" w:cs="Times New Roman"/>
                <w:sz w:val="24"/>
                <w:szCs w:val="24"/>
              </w:rPr>
            </w:pPr>
            <w:r>
              <w:rPr>
                <w:rFonts w:ascii="Times New Roman" w:hAnsi="Times New Roman" w:cs="Times New Roman"/>
                <w:sz w:val="24"/>
                <w:szCs w:val="24"/>
              </w:rPr>
              <w:t>i</w:t>
            </w:r>
            <w:r w:rsidR="00F01335">
              <w:rPr>
                <w:rFonts w:ascii="Times New Roman" w:hAnsi="Times New Roman" w:cs="Times New Roman"/>
                <w:sz w:val="24"/>
                <w:szCs w:val="24"/>
              </w:rPr>
              <w:t>f</w:t>
            </w:r>
          </w:p>
        </w:tc>
        <w:tc>
          <w:tcPr>
            <w:tcW w:w="2875" w:type="dxa"/>
            <w:vAlign w:val="center"/>
          </w:tcPr>
          <w:p w14:paraId="0A9ECDA4" w14:textId="656DD2BA" w:rsidR="004677FF" w:rsidRDefault="00000000" w:rsidP="004677FF">
            <w:pPr>
              <w:rPr>
                <w:rFonts w:ascii="Times New Roman"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r>
                      <m:rPr>
                        <m:sty m:val="p"/>
                      </m:rPr>
                      <w:rPr>
                        <w:rFonts w:ascii="Cambria Math" w:hAnsi="Cambria Math" w:cs="Times New Roman"/>
                        <w:sz w:val="24"/>
                        <w:szCs w:val="24"/>
                      </w:rPr>
                      <m:t>0≤N≤A</m:t>
                    </m:r>
                  </m:e>
                </m:mr>
                <m:mr>
                  <m:e>
                    <m:r>
                      <m:rPr>
                        <m:sty m:val="p"/>
                      </m:rPr>
                      <w:rPr>
                        <w:rFonts w:ascii="Cambria Math" w:hAnsi="Cambria Math" w:cs="Times New Roman"/>
                        <w:sz w:val="24"/>
                        <w:szCs w:val="24"/>
                      </w:rPr>
                      <m:t>A&lt;N≤MSST</m:t>
                    </m:r>
                  </m:e>
                </m:mr>
                <m:mr>
                  <m:e>
                    <m:m>
                      <m:mPr>
                        <m:mcs>
                          <m:mc>
                            <m:mcPr>
                              <m:count m:val="1"/>
                              <m:mcJc m:val="center"/>
                            </m:mcPr>
                          </m:mc>
                        </m:mcs>
                        <m:ctrlPr>
                          <w:rPr>
                            <w:rFonts w:ascii="Cambria Math" w:hAnsi="Cambria Math" w:cs="Times New Roman"/>
                            <w:i/>
                            <w:sz w:val="24"/>
                            <w:szCs w:val="24"/>
                          </w:rPr>
                        </m:ctrlPr>
                      </m:mPr>
                      <m:mr>
                        <m:e>
                          <m:r>
                            <m:rPr>
                              <m:sty m:val="p"/>
                            </m:rPr>
                            <w:rPr>
                              <w:rFonts w:ascii="Cambria Math" w:hAnsi="Cambria Math" w:cs="Times New Roman"/>
                              <w:sz w:val="24"/>
                              <w:szCs w:val="24"/>
                            </w:rPr>
                            <m:t>MSST&lt;N≤B</m:t>
                          </m:r>
                        </m:e>
                      </m:mr>
                      <m:mr>
                        <m:e>
                          <m:r>
                            <m:rPr>
                              <m:sty m:val="p"/>
                            </m:rPr>
                            <w:rPr>
                              <w:rFonts w:ascii="Cambria Math" w:hAnsi="Cambria Math" w:cs="Times New Roman"/>
                              <w:sz w:val="24"/>
                              <w:szCs w:val="24"/>
                            </w:rPr>
                            <m:t>B&lt;N≤C</m:t>
                          </m:r>
                        </m:e>
                      </m:mr>
                      <m:mr>
                        <m:e>
                          <m:m>
                            <m:mPr>
                              <m:mcs>
                                <m:mc>
                                  <m:mcPr>
                                    <m:count m:val="1"/>
                                    <m:mcJc m:val="center"/>
                                  </m:mcPr>
                                </m:mc>
                              </m:mcs>
                              <m:ctrlPr>
                                <w:rPr>
                                  <w:rFonts w:ascii="Cambria Math" w:hAnsi="Cambria Math" w:cs="Times New Roman"/>
                                  <w:i/>
                                  <w:sz w:val="24"/>
                                  <w:szCs w:val="24"/>
                                </w:rPr>
                              </m:ctrlPr>
                            </m:mPr>
                            <m:mr>
                              <m:e>
                                <m:r>
                                  <m:rPr>
                                    <m:sty m:val="p"/>
                                  </m:rPr>
                                  <w:rPr>
                                    <w:rFonts w:ascii="Cambria Math" w:hAnsi="Cambria Math" w:cs="Times New Roman"/>
                                    <w:sz w:val="24"/>
                                    <w:szCs w:val="24"/>
                                  </w:rPr>
                                  <m:t>C&lt;N≤D</m:t>
                                </m:r>
                              </m:e>
                            </m:mr>
                            <m:mr>
                              <m:e>
                                <m:r>
                                  <m:rPr>
                                    <m:sty m:val="p"/>
                                  </m:rPr>
                                  <w:rPr>
                                    <w:rFonts w:ascii="Cambria Math" w:hAnsi="Cambria Math" w:cs="Times New Roman"/>
                                    <w:sz w:val="24"/>
                                    <w:szCs w:val="24"/>
                                  </w:rPr>
                                  <m:t>D&lt;N</m:t>
                                </m:r>
                              </m:e>
                            </m:mr>
                          </m:m>
                        </m:e>
                      </m:mr>
                    </m:m>
                  </m:e>
                </m:mr>
              </m:m>
            </m:oMath>
            <w:r w:rsidR="00565F17">
              <w:rPr>
                <w:rFonts w:ascii="Times New Roman" w:hAnsi="Times New Roman" w:cs="Times New Roman"/>
                <w:sz w:val="24"/>
                <w:szCs w:val="24"/>
              </w:rPr>
              <w:t xml:space="preserve"> </w:t>
            </w:r>
          </w:p>
        </w:tc>
      </w:tr>
    </w:tbl>
    <w:p w14:paraId="75516D3E" w14:textId="41A63F9F" w:rsidR="00730DF8" w:rsidRPr="00730DF8" w:rsidRDefault="00730DF8" w:rsidP="00730DF8">
      <w:pPr>
        <w:rPr>
          <w:rFonts w:ascii="Times New Roman" w:hAnsi="Times New Roman" w:cs="Times New Roman"/>
          <w:sz w:val="24"/>
          <w:szCs w:val="24"/>
        </w:rPr>
      </w:pPr>
    </w:p>
    <w:p w14:paraId="21B46458" w14:textId="21E38B22" w:rsidR="008A1B3E" w:rsidRDefault="00E9742F" w:rsidP="007A1F53">
      <w:pPr>
        <w:pageBreakBefore/>
        <w:rPr>
          <w:rFonts w:ascii="Times New Roman" w:hAnsi="Times New Roman" w:cs="Times New Roman"/>
          <w:color w:val="000000"/>
          <w:sz w:val="24"/>
          <w:szCs w:val="24"/>
        </w:rPr>
      </w:pPr>
      <w:r>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4A2AB9FE" wp14:editId="1D455CB6">
            <wp:simplePos x="0" y="0"/>
            <wp:positionH relativeFrom="margin">
              <wp:align>center</wp:align>
            </wp:positionH>
            <wp:positionV relativeFrom="paragraph">
              <wp:posOffset>526</wp:posOffset>
            </wp:positionV>
            <wp:extent cx="5943600" cy="4457700"/>
            <wp:effectExtent l="0" t="0" r="0" b="0"/>
            <wp:wrapTopAndBottom/>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rsidR="008A1B3E">
        <w:rPr>
          <w:rFonts w:ascii="Times New Roman" w:hAnsi="Times New Roman" w:cs="Times New Roman"/>
          <w:b/>
          <w:bCs/>
          <w:sz w:val="24"/>
          <w:szCs w:val="24"/>
        </w:rPr>
        <w:t>Figure S1.</w:t>
      </w:r>
      <w:r w:rsidR="008A1B3E" w:rsidRPr="008A1B3E">
        <w:rPr>
          <w:rFonts w:ascii="Times New Roman" w:hAnsi="Times New Roman" w:cs="Times New Roman"/>
          <w:sz w:val="24"/>
          <w:szCs w:val="24"/>
        </w:rPr>
        <w:t xml:space="preserve"> </w:t>
      </w:r>
      <w:r w:rsidR="008A1B3E" w:rsidRPr="008A1B3E">
        <w:rPr>
          <w:rFonts w:ascii="Times New Roman" w:hAnsi="Times New Roman" w:cs="Times New Roman"/>
          <w:color w:val="000000"/>
          <w:sz w:val="24"/>
          <w:szCs w:val="24"/>
        </w:rPr>
        <w:t>Life cycle diagram of Sacramento River fall Chinook. Circles represent state variables structured by origin (natural in the top row and hatchery in the bottom row), sex (females on the left and males on the right), maturation stage (</w:t>
      </w:r>
      <w:r w:rsidR="008A1B3E" w:rsidRPr="008A1B3E">
        <w:rPr>
          <w:rFonts w:ascii="Times New Roman" w:hAnsi="Times New Roman" w:cs="Times New Roman"/>
          <w:i/>
          <w:iCs/>
          <w:color w:val="000000"/>
          <w:sz w:val="24"/>
          <w:szCs w:val="24"/>
        </w:rPr>
        <w:t>O</w:t>
      </w:r>
      <w:r w:rsidR="008A1B3E" w:rsidRPr="008A1B3E">
        <w:rPr>
          <w:rFonts w:ascii="Times New Roman" w:hAnsi="Times New Roman" w:cs="Times New Roman"/>
          <w:color w:val="000000"/>
          <w:sz w:val="24"/>
          <w:szCs w:val="24"/>
        </w:rPr>
        <w:t xml:space="preserve"> represents immature ocean fish and </w:t>
      </w:r>
      <w:r w:rsidR="008A1B3E" w:rsidRPr="008A1B3E">
        <w:rPr>
          <w:rFonts w:ascii="Times New Roman" w:hAnsi="Times New Roman" w:cs="Times New Roman"/>
          <w:i/>
          <w:iCs/>
          <w:color w:val="000000"/>
          <w:sz w:val="24"/>
          <w:szCs w:val="24"/>
        </w:rPr>
        <w:t>S</w:t>
      </w:r>
      <w:r w:rsidR="008A1B3E" w:rsidRPr="008A1B3E">
        <w:rPr>
          <w:rFonts w:ascii="Times New Roman" w:hAnsi="Times New Roman" w:cs="Times New Roman"/>
          <w:color w:val="000000"/>
          <w:sz w:val="24"/>
          <w:szCs w:val="24"/>
        </w:rPr>
        <w:t xml:space="preserve"> represents mature spawners), and age (subscripts). The first life stages are represented by </w:t>
      </w:r>
      <w:r w:rsidR="008A1B3E" w:rsidRPr="008A1B3E">
        <w:rPr>
          <w:rFonts w:ascii="Times New Roman" w:hAnsi="Times New Roman" w:cs="Times New Roman"/>
          <w:i/>
          <w:iCs/>
          <w:color w:val="000000"/>
          <w:sz w:val="24"/>
          <w:szCs w:val="24"/>
        </w:rPr>
        <w:t xml:space="preserve">J </w:t>
      </w:r>
      <w:r w:rsidR="008A1B3E" w:rsidRPr="008A1B3E">
        <w:rPr>
          <w:rFonts w:ascii="Times New Roman" w:hAnsi="Times New Roman" w:cs="Times New Roman"/>
          <w:color w:val="000000"/>
          <w:sz w:val="24"/>
          <w:szCs w:val="24"/>
        </w:rPr>
        <w:t xml:space="preserve">and </w:t>
      </w:r>
      <w:r w:rsidR="008A1B3E" w:rsidRPr="008A1B3E">
        <w:rPr>
          <w:rFonts w:ascii="Times New Roman" w:hAnsi="Times New Roman" w:cs="Times New Roman"/>
          <w:i/>
          <w:iCs/>
          <w:color w:val="000000"/>
          <w:sz w:val="24"/>
          <w:szCs w:val="24"/>
        </w:rPr>
        <w:t>P</w:t>
      </w:r>
      <w:r w:rsidR="008A1B3E" w:rsidRPr="008A1B3E">
        <w:rPr>
          <w:rFonts w:ascii="Times New Roman" w:hAnsi="Times New Roman" w:cs="Times New Roman"/>
          <w:color w:val="000000"/>
          <w:sz w:val="24"/>
          <w:szCs w:val="24"/>
        </w:rPr>
        <w:t>, which indicate natural-origin fry and hatchery-origin smolts, respectively.</w:t>
      </w:r>
      <w:r w:rsidR="00C4789E">
        <w:rPr>
          <w:rFonts w:ascii="Times New Roman" w:hAnsi="Times New Roman" w:cs="Times New Roman"/>
          <w:color w:val="000000"/>
          <w:sz w:val="24"/>
          <w:szCs w:val="24"/>
        </w:rPr>
        <w:t xml:space="preserve"> Patterns and shading indicate which variables and processes in </w:t>
      </w:r>
      <w:proofErr w:type="spellStart"/>
      <w:r w:rsidR="00C4789E">
        <w:rPr>
          <w:rFonts w:ascii="Times New Roman" w:hAnsi="Times New Roman" w:cs="Times New Roman"/>
          <w:color w:val="000000"/>
          <w:sz w:val="24"/>
          <w:szCs w:val="24"/>
        </w:rPr>
        <w:t>submodels</w:t>
      </w:r>
      <w:proofErr w:type="spellEnd"/>
      <w:r w:rsidR="00C4789E">
        <w:rPr>
          <w:rFonts w:ascii="Times New Roman" w:hAnsi="Times New Roman" w:cs="Times New Roman"/>
          <w:color w:val="000000"/>
          <w:sz w:val="24"/>
          <w:szCs w:val="24"/>
        </w:rPr>
        <w:t xml:space="preserve"> (a). Also, the timing of </w:t>
      </w:r>
      <w:proofErr w:type="spellStart"/>
      <w:r w:rsidR="00C4789E">
        <w:rPr>
          <w:rFonts w:ascii="Times New Roman" w:hAnsi="Times New Roman" w:cs="Times New Roman"/>
          <w:color w:val="000000"/>
          <w:sz w:val="24"/>
          <w:szCs w:val="24"/>
        </w:rPr>
        <w:t>submodel</w:t>
      </w:r>
      <w:proofErr w:type="spellEnd"/>
      <w:r w:rsidR="00C4789E">
        <w:rPr>
          <w:rFonts w:ascii="Times New Roman" w:hAnsi="Times New Roman" w:cs="Times New Roman"/>
          <w:color w:val="000000"/>
          <w:sz w:val="24"/>
          <w:szCs w:val="24"/>
        </w:rPr>
        <w:t xml:space="preserve"> implementation for a single timestep is shown and related to equations in the Table 1 (b).</w:t>
      </w:r>
    </w:p>
    <w:p w14:paraId="6F16877A" w14:textId="66CDC76A" w:rsidR="00E01BE5" w:rsidRDefault="005247BF" w:rsidP="001C2C9E">
      <w:pPr>
        <w:pageBreakBefore/>
        <w:rPr>
          <w:rFonts w:ascii="Times New Roman" w:hAnsi="Times New Roman" w:cs="Times New Roman"/>
          <w:color w:val="000000"/>
          <w:sz w:val="24"/>
          <w:szCs w:val="24"/>
        </w:rPr>
      </w:pPr>
      <w:r>
        <w:rPr>
          <w:rFonts w:ascii="Times New Roman" w:hAnsi="Times New Roman" w:cs="Times New Roman"/>
          <w:b/>
          <w:bCs/>
          <w:noProof/>
          <w:sz w:val="24"/>
          <w:szCs w:val="24"/>
        </w:rPr>
        <w:lastRenderedPageBreak/>
        <w:drawing>
          <wp:anchor distT="0" distB="0" distL="114300" distR="114300" simplePos="0" relativeHeight="251672576" behindDoc="0" locked="0" layoutInCell="1" allowOverlap="1" wp14:anchorId="0DAB1628" wp14:editId="2EAF3CDA">
            <wp:simplePos x="0" y="0"/>
            <wp:positionH relativeFrom="column">
              <wp:posOffset>0</wp:posOffset>
            </wp:positionH>
            <wp:positionV relativeFrom="paragraph">
              <wp:posOffset>0</wp:posOffset>
            </wp:positionV>
            <wp:extent cx="5943600" cy="7323455"/>
            <wp:effectExtent l="0" t="0" r="0" b="0"/>
            <wp:wrapTopAndBottom/>
            <wp:docPr id="15" name="Picture 15"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323455"/>
                    </a:xfrm>
                    <a:prstGeom prst="rect">
                      <a:avLst/>
                    </a:prstGeom>
                  </pic:spPr>
                </pic:pic>
              </a:graphicData>
            </a:graphic>
          </wp:anchor>
        </w:drawing>
      </w:r>
      <w:r w:rsidR="007D40B1">
        <w:rPr>
          <w:rFonts w:ascii="Times New Roman" w:hAnsi="Times New Roman" w:cs="Times New Roman"/>
          <w:b/>
          <w:bCs/>
          <w:sz w:val="24"/>
          <w:szCs w:val="24"/>
        </w:rPr>
        <w:t xml:space="preserve">Figure S2. </w:t>
      </w:r>
      <w:r w:rsidR="007D40B1" w:rsidRPr="007D40B1">
        <w:rPr>
          <w:rFonts w:ascii="Times New Roman" w:hAnsi="Times New Roman" w:cs="Times New Roman"/>
          <w:color w:val="000000"/>
          <w:sz w:val="24"/>
          <w:szCs w:val="24"/>
        </w:rPr>
        <w:t xml:space="preserve">Empirical values for fisheries harvest (a; </w:t>
      </w:r>
      <w:r w:rsidR="005F0520">
        <w:rPr>
          <w:rFonts w:ascii="Times New Roman" w:hAnsi="Times New Roman" w:cs="Times New Roman"/>
          <w:color w:val="000000"/>
          <w:sz w:val="24"/>
          <w:szCs w:val="24"/>
        </w:rPr>
        <w:fldChar w:fldCharType="begin"/>
      </w:r>
      <w:r w:rsidR="00551C5C">
        <w:rPr>
          <w:rFonts w:ascii="Times New Roman" w:hAnsi="Times New Roman" w:cs="Times New Roman"/>
          <w:color w:val="000000"/>
          <w:sz w:val="24"/>
          <w:szCs w:val="24"/>
        </w:rPr>
        <w:instrText xml:space="preserve"> ADDIN ZOTERO_ITEM CSL_CITATION {"citationID":"2pswJZ6d","properties":{"formattedCitation":"(Pacific Fisheries Management Council 2021)","plainCitation":"(Pacific Fisheries Management Council 2021)","dontUpdate":true,"noteIndex":0},"citationItems":[{"id":1012,"uris":["http://zotero.org/users/7442514/items/JKMUD63R"],"itemData":{"id":1012,"type":"report","event-place":"7700 NE Ambassador Place, Suite 101, Portland, Oregon 97220-1384","language":"en","publisher":"Pacific Fishery Management Council","publisher-place":"7700 NE Ambassador Place, Suite 101, Portland, Oregon 97220-1384","source":"Zotero","title":"Preseason report I: stock abundance analysis and environmental assessment part 1 for 2021 ocean salmon fishery regulations","author":[{"family":"Pacific Fisheries Management Council","given":""}],"issued":{"date-parts":[["2021"]]}}}],"schema":"https://github.com/citation-style-language/schema/raw/master/csl-citation.json"} </w:instrText>
      </w:r>
      <w:r w:rsidR="005F0520">
        <w:rPr>
          <w:rFonts w:ascii="Times New Roman" w:hAnsi="Times New Roman" w:cs="Times New Roman"/>
          <w:color w:val="000000"/>
          <w:sz w:val="24"/>
          <w:szCs w:val="24"/>
        </w:rPr>
        <w:fldChar w:fldCharType="separate"/>
      </w:r>
      <w:r w:rsidR="00CA0B51" w:rsidRPr="00CA0B51">
        <w:rPr>
          <w:rFonts w:ascii="Times New Roman" w:hAnsi="Times New Roman" w:cs="Times New Roman"/>
          <w:sz w:val="24"/>
        </w:rPr>
        <w:t>P</w:t>
      </w:r>
      <w:r w:rsidR="00435464">
        <w:rPr>
          <w:rFonts w:ascii="Times New Roman" w:hAnsi="Times New Roman" w:cs="Times New Roman"/>
          <w:sz w:val="24"/>
        </w:rPr>
        <w:t>FMC</w:t>
      </w:r>
      <w:r w:rsidR="00CA0B51" w:rsidRPr="00CA0B51">
        <w:rPr>
          <w:rFonts w:ascii="Times New Roman" w:hAnsi="Times New Roman" w:cs="Times New Roman"/>
          <w:sz w:val="24"/>
        </w:rPr>
        <w:t xml:space="preserve"> 2021)</w:t>
      </w:r>
      <w:r w:rsidR="005F0520">
        <w:rPr>
          <w:rFonts w:ascii="Times New Roman" w:hAnsi="Times New Roman" w:cs="Times New Roman"/>
          <w:color w:val="000000"/>
          <w:sz w:val="24"/>
          <w:szCs w:val="24"/>
        </w:rPr>
        <w:fldChar w:fldCharType="end"/>
      </w:r>
      <w:r w:rsidR="007D40B1" w:rsidRPr="007D40B1">
        <w:rPr>
          <w:rFonts w:ascii="Times New Roman" w:hAnsi="Times New Roman" w:cs="Times New Roman"/>
          <w:color w:val="000000"/>
          <w:sz w:val="24"/>
          <w:szCs w:val="24"/>
        </w:rPr>
        <w:t>, estimated spawner escapement (b; PFMC</w:t>
      </w:r>
      <w:r w:rsidR="00A130CD">
        <w:rPr>
          <w:rFonts w:ascii="Times New Roman" w:hAnsi="Times New Roman" w:cs="Times New Roman"/>
          <w:color w:val="000000"/>
          <w:sz w:val="24"/>
          <w:szCs w:val="24"/>
        </w:rPr>
        <w:t>,</w:t>
      </w:r>
      <w:r w:rsidR="007D40B1" w:rsidRPr="007D40B1">
        <w:rPr>
          <w:rFonts w:ascii="Times New Roman" w:hAnsi="Times New Roman" w:cs="Times New Roman"/>
          <w:color w:val="000000"/>
          <w:sz w:val="24"/>
          <w:szCs w:val="24"/>
        </w:rPr>
        <w:t xml:space="preserve"> 202</w:t>
      </w:r>
      <w:r w:rsidR="00233582">
        <w:rPr>
          <w:rFonts w:ascii="Times New Roman" w:hAnsi="Times New Roman" w:cs="Times New Roman"/>
          <w:color w:val="000000"/>
          <w:sz w:val="24"/>
          <w:szCs w:val="24"/>
        </w:rPr>
        <w:t>1</w:t>
      </w:r>
      <w:r w:rsidR="007D40B1" w:rsidRPr="007D40B1">
        <w:rPr>
          <w:rFonts w:ascii="Times New Roman" w:hAnsi="Times New Roman" w:cs="Times New Roman"/>
          <w:color w:val="000000"/>
          <w:sz w:val="24"/>
          <w:szCs w:val="24"/>
        </w:rPr>
        <w:t xml:space="preserve">), number of hatchery fish released (c; </w:t>
      </w:r>
      <w:r w:rsidR="00596E85">
        <w:rPr>
          <w:rFonts w:ascii="Times New Roman" w:hAnsi="Times New Roman" w:cs="Times New Roman"/>
          <w:color w:val="000000"/>
          <w:sz w:val="24"/>
          <w:szCs w:val="24"/>
        </w:rPr>
        <w:fldChar w:fldCharType="begin"/>
      </w:r>
      <w:r w:rsidR="00C95B68">
        <w:rPr>
          <w:rFonts w:ascii="Times New Roman" w:hAnsi="Times New Roman" w:cs="Times New Roman"/>
          <w:color w:val="000000"/>
          <w:sz w:val="24"/>
          <w:szCs w:val="24"/>
        </w:rPr>
        <w:instrText xml:space="preserve"> ADDIN ZOTERO_ITEM CSL_CITATION {"citationID":"J1H0xNYb","properties":{"formattedCitation":"(Huber and Carlson 2015)","plainCitation":"(Huber and Carlson 2015)","noteIndex":0},"citationItems":[{"id":362,"uris":["http://zotero.org/users/7442514/items/SBI7Q37E"],"itemData":{"id":362,"type":"article-journal","container-title":"San Francisco Estuary and Watershed Science","issue":"2","source":"Google Scholar","title":"Temporal trends in hatchery releases of fall-run Chinook salmon in California's Central Valley","volume":"13","author":[{"family":"Huber","given":"Eric R."},{"family":"Carlson","given":"Stephanie M."}],"issued":{"date-parts":[["2015"]]}}}],"schema":"https://github.com/citation-style-language/schema/raw/master/csl-citation.json"} </w:instrText>
      </w:r>
      <w:r w:rsidR="00596E85">
        <w:rPr>
          <w:rFonts w:ascii="Times New Roman" w:hAnsi="Times New Roman" w:cs="Times New Roman"/>
          <w:color w:val="000000"/>
          <w:sz w:val="24"/>
          <w:szCs w:val="24"/>
        </w:rPr>
        <w:fldChar w:fldCharType="separate"/>
      </w:r>
      <w:r w:rsidR="00C95B68" w:rsidRPr="00C95B68">
        <w:rPr>
          <w:rFonts w:ascii="Times New Roman" w:hAnsi="Times New Roman" w:cs="Times New Roman"/>
          <w:sz w:val="24"/>
        </w:rPr>
        <w:t>Huber and Carlson 2015)</w:t>
      </w:r>
      <w:r w:rsidR="00596E85">
        <w:rPr>
          <w:rFonts w:ascii="Times New Roman" w:hAnsi="Times New Roman" w:cs="Times New Roman"/>
          <w:color w:val="000000"/>
          <w:sz w:val="24"/>
          <w:szCs w:val="24"/>
        </w:rPr>
        <w:fldChar w:fldCharType="end"/>
      </w:r>
      <w:r w:rsidR="007D40B1" w:rsidRPr="007D40B1">
        <w:rPr>
          <w:rFonts w:ascii="Times New Roman" w:hAnsi="Times New Roman" w:cs="Times New Roman"/>
          <w:color w:val="000000"/>
          <w:sz w:val="24"/>
          <w:szCs w:val="24"/>
        </w:rPr>
        <w:t>, flow (</w:t>
      </w:r>
      <w:proofErr w:type="spellStart"/>
      <w:r w:rsidR="007D40B1" w:rsidRPr="007D40B1">
        <w:rPr>
          <w:rFonts w:ascii="Times New Roman" w:hAnsi="Times New Roman" w:cs="Times New Roman"/>
          <w:color w:val="000000"/>
          <w:sz w:val="24"/>
          <w:szCs w:val="24"/>
        </w:rPr>
        <w:t>cfs</w:t>
      </w:r>
      <w:proofErr w:type="spellEnd"/>
      <w:r w:rsidR="007D40B1" w:rsidRPr="007D40B1">
        <w:rPr>
          <w:rFonts w:ascii="Times New Roman" w:hAnsi="Times New Roman" w:cs="Times New Roman"/>
          <w:color w:val="000000"/>
          <w:sz w:val="24"/>
          <w:szCs w:val="24"/>
        </w:rPr>
        <w:t xml:space="preserve">) at Wilkins Slough (d; USGS station number 11390500), and North Pacific Gyre Oscillation (e; </w:t>
      </w:r>
      <w:r w:rsidR="00FA1232">
        <w:rPr>
          <w:rFonts w:ascii="Times New Roman" w:hAnsi="Times New Roman" w:cs="Times New Roman"/>
          <w:color w:val="000000"/>
          <w:sz w:val="24"/>
          <w:szCs w:val="24"/>
        </w:rPr>
        <w:fldChar w:fldCharType="begin"/>
      </w:r>
      <w:r w:rsidR="00C95B68">
        <w:rPr>
          <w:rFonts w:ascii="Times New Roman" w:hAnsi="Times New Roman" w:cs="Times New Roman"/>
          <w:color w:val="000000"/>
          <w:sz w:val="24"/>
          <w:szCs w:val="24"/>
        </w:rPr>
        <w:instrText xml:space="preserve"> ADDIN ZOTERO_ITEM CSL_CITATION {"citationID":"8Tjp7LmW","properties":{"formattedCitation":"(Di Lorenzo et al. 2008)","plainCitation":"(Di Lorenzo et al. 2008)","noteIndex":0},"citationItems":[{"id":1020,"uris":["http://zotero.org/users/7442514/items/RPBA8BUW"],"itemData":{"id":1020,"type":"article-journal","container-title":"Geophysical Research Letters","DOI":"10.1029/2007GL032838","ISSN":"0094-8276","issue":"8","journalAbbreviation":"Geophys. Res. Lett.","language":"en","page":"L08607","source":"DOI.org (Crossref)","title":"North Pacific Gyre Oscillation links ocean climate and ecosystem change","volume":"35","author":[{"family":"Di Lorenzo","given":"E."},{"family":"Schneider","given":"N."},{"family":"Cobb","given":"K. M."},{"family":"Franks","given":"P. J. S."},{"family":"Chhak","given":"K."},{"family":"Miller","given":"A. J."},{"family":"McWilliams","given":"J. C."},{"family":"Bograd","given":"S. J."},{"family":"Arango","given":"H."},{"family":"Curchitser","given":"E."},{"family":"Powell","given":"T. M."},{"family":"Rivière","given":"P."}],"issued":{"date-parts":[["2008",4,30]]}}}],"schema":"https://github.com/citation-style-language/schema/raw/master/csl-citation.json"} </w:instrText>
      </w:r>
      <w:r w:rsidR="00FA1232">
        <w:rPr>
          <w:rFonts w:ascii="Times New Roman" w:hAnsi="Times New Roman" w:cs="Times New Roman"/>
          <w:color w:val="000000"/>
          <w:sz w:val="24"/>
          <w:szCs w:val="24"/>
        </w:rPr>
        <w:fldChar w:fldCharType="separate"/>
      </w:r>
      <w:r w:rsidR="00C95B68" w:rsidRPr="00C95B68">
        <w:rPr>
          <w:rFonts w:ascii="Times New Roman" w:hAnsi="Times New Roman" w:cs="Times New Roman"/>
          <w:sz w:val="24"/>
        </w:rPr>
        <w:t>Di Lorenzo et al. 2008)</w:t>
      </w:r>
      <w:r w:rsidR="00FA1232">
        <w:rPr>
          <w:rFonts w:ascii="Times New Roman" w:hAnsi="Times New Roman" w:cs="Times New Roman"/>
          <w:color w:val="000000"/>
          <w:sz w:val="24"/>
          <w:szCs w:val="24"/>
        </w:rPr>
        <w:fldChar w:fldCharType="end"/>
      </w:r>
      <w:r w:rsidR="007D40B1" w:rsidRPr="007D40B1">
        <w:rPr>
          <w:rFonts w:ascii="Times New Roman" w:hAnsi="Times New Roman" w:cs="Times New Roman"/>
          <w:color w:val="000000"/>
          <w:sz w:val="24"/>
          <w:szCs w:val="24"/>
        </w:rPr>
        <w:t>.</w:t>
      </w:r>
    </w:p>
    <w:p w14:paraId="5F872134" w14:textId="1EBEAB3C" w:rsidR="009A0357" w:rsidRDefault="00AF4001" w:rsidP="001C2C9E">
      <w:pPr>
        <w:pageBreakBefore/>
        <w:rPr>
          <w:rFonts w:ascii="Times New Roman" w:hAnsi="Times New Roman" w:cs="Times New Roman"/>
          <w:color w:val="000000"/>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0F69713E" wp14:editId="07A7E51E">
            <wp:simplePos x="0" y="0"/>
            <wp:positionH relativeFrom="column">
              <wp:posOffset>0</wp:posOffset>
            </wp:positionH>
            <wp:positionV relativeFrom="paragraph">
              <wp:posOffset>0</wp:posOffset>
            </wp:positionV>
            <wp:extent cx="5943600" cy="3286760"/>
            <wp:effectExtent l="0" t="0" r="0" b="8890"/>
            <wp:wrapTopAndBottom/>
            <wp:docPr id="3" name="Picture 3"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286760"/>
                    </a:xfrm>
                    <a:prstGeom prst="rect">
                      <a:avLst/>
                    </a:prstGeom>
                  </pic:spPr>
                </pic:pic>
              </a:graphicData>
            </a:graphic>
          </wp:anchor>
        </w:drawing>
      </w:r>
      <w:r>
        <w:rPr>
          <w:rFonts w:ascii="Times New Roman" w:hAnsi="Times New Roman" w:cs="Times New Roman"/>
          <w:b/>
          <w:bCs/>
          <w:sz w:val="24"/>
          <w:szCs w:val="24"/>
        </w:rPr>
        <w:t>Figure S3.</w:t>
      </w:r>
      <w:r>
        <w:rPr>
          <w:rFonts w:ascii="Times New Roman" w:hAnsi="Times New Roman" w:cs="Times New Roman"/>
          <w:sz w:val="24"/>
          <w:szCs w:val="24"/>
        </w:rPr>
        <w:t xml:space="preserve"> </w:t>
      </w:r>
      <w:r w:rsidRPr="00AF4001">
        <w:rPr>
          <w:rFonts w:ascii="Times New Roman" w:hAnsi="Times New Roman" w:cs="Times New Roman"/>
          <w:color w:val="000000"/>
          <w:sz w:val="24"/>
          <w:szCs w:val="24"/>
        </w:rPr>
        <w:t xml:space="preserve">Juvenile survival during freshwater </w:t>
      </w:r>
      <w:r>
        <w:rPr>
          <w:rFonts w:ascii="Times New Roman" w:hAnsi="Times New Roman" w:cs="Times New Roman"/>
          <w:color w:val="000000"/>
          <w:sz w:val="24"/>
          <w:szCs w:val="24"/>
        </w:rPr>
        <w:t>outmigration to the ocean</w:t>
      </w:r>
      <w:r w:rsidRPr="00AF4001">
        <w:rPr>
          <w:rFonts w:ascii="Times New Roman" w:hAnsi="Times New Roman" w:cs="Times New Roman"/>
          <w:color w:val="000000"/>
          <w:sz w:val="24"/>
          <w:szCs w:val="24"/>
        </w:rPr>
        <w:t xml:space="preserve"> as a function of flow at Wilkins Slough gauge (USGS station number 11390500). </w:t>
      </w:r>
      <w:r>
        <w:rPr>
          <w:rFonts w:ascii="Times New Roman" w:hAnsi="Times New Roman" w:cs="Times New Roman"/>
          <w:color w:val="000000"/>
          <w:sz w:val="24"/>
          <w:szCs w:val="24"/>
        </w:rPr>
        <w:t>The shaded r</w:t>
      </w:r>
      <w:r w:rsidR="00D05847">
        <w:rPr>
          <w:rFonts w:ascii="Times New Roman" w:hAnsi="Times New Roman" w:cs="Times New Roman"/>
          <w:color w:val="000000"/>
          <w:sz w:val="24"/>
          <w:szCs w:val="24"/>
        </w:rPr>
        <w:t>egions represent 95% confidence intervals.</w:t>
      </w:r>
      <w:r w:rsidR="00D83F0D">
        <w:rPr>
          <w:rFonts w:ascii="Times New Roman" w:hAnsi="Times New Roman" w:cs="Times New Roman"/>
          <w:color w:val="000000"/>
          <w:sz w:val="24"/>
          <w:szCs w:val="24"/>
        </w:rPr>
        <w:t xml:space="preserve"> </w:t>
      </w:r>
      <w:r w:rsidR="00D83F0D">
        <w:rPr>
          <w:rFonts w:ascii="Times New Roman" w:hAnsi="Times New Roman" w:cs="Times New Roman"/>
          <w:color w:val="000000"/>
          <w:sz w:val="24"/>
          <w:szCs w:val="24"/>
        </w:rPr>
        <w:t>See Table S1 for equations that generate this interpolated step function.</w:t>
      </w:r>
    </w:p>
    <w:p w14:paraId="1F108593" w14:textId="7494F161" w:rsidR="005F0520" w:rsidRDefault="005F0520" w:rsidP="001C2C9E">
      <w:pPr>
        <w:pageBreakBefore/>
        <w:rPr>
          <w:rFonts w:ascii="Times New Roman" w:hAnsi="Times New Roman" w:cs="Times New Roman"/>
          <w:color w:val="000000"/>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DDD79F0" wp14:editId="343AAEC5">
            <wp:simplePos x="0" y="0"/>
            <wp:positionH relativeFrom="column">
              <wp:posOffset>0</wp:posOffset>
            </wp:positionH>
            <wp:positionV relativeFrom="paragraph">
              <wp:posOffset>0</wp:posOffset>
            </wp:positionV>
            <wp:extent cx="5715798" cy="4763165"/>
            <wp:effectExtent l="0" t="0" r="0" b="0"/>
            <wp:wrapTopAndBottom/>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15798" cy="4763165"/>
                    </a:xfrm>
                    <a:prstGeom prst="rect">
                      <a:avLst/>
                    </a:prstGeom>
                  </pic:spPr>
                </pic:pic>
              </a:graphicData>
            </a:graphic>
          </wp:anchor>
        </w:drawing>
      </w:r>
      <w:r>
        <w:rPr>
          <w:rFonts w:ascii="Times New Roman" w:hAnsi="Times New Roman" w:cs="Times New Roman"/>
          <w:b/>
          <w:bCs/>
          <w:sz w:val="24"/>
          <w:szCs w:val="24"/>
        </w:rPr>
        <w:t>Figure S4.</w:t>
      </w:r>
      <w:r>
        <w:rPr>
          <w:rFonts w:ascii="Times New Roman" w:hAnsi="Times New Roman" w:cs="Times New Roman"/>
          <w:sz w:val="24"/>
          <w:szCs w:val="24"/>
        </w:rPr>
        <w:t xml:space="preserve"> </w:t>
      </w:r>
      <w:r w:rsidRPr="00014EED">
        <w:rPr>
          <w:rFonts w:ascii="Times New Roman" w:hAnsi="Times New Roman" w:cs="Times New Roman"/>
          <w:color w:val="000000"/>
          <w:sz w:val="24"/>
          <w:szCs w:val="24"/>
        </w:rPr>
        <w:t xml:space="preserve">Weighted mean distance between hatcheries and release sites </w:t>
      </w:r>
      <w:r w:rsidR="00014EED">
        <w:rPr>
          <w:rFonts w:ascii="Times New Roman" w:hAnsi="Times New Roman" w:cs="Times New Roman"/>
          <w:color w:val="000000"/>
          <w:sz w:val="24"/>
          <w:szCs w:val="24"/>
        </w:rPr>
        <w:fldChar w:fldCharType="begin"/>
      </w:r>
      <w:r w:rsidR="00C95B68">
        <w:rPr>
          <w:rFonts w:ascii="Times New Roman" w:hAnsi="Times New Roman" w:cs="Times New Roman"/>
          <w:color w:val="000000"/>
          <w:sz w:val="24"/>
          <w:szCs w:val="24"/>
        </w:rPr>
        <w:instrText xml:space="preserve"> ADDIN ZOTERO_ITEM CSL_CITATION {"citationID":"yIUgcejH","properties":{"formattedCitation":"(Sturrock et al. 2019)","plainCitation":"(Sturrock et al. 2019)","noteIndex":0},"citationItems":[{"id":1010,"uris":["http://zotero.org/users/7442514/items/NSS8US53"],"itemData":{"id":1010,"type":"article-journal","container-title":"Fisheries","DOI":"10.1002/fsh.10267","ISSN":"0363-2415, 1548-8446","issue":"9","journalAbbreviation":"Fisheries","language":"en","page":"433-444","source":"DOI.org (Crossref)","title":"Eight decades of hatchery salmon releases in the California Central Valley: factors influencing straying and resilience","title-short":"Eight decades of hatchery salmon releases in the california central valley","volume":"44","author":[{"family":"Sturrock","given":"Anna M."},{"family":"Satterthwaite","given":"William H."},{"family":"Cervantes‐Yoshida","given":"Kristina M."},{"family":"Huber","given":"Eric R."},{"family":"Sturrock","given":"Hugh J. W."},{"family":"Nusslé","given":"Sébastien"},{"family":"Carlson","given":"Stephanie M."}],"issued":{"date-parts":[["2019",9]]}}}],"schema":"https://github.com/citation-style-language/schema/raw/master/csl-citation.json"} </w:instrText>
      </w:r>
      <w:r w:rsidR="00014EED">
        <w:rPr>
          <w:rFonts w:ascii="Times New Roman" w:hAnsi="Times New Roman" w:cs="Times New Roman"/>
          <w:color w:val="000000"/>
          <w:sz w:val="24"/>
          <w:szCs w:val="24"/>
        </w:rPr>
        <w:fldChar w:fldCharType="separate"/>
      </w:r>
      <w:r w:rsidR="00C95B68" w:rsidRPr="00C95B68">
        <w:rPr>
          <w:rFonts w:ascii="Times New Roman" w:hAnsi="Times New Roman" w:cs="Times New Roman"/>
          <w:sz w:val="24"/>
        </w:rPr>
        <w:t>(Sturrock et al. 2019)</w:t>
      </w:r>
      <w:r w:rsidR="00014EED">
        <w:rPr>
          <w:rFonts w:ascii="Times New Roman" w:hAnsi="Times New Roman" w:cs="Times New Roman"/>
          <w:color w:val="000000"/>
          <w:sz w:val="24"/>
          <w:szCs w:val="24"/>
        </w:rPr>
        <w:fldChar w:fldCharType="end"/>
      </w:r>
      <w:r w:rsidRPr="00014EED">
        <w:rPr>
          <w:rFonts w:ascii="Times New Roman" w:hAnsi="Times New Roman" w:cs="Times New Roman"/>
          <w:color w:val="000000"/>
          <w:sz w:val="24"/>
          <w:szCs w:val="24"/>
        </w:rPr>
        <w:t xml:space="preserve"> in relation to Wilkins Slough flow (USGS station number 11390500) for years 2000-2017. The solid line represents predicted distances from a fitted Generalized Additive Model, and the dashed lines represent 95% confidence intervals.</w:t>
      </w:r>
    </w:p>
    <w:p w14:paraId="4AC9A6AC" w14:textId="6E2DA3CC" w:rsidR="00DB773D" w:rsidRDefault="00DB773D" w:rsidP="001C2C9E">
      <w:pPr>
        <w:pageBreakBefore/>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3360" behindDoc="0" locked="0" layoutInCell="1" allowOverlap="1" wp14:anchorId="18E40236" wp14:editId="17FC9FD9">
            <wp:simplePos x="0" y="0"/>
            <wp:positionH relativeFrom="column">
              <wp:posOffset>0</wp:posOffset>
            </wp:positionH>
            <wp:positionV relativeFrom="paragraph">
              <wp:posOffset>0</wp:posOffset>
            </wp:positionV>
            <wp:extent cx="4372585" cy="4372585"/>
            <wp:effectExtent l="0" t="0" r="0" b="0"/>
            <wp:wrapTopAndBottom/>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372585" cy="4372585"/>
                    </a:xfrm>
                    <a:prstGeom prst="rect">
                      <a:avLst/>
                    </a:prstGeom>
                  </pic:spPr>
                </pic:pic>
              </a:graphicData>
            </a:graphic>
          </wp:anchor>
        </w:drawing>
      </w:r>
      <w:r>
        <w:rPr>
          <w:rFonts w:ascii="Times New Roman" w:hAnsi="Times New Roman" w:cs="Times New Roman"/>
          <w:b/>
          <w:bCs/>
          <w:color w:val="000000"/>
          <w:sz w:val="24"/>
          <w:szCs w:val="24"/>
        </w:rPr>
        <w:t>Figure S</w:t>
      </w:r>
      <w:r w:rsidR="00A62E89">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Pr="00DB773D">
        <w:rPr>
          <w:rFonts w:ascii="Times New Roman" w:hAnsi="Times New Roman" w:cs="Times New Roman"/>
          <w:color w:val="000000"/>
          <w:sz w:val="24"/>
          <w:szCs w:val="24"/>
        </w:rPr>
        <w:t>Logged ratio between preseason forecast and postseason estimated abundance for Sacramento River fall Chinook (SRFC). Data were gathered from fishery management documents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sidR="00551C5C">
        <w:rPr>
          <w:rFonts w:ascii="Times New Roman" w:hAnsi="Times New Roman" w:cs="Times New Roman"/>
          <w:color w:val="000000"/>
          <w:sz w:val="24"/>
          <w:szCs w:val="24"/>
        </w:rPr>
        <w:instrText xml:space="preserve"> ADDIN ZOTERO_ITEM CSL_CITATION {"citationID":"ajOPbvs4","properties":{"formattedCitation":"(Pacific Fisheries Management Council 2021)","plainCitation":"(Pacific Fisheries Management Council 2021)","dontUpdate":true,"noteIndex":0},"citationItems":[{"id":1012,"uris":["http://zotero.org/users/7442514/items/JKMUD63R"],"itemData":{"id":1012,"type":"report","event-place":"7700 NE Ambassador Place, Suite 101, Portland, Oregon 97220-1384","language":"en","publisher":"Pacific Fishery Management Council","publisher-place":"7700 NE Ambassador Place, Suite 101, Portland, Oregon 97220-1384","source":"Zotero","title":"Preseason report I: stock abundance analysis and environmental assessment part 1 for 2021 ocean salmon fishery regulations","author":[{"family":"Pacific Fisheries Management Council","given":""}],"issued":{"date-parts":[["2021"]]}}}],"schema":"https://github.com/citation-style-language/schema/raw/master/csl-citation.json"} </w:instrText>
      </w:r>
      <w:r>
        <w:rPr>
          <w:rFonts w:ascii="Times New Roman" w:hAnsi="Times New Roman" w:cs="Times New Roman"/>
          <w:color w:val="000000"/>
          <w:sz w:val="24"/>
          <w:szCs w:val="24"/>
        </w:rPr>
        <w:fldChar w:fldCharType="separate"/>
      </w:r>
      <w:r w:rsidR="00CA0B51" w:rsidRPr="00CA0B51">
        <w:rPr>
          <w:rFonts w:ascii="Times New Roman" w:hAnsi="Times New Roman" w:cs="Times New Roman"/>
          <w:sz w:val="24"/>
        </w:rPr>
        <w:t>(</w:t>
      </w:r>
      <w:r w:rsidR="00CA0B51">
        <w:rPr>
          <w:rFonts w:ascii="Times New Roman" w:hAnsi="Times New Roman" w:cs="Times New Roman"/>
          <w:sz w:val="24"/>
        </w:rPr>
        <w:t>PFMC</w:t>
      </w:r>
      <w:r w:rsidR="00CA0B51" w:rsidRPr="00CA0B51">
        <w:rPr>
          <w:rFonts w:ascii="Times New Roman" w:hAnsi="Times New Roman" w:cs="Times New Roman"/>
          <w:sz w:val="24"/>
        </w:rPr>
        <w:t xml:space="preserve"> 2021)</w:t>
      </w:r>
      <w:r>
        <w:rPr>
          <w:rFonts w:ascii="Times New Roman" w:hAnsi="Times New Roman" w:cs="Times New Roman"/>
          <w:color w:val="000000"/>
          <w:sz w:val="24"/>
          <w:szCs w:val="24"/>
        </w:rPr>
        <w:fldChar w:fldCharType="end"/>
      </w:r>
      <w:r w:rsidR="00CA0B51">
        <w:rPr>
          <w:rFonts w:ascii="Times New Roman" w:hAnsi="Times New Roman" w:cs="Times New Roman"/>
          <w:color w:val="000000"/>
          <w:sz w:val="24"/>
          <w:szCs w:val="24"/>
        </w:rPr>
        <w:t xml:space="preserve"> and </w:t>
      </w:r>
      <w:r w:rsidR="00CA0B51">
        <w:rPr>
          <w:rFonts w:ascii="Times New Roman" w:hAnsi="Times New Roman" w:cs="Times New Roman"/>
          <w:color w:val="000000"/>
          <w:sz w:val="24"/>
          <w:szCs w:val="24"/>
        </w:rPr>
        <w:fldChar w:fldCharType="begin"/>
      </w:r>
      <w:r w:rsidR="00551C5C">
        <w:rPr>
          <w:rFonts w:ascii="Times New Roman" w:hAnsi="Times New Roman" w:cs="Times New Roman"/>
          <w:color w:val="000000"/>
          <w:sz w:val="24"/>
          <w:szCs w:val="24"/>
        </w:rPr>
        <w:instrText xml:space="preserve"> ADDIN ZOTERO_ITEM CSL_CITATION {"citationID":"SwCOPNHu","properties":{"formattedCitation":"(Satterthwaite and Shelton 2022)","plainCitation":"(Satterthwaite and Shelton 2022)","dontUpdate":true,"noteIndex":0},"citationItems":[{"id":1506,"uris":["http://zotero.org/users/7442514/items/NNUKFD9M"],"itemData":{"id":1506,"type":"article-journal","abstract":"We quantified the bias and accuracy of U.S. West Coast Chinook and coho salmon abundance forecasts using lognormal distributions fitted to annual ratios between postseason abundance estimates and preseason forecasts, or constrained to assume unbiased forecasts. Accuracy was modest to low, with CVs exceeding 50% for 8/19 Chinook and 17/17 coho stocks. We evaluated the fitted median as a bias correction, and uncertainty buffers based on quantiles below the median. We tested whether retrospective application of bias corrections and/or buffers brought forecasts closer on average to postseason estimates; and performed retrospective and prospective analyses of consequences for stock status, harvest, and escapement for Sacramento River Fall Chinook (SRFC), a key fishery stock. Bias corrections and/or buffers improved most forecasts, with buffers providing improvement more often. For SRFC, bias correction alone could have led to one less year of overfished status, while buffers could have further shortened or avoided overfished status and reduced the frequency of under-escapement. Reductions in mean annual harvest resulting from applying bias corrections and/or moderate buffers were predicted to be smaller than the increases in harvest resulting from forecast and implementation error. Prospective simulations showed buffers could reduce risks of overfished status and under-escapement, at small costs to long-term mean harvests. However, this metric misses substantial harvest reductions in some years, since mean harvest is most sensitive to harvest at high abundance; though our analyses also neglected benefits of increased escapement for future production. Future work should incorporate observation error and nonstationarity, and the combined effects of forecast and implementation error on the probability of missing escapement goals.","container-title":"Fisheries Research","DOI":"10.1016/j.fishres.2022.106502","ISSN":"0165-7836","journalAbbreviation":"Fisheries Research","language":"en","page":"106502","source":"ScienceDirect","title":"Methods for assessing and responding to bias and uncertainty in U.S. West Coast salmon abundance forecasts","volume":"257","author":[{"family":"Satterthwaite","given":"William. H."},{"family":"Shelton","given":"Andrew Olaf"}],"issued":{"date-parts":[["2022"]]}}}],"schema":"https://github.com/citation-style-language/schema/raw/master/csl-citation.json"} </w:instrText>
      </w:r>
      <w:r w:rsidR="00CA0B51">
        <w:rPr>
          <w:rFonts w:ascii="Times New Roman" w:hAnsi="Times New Roman" w:cs="Times New Roman"/>
          <w:color w:val="000000"/>
          <w:sz w:val="24"/>
          <w:szCs w:val="24"/>
        </w:rPr>
        <w:fldChar w:fldCharType="separate"/>
      </w:r>
      <w:r w:rsidR="00CA0B51" w:rsidRPr="00CA0B51">
        <w:rPr>
          <w:rFonts w:ascii="Times New Roman" w:hAnsi="Times New Roman" w:cs="Times New Roman"/>
          <w:sz w:val="24"/>
        </w:rPr>
        <w:t xml:space="preserve">Satterthwaite and Shelton </w:t>
      </w:r>
      <w:r w:rsidR="00790F19">
        <w:rPr>
          <w:rFonts w:ascii="Times New Roman" w:hAnsi="Times New Roman" w:cs="Times New Roman"/>
          <w:sz w:val="24"/>
        </w:rPr>
        <w:t>(</w:t>
      </w:r>
      <w:r w:rsidR="00CA0B51" w:rsidRPr="00CA0B51">
        <w:rPr>
          <w:rFonts w:ascii="Times New Roman" w:hAnsi="Times New Roman" w:cs="Times New Roman"/>
          <w:sz w:val="24"/>
        </w:rPr>
        <w:t>2022)</w:t>
      </w:r>
      <w:r w:rsidR="00CA0B51">
        <w:rPr>
          <w:rFonts w:ascii="Times New Roman" w:hAnsi="Times New Roman" w:cs="Times New Roman"/>
          <w:color w:val="000000"/>
          <w:sz w:val="24"/>
          <w:szCs w:val="24"/>
        </w:rPr>
        <w:fldChar w:fldCharType="end"/>
      </w:r>
      <w:r w:rsidRPr="00DB773D">
        <w:rPr>
          <w:rFonts w:ascii="Times New Roman" w:hAnsi="Times New Roman" w:cs="Times New Roman"/>
          <w:color w:val="000000"/>
          <w:sz w:val="24"/>
          <w:szCs w:val="24"/>
        </w:rPr>
        <w:t>. The dashed line represents a fitted lognormal distribution with log-scale mean 0.132 and log-scale standard deviation 0.486.</w:t>
      </w:r>
    </w:p>
    <w:p w14:paraId="7C70D72B" w14:textId="238D04D9" w:rsidR="005943FD" w:rsidRPr="005943FD" w:rsidRDefault="005943FD" w:rsidP="001C2C9E">
      <w:pPr>
        <w:pageBreakBefore/>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82816" behindDoc="0" locked="0" layoutInCell="1" allowOverlap="1" wp14:anchorId="65956160" wp14:editId="408FB15D">
            <wp:simplePos x="0" y="0"/>
            <wp:positionH relativeFrom="column">
              <wp:posOffset>0</wp:posOffset>
            </wp:positionH>
            <wp:positionV relativeFrom="paragraph">
              <wp:posOffset>0</wp:posOffset>
            </wp:positionV>
            <wp:extent cx="5943600" cy="4485005"/>
            <wp:effectExtent l="0" t="0" r="0" b="0"/>
            <wp:wrapTopAndBottom/>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485005"/>
                    </a:xfrm>
                    <a:prstGeom prst="rect">
                      <a:avLst/>
                    </a:prstGeom>
                  </pic:spPr>
                </pic:pic>
              </a:graphicData>
            </a:graphic>
          </wp:anchor>
        </w:drawing>
      </w:r>
      <w:r>
        <w:rPr>
          <w:rFonts w:ascii="Times New Roman" w:hAnsi="Times New Roman" w:cs="Times New Roman"/>
          <w:b/>
          <w:bCs/>
          <w:color w:val="000000"/>
          <w:sz w:val="24"/>
          <w:szCs w:val="24"/>
        </w:rPr>
        <w:t xml:space="preserve">Figure S6. </w:t>
      </w:r>
      <w:r>
        <w:rPr>
          <w:rFonts w:ascii="Times New Roman" w:hAnsi="Times New Roman" w:cs="Times New Roman"/>
          <w:color w:val="000000"/>
          <w:sz w:val="24"/>
          <w:szCs w:val="24"/>
        </w:rPr>
        <w:t>Variance (log scale) in relation to mean (log scale) for spawner escapement. Each point represents the mean and variance for a model scenario (age structure diversity and drought conditions). The linear regression for the log-log plot had a slope = 2.15, thus the coefficients of variation can be used to represent population stability and portfolio effect</w:t>
      </w:r>
      <w:r w:rsidR="00551C5C">
        <w:rPr>
          <w:rFonts w:ascii="Times New Roman" w:hAnsi="Times New Roman" w:cs="Times New Roman"/>
          <w:color w:val="000000"/>
          <w:sz w:val="24"/>
          <w:szCs w:val="24"/>
        </w:rPr>
        <w:t xml:space="preserve"> </w:t>
      </w:r>
      <w:r w:rsidR="00551C5C">
        <w:rPr>
          <w:rFonts w:ascii="Times New Roman" w:hAnsi="Times New Roman" w:cs="Times New Roman"/>
          <w:color w:val="000000"/>
          <w:sz w:val="24"/>
          <w:szCs w:val="24"/>
        </w:rPr>
        <w:fldChar w:fldCharType="begin"/>
      </w:r>
      <w:r w:rsidR="00551C5C">
        <w:rPr>
          <w:rFonts w:ascii="Times New Roman" w:hAnsi="Times New Roman" w:cs="Times New Roman"/>
          <w:color w:val="000000"/>
          <w:sz w:val="24"/>
          <w:szCs w:val="24"/>
        </w:rPr>
        <w:instrText xml:space="preserve"> ADDIN ZOTERO_ITEM CSL_CITATION {"citationID":"hPfkdaaa","properties":{"formattedCitation":"(Anderson et al. 2013)","plainCitation":"(Anderson et al. 2013)","noteIndex":0},"citationItems":[{"id":1512,"uris":["http://zotero.org/users/7442514/items/RE2VVJA3"],"itemData":{"id":1512,"type":"article-journal","abstract":"A financial portfolio metaphor is often used to describe how population diversity can increase temporal stability of a group of populations. The portfolio effect (PE) refers to the stabilizing effect from a population acting as a group or ‘portfolio’ of diverse subpopulations instead of a single homogeneous population or ‘asset’. A widely used measure of the PE (the average-CV PE) implicitly assumes that the slope (z) of a log–log plot of mean temporal abundance and variance (Taylor's power law) equals two. Existing theory suggests an additional unexplored empirical PE that accounts for z, the mean–variance PE. We use a theoretical and empirical approach to explore the strength and drivers of the PE for metapopulations when we account for Taylor's power law compared with when we do not. Our empirical comparison uses data from 51 metapopulations and 1070 subpopulations across salmon, moths and reef fishes. Ignoring Taylor's power law may overestimate the stabilizing effect of population diversity for metapopulations. The disparity between the metrics is greatest at low z values where the average-CV PE indicates a strong PE. Compared with the mean–variance method, the average-CV PE estimated a stronger PE in 84% of metapopulations by up to sevenfold. The divergence between the methods was strongest for reef fishes (1·0 &lt; z &lt; 1·7) followed by moths (1·5 &lt; z &lt; 1·9). The PEs were comparable for salmon where z ≈ 2. We outline practical recommendations for estimating ecological PEs based on research questions, study systems and available data. Because most PEs were stabilizing and diversity can be slow to restore, our meta-analysis of metapopulations suggests that the safest management approach is to conserve biological complexity.","container-title":"Methods in Ecology and Evolution","DOI":"10.1111/2041-210X.12093","ISSN":"2041-210X","issue":"10","language":"en","note":"_eprint: https://onlinelibrary.wiley.com/doi/pdf/10.1111/2041-210X.12093","page":"971-981","source":"Wiley Online Library","title":"Ecological prophets: quantifying metapopulation portfolio effects","title-short":"Ecological prophets","volume":"4","author":[{"family":"Anderson","given":"Sean C."},{"family":"Cooper","given":"Andrew B."},{"family":"Dulvy","given":"Nicholas K."}],"issued":{"date-parts":[["2013"]]}}}],"schema":"https://github.com/citation-style-language/schema/raw/master/csl-citation.json"} </w:instrText>
      </w:r>
      <w:r w:rsidR="00551C5C">
        <w:rPr>
          <w:rFonts w:ascii="Times New Roman" w:hAnsi="Times New Roman" w:cs="Times New Roman"/>
          <w:color w:val="000000"/>
          <w:sz w:val="24"/>
          <w:szCs w:val="24"/>
        </w:rPr>
        <w:fldChar w:fldCharType="separate"/>
      </w:r>
      <w:r w:rsidR="00551C5C" w:rsidRPr="00551C5C">
        <w:rPr>
          <w:rFonts w:ascii="Times New Roman" w:hAnsi="Times New Roman" w:cs="Times New Roman"/>
          <w:sz w:val="24"/>
        </w:rPr>
        <w:t>(Anderson et al. 2013)</w:t>
      </w:r>
      <w:r w:rsidR="00551C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09D86BCB" w14:textId="24847D66" w:rsidR="00A62E89" w:rsidRDefault="00A62E89" w:rsidP="00A62E89">
      <w:pPr>
        <w:pageBreakBefore/>
        <w:rPr>
          <w:rFonts w:ascii="Times New Roman" w:hAnsi="Times New Roman" w:cs="Times New Roman"/>
          <w:color w:val="000000"/>
          <w:sz w:val="24"/>
          <w:szCs w:val="24"/>
        </w:rPr>
      </w:pPr>
      <w:r>
        <w:rPr>
          <w:rFonts w:ascii="Times New Roman" w:hAnsi="Times New Roman" w:cs="Times New Roman"/>
          <w:b/>
          <w:bCs/>
          <w:noProof/>
          <w:color w:val="000000"/>
          <w:sz w:val="24"/>
          <w:szCs w:val="24"/>
        </w:rPr>
        <w:lastRenderedPageBreak/>
        <w:drawing>
          <wp:anchor distT="0" distB="0" distL="114300" distR="114300" simplePos="0" relativeHeight="251681792" behindDoc="0" locked="0" layoutInCell="1" allowOverlap="1" wp14:anchorId="4EABFAED" wp14:editId="36C62812">
            <wp:simplePos x="0" y="0"/>
            <wp:positionH relativeFrom="column">
              <wp:posOffset>0</wp:posOffset>
            </wp:positionH>
            <wp:positionV relativeFrom="paragraph">
              <wp:posOffset>0</wp:posOffset>
            </wp:positionV>
            <wp:extent cx="5943600" cy="4496435"/>
            <wp:effectExtent l="0" t="0" r="0" b="0"/>
            <wp:wrapTopAndBottom/>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496435"/>
                    </a:xfrm>
                    <a:prstGeom prst="rect">
                      <a:avLst/>
                    </a:prstGeom>
                  </pic:spPr>
                </pic:pic>
              </a:graphicData>
            </a:graphic>
          </wp:anchor>
        </w:drawing>
      </w:r>
      <w:r>
        <w:rPr>
          <w:rFonts w:ascii="Times New Roman" w:hAnsi="Times New Roman" w:cs="Times New Roman"/>
          <w:b/>
          <w:bCs/>
          <w:color w:val="000000"/>
          <w:sz w:val="24"/>
          <w:szCs w:val="24"/>
        </w:rPr>
        <w:t>Figure S</w:t>
      </w:r>
      <w:r w:rsidR="00923077">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147DCD">
        <w:rPr>
          <w:rFonts w:ascii="Times New Roman" w:hAnsi="Times New Roman" w:cs="Times New Roman"/>
          <w:color w:val="000000"/>
          <w:sz w:val="24"/>
          <w:szCs w:val="24"/>
        </w:rPr>
        <w:t>The observed (red) and simulated (black) effect of the North Pacific Gyre Oscillation (NPGO) index on total escapement (lagged for a single year). The relationship was estimated using Generalized Additive Models.</w:t>
      </w:r>
      <w:r w:rsidR="00B102F3">
        <w:rPr>
          <w:rFonts w:ascii="Times New Roman" w:hAnsi="Times New Roman" w:cs="Times New Roman"/>
          <w:color w:val="000000"/>
          <w:sz w:val="24"/>
          <w:szCs w:val="24"/>
        </w:rPr>
        <w:t xml:space="preserve"> </w:t>
      </w:r>
    </w:p>
    <w:p w14:paraId="702CEC9D" w14:textId="416D9A95" w:rsidR="006B7BD4" w:rsidRDefault="00582AF0" w:rsidP="001C2C9E">
      <w:pPr>
        <w:pageBreakBefore/>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0DA2BA59" wp14:editId="0ECB8A28">
            <wp:simplePos x="0" y="0"/>
            <wp:positionH relativeFrom="column">
              <wp:posOffset>0</wp:posOffset>
            </wp:positionH>
            <wp:positionV relativeFrom="paragraph">
              <wp:posOffset>0</wp:posOffset>
            </wp:positionV>
            <wp:extent cx="5943600" cy="1404620"/>
            <wp:effectExtent l="0" t="0" r="0" b="5080"/>
            <wp:wrapTopAndBottom/>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1404620"/>
                    </a:xfrm>
                    <a:prstGeom prst="rect">
                      <a:avLst/>
                    </a:prstGeom>
                  </pic:spPr>
                </pic:pic>
              </a:graphicData>
            </a:graphic>
          </wp:anchor>
        </w:drawing>
      </w:r>
      <w:r>
        <w:rPr>
          <w:rFonts w:ascii="Times New Roman" w:hAnsi="Times New Roman" w:cs="Times New Roman"/>
          <w:b/>
          <w:bCs/>
          <w:color w:val="000000"/>
          <w:sz w:val="24"/>
          <w:szCs w:val="24"/>
        </w:rPr>
        <w:t>Figure S</w:t>
      </w:r>
      <w:r w:rsidR="00E4434E">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82AF0">
        <w:rPr>
          <w:rFonts w:ascii="Times New Roman" w:hAnsi="Times New Roman" w:cs="Times New Roman"/>
          <w:color w:val="000000"/>
          <w:sz w:val="24"/>
          <w:szCs w:val="24"/>
        </w:rPr>
        <w:t>Age composition of spawners for the base case scenario (i.e., contemporary age composition), under alternative maturation rates for age-3 fish (indicated by τ</w:t>
      </w:r>
      <w:r w:rsidRPr="00582AF0">
        <w:rPr>
          <w:rFonts w:ascii="Times New Roman" w:hAnsi="Times New Roman" w:cs="Times New Roman"/>
          <w:color w:val="000000"/>
          <w:sz w:val="24"/>
          <w:szCs w:val="24"/>
          <w:vertAlign w:val="subscript"/>
        </w:rPr>
        <w:t>3</w:t>
      </w:r>
      <w:r w:rsidRPr="00582AF0">
        <w:rPr>
          <w:rFonts w:ascii="Times New Roman" w:hAnsi="Times New Roman" w:cs="Times New Roman"/>
          <w:color w:val="000000"/>
          <w:sz w:val="24"/>
          <w:szCs w:val="24"/>
        </w:rPr>
        <w:t>), and alternative natural survival rates for fish at ages 4 and 5 (indicated by η</w:t>
      </w:r>
      <w:r w:rsidRPr="00582AF0">
        <w:rPr>
          <w:rFonts w:ascii="Times New Roman" w:hAnsi="Times New Roman" w:cs="Times New Roman"/>
          <w:color w:val="000000"/>
          <w:sz w:val="24"/>
          <w:szCs w:val="24"/>
          <w:vertAlign w:val="subscript"/>
        </w:rPr>
        <w:t>4,5</w:t>
      </w:r>
      <w:r w:rsidRPr="00582AF0">
        <w:rPr>
          <w:rFonts w:ascii="Times New Roman" w:hAnsi="Times New Roman" w:cs="Times New Roman"/>
          <w:color w:val="000000"/>
          <w:sz w:val="24"/>
          <w:szCs w:val="24"/>
        </w:rPr>
        <w:t>). The plots are arranged along a gradient of low (left) to high (right) age structure. The maturation rate and natural survival rate for the base case scenario was τ</w:t>
      </w:r>
      <w:r w:rsidRPr="00582AF0">
        <w:rPr>
          <w:rFonts w:ascii="Times New Roman" w:hAnsi="Times New Roman" w:cs="Times New Roman"/>
          <w:color w:val="000000"/>
          <w:sz w:val="24"/>
          <w:szCs w:val="24"/>
          <w:vertAlign w:val="subscript"/>
        </w:rPr>
        <w:t>3</w:t>
      </w:r>
      <w:r w:rsidRPr="00582AF0">
        <w:rPr>
          <w:rFonts w:ascii="Times New Roman" w:hAnsi="Times New Roman" w:cs="Times New Roman"/>
          <w:color w:val="000000"/>
          <w:sz w:val="24"/>
          <w:szCs w:val="24"/>
        </w:rPr>
        <w:t xml:space="preserve"> = 0.5 and η</w:t>
      </w:r>
      <w:r w:rsidRPr="00582AF0">
        <w:rPr>
          <w:rFonts w:ascii="Times New Roman" w:hAnsi="Times New Roman" w:cs="Times New Roman"/>
          <w:color w:val="000000"/>
          <w:sz w:val="24"/>
          <w:szCs w:val="24"/>
          <w:vertAlign w:val="subscript"/>
        </w:rPr>
        <w:t>4,5</w:t>
      </w:r>
      <w:r w:rsidRPr="00582AF0">
        <w:rPr>
          <w:rFonts w:ascii="Times New Roman" w:hAnsi="Times New Roman" w:cs="Times New Roman"/>
          <w:color w:val="000000"/>
          <w:sz w:val="24"/>
          <w:szCs w:val="24"/>
        </w:rPr>
        <w:t xml:space="preserve"> = 0.8, respectively.</w:t>
      </w:r>
    </w:p>
    <w:p w14:paraId="6F747E61" w14:textId="6BE8F231" w:rsidR="00AF5CC5" w:rsidRDefault="00AF5CC5" w:rsidP="001C2C9E">
      <w:pPr>
        <w:pageBreakBefore/>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5408" behindDoc="0" locked="0" layoutInCell="1" allowOverlap="1" wp14:anchorId="177DEBF4" wp14:editId="2E584FCA">
            <wp:simplePos x="0" y="0"/>
            <wp:positionH relativeFrom="column">
              <wp:posOffset>0</wp:posOffset>
            </wp:positionH>
            <wp:positionV relativeFrom="paragraph">
              <wp:posOffset>0</wp:posOffset>
            </wp:positionV>
            <wp:extent cx="5943600" cy="4258945"/>
            <wp:effectExtent l="0" t="0" r="0" b="8255"/>
            <wp:wrapTopAndBottom/>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4258945"/>
                    </a:xfrm>
                    <a:prstGeom prst="rect">
                      <a:avLst/>
                    </a:prstGeom>
                  </pic:spPr>
                </pic:pic>
              </a:graphicData>
            </a:graphic>
          </wp:anchor>
        </w:drawing>
      </w:r>
      <w:r>
        <w:rPr>
          <w:rFonts w:ascii="Times New Roman" w:hAnsi="Times New Roman" w:cs="Times New Roman"/>
          <w:b/>
          <w:bCs/>
          <w:color w:val="000000"/>
          <w:sz w:val="24"/>
          <w:szCs w:val="24"/>
        </w:rPr>
        <w:t>Figure S</w:t>
      </w:r>
      <w:r w:rsidR="00E4434E">
        <w:rPr>
          <w:rFonts w:ascii="Times New Roman" w:hAnsi="Times New Roman" w:cs="Times New Roman"/>
          <w:b/>
          <w:bCs/>
          <w:color w:val="000000"/>
          <w:sz w:val="24"/>
          <w:szCs w:val="24"/>
        </w:rPr>
        <w:t>9</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AF5CC5">
        <w:rPr>
          <w:rFonts w:ascii="Times New Roman" w:hAnsi="Times New Roman" w:cs="Times New Roman"/>
          <w:color w:val="000000"/>
          <w:sz w:val="24"/>
          <w:szCs w:val="24"/>
        </w:rPr>
        <w:t>Flow (</w:t>
      </w:r>
      <w:proofErr w:type="spellStart"/>
      <w:r w:rsidRPr="00AF5CC5">
        <w:rPr>
          <w:rFonts w:ascii="Times New Roman" w:hAnsi="Times New Roman" w:cs="Times New Roman"/>
          <w:color w:val="000000"/>
          <w:sz w:val="24"/>
          <w:szCs w:val="24"/>
        </w:rPr>
        <w:t>cfs</w:t>
      </w:r>
      <w:proofErr w:type="spellEnd"/>
      <w:r w:rsidRPr="00AF5CC5">
        <w:rPr>
          <w:rFonts w:ascii="Times New Roman" w:hAnsi="Times New Roman" w:cs="Times New Roman"/>
          <w:color w:val="000000"/>
          <w:sz w:val="24"/>
          <w:szCs w:val="24"/>
        </w:rPr>
        <w:t xml:space="preserve">) at Wilkins Slough (USGS station number 11390500) from 1988-2019. Shaded areas cover notable recent droughts (1988-1992, 2007-2009, 2012-2016; note that the 1988 drought started in 1987 but data were unavailable prior to 1988). Dashed lines represent high (22,872 </w:t>
      </w:r>
      <w:proofErr w:type="spellStart"/>
      <w:r w:rsidRPr="00AF5CC5">
        <w:rPr>
          <w:rFonts w:ascii="Times New Roman" w:hAnsi="Times New Roman" w:cs="Times New Roman"/>
          <w:color w:val="000000"/>
          <w:sz w:val="24"/>
          <w:szCs w:val="24"/>
        </w:rPr>
        <w:t>cfs</w:t>
      </w:r>
      <w:proofErr w:type="spellEnd"/>
      <w:r w:rsidRPr="00AF5CC5">
        <w:rPr>
          <w:rFonts w:ascii="Times New Roman" w:hAnsi="Times New Roman" w:cs="Times New Roman"/>
          <w:color w:val="000000"/>
          <w:sz w:val="24"/>
          <w:szCs w:val="24"/>
        </w:rPr>
        <w:t xml:space="preserve">), historic mean (10,712 </w:t>
      </w:r>
      <w:proofErr w:type="spellStart"/>
      <w:r w:rsidRPr="00AF5CC5">
        <w:rPr>
          <w:rFonts w:ascii="Times New Roman" w:hAnsi="Times New Roman" w:cs="Times New Roman"/>
          <w:color w:val="000000"/>
          <w:sz w:val="24"/>
          <w:szCs w:val="24"/>
        </w:rPr>
        <w:t>cfs</w:t>
      </w:r>
      <w:proofErr w:type="spellEnd"/>
      <w:r w:rsidRPr="00AF5CC5">
        <w:rPr>
          <w:rFonts w:ascii="Times New Roman" w:hAnsi="Times New Roman" w:cs="Times New Roman"/>
          <w:color w:val="000000"/>
          <w:sz w:val="24"/>
          <w:szCs w:val="24"/>
        </w:rPr>
        <w:t>), and minimum (4,295) thresholds presented in Michel et al. (2021).</w:t>
      </w:r>
    </w:p>
    <w:p w14:paraId="2E0070FF" w14:textId="37DDFBD2" w:rsidR="00EA21D5" w:rsidRDefault="00EA21D5" w:rsidP="004F780A">
      <w:pPr>
        <w:pageBreakBefore/>
        <w:spacing w:before="360"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79744" behindDoc="0" locked="0" layoutInCell="1" allowOverlap="1" wp14:anchorId="090AF0C1" wp14:editId="4BA64B9E">
            <wp:simplePos x="0" y="0"/>
            <wp:positionH relativeFrom="margin">
              <wp:align>center</wp:align>
            </wp:positionH>
            <wp:positionV relativeFrom="margin">
              <wp:align>top</wp:align>
            </wp:positionV>
            <wp:extent cx="5943600" cy="4324350"/>
            <wp:effectExtent l="0" t="0" r="0" b="0"/>
            <wp:wrapTopAndBottom/>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324350"/>
                    </a:xfrm>
                    <a:prstGeom prst="rect">
                      <a:avLst/>
                    </a:prstGeom>
                  </pic:spPr>
                </pic:pic>
              </a:graphicData>
            </a:graphic>
          </wp:anchor>
        </w:drawing>
      </w:r>
      <w:r w:rsidR="00E4434E">
        <w:rPr>
          <w:rFonts w:ascii="Times New Roman" w:hAnsi="Times New Roman" w:cs="Times New Roman"/>
          <w:b/>
          <w:bCs/>
          <w:color w:val="000000"/>
          <w:sz w:val="24"/>
          <w:szCs w:val="24"/>
        </w:rPr>
        <w:t xml:space="preserve">Figure S10. </w:t>
      </w:r>
      <w:r w:rsidRPr="00E661AD">
        <w:rPr>
          <w:rFonts w:ascii="Times New Roman" w:hAnsi="Times New Roman" w:cs="Times New Roman"/>
          <w:color w:val="000000"/>
          <w:sz w:val="24"/>
          <w:szCs w:val="24"/>
        </w:rPr>
        <w:t xml:space="preserve">Examples of simulated </w:t>
      </w:r>
      <w:r>
        <w:rPr>
          <w:rFonts w:ascii="Times New Roman" w:hAnsi="Times New Roman" w:cs="Times New Roman"/>
          <w:color w:val="000000"/>
          <w:sz w:val="24"/>
          <w:szCs w:val="24"/>
        </w:rPr>
        <w:t xml:space="preserve">hydrographs </w:t>
      </w:r>
      <w:r w:rsidRPr="00E661AD">
        <w:rPr>
          <w:rFonts w:ascii="Times New Roman" w:hAnsi="Times New Roman" w:cs="Times New Roman"/>
          <w:color w:val="000000"/>
          <w:sz w:val="24"/>
          <w:szCs w:val="24"/>
        </w:rPr>
        <w:t>of flow (</w:t>
      </w:r>
      <w:proofErr w:type="spellStart"/>
      <w:r w:rsidRPr="00E661AD">
        <w:rPr>
          <w:rFonts w:ascii="Times New Roman" w:hAnsi="Times New Roman" w:cs="Times New Roman"/>
          <w:color w:val="000000"/>
          <w:sz w:val="24"/>
          <w:szCs w:val="24"/>
        </w:rPr>
        <w:t>cfs</w:t>
      </w:r>
      <w:proofErr w:type="spellEnd"/>
      <w:r w:rsidRPr="00E661AD">
        <w:rPr>
          <w:rFonts w:ascii="Times New Roman" w:hAnsi="Times New Roman" w:cs="Times New Roman"/>
          <w:color w:val="000000"/>
          <w:sz w:val="24"/>
          <w:szCs w:val="24"/>
        </w:rPr>
        <w:t xml:space="preserve">) for each drought scenario. The ‘Contemporary’ scenario resembles recent flow conditions at Wilkins Slough (USGS station number 11390500), with 3-5 year droughts and time intervals between droughts represented by a Poisson distribution with λ = 12 years. The ‘Longer duration’ scenario was simulated with 3-7 </w:t>
      </w:r>
      <w:proofErr w:type="spellStart"/>
      <w:r>
        <w:rPr>
          <w:rFonts w:ascii="Times New Roman" w:hAnsi="Times New Roman" w:cs="Times New Roman"/>
          <w:color w:val="000000"/>
          <w:sz w:val="24"/>
          <w:szCs w:val="24"/>
        </w:rPr>
        <w:t>s</w:t>
      </w:r>
      <w:r w:rsidRPr="00E661AD">
        <w:rPr>
          <w:rFonts w:ascii="Times New Roman" w:hAnsi="Times New Roman" w:cs="Times New Roman"/>
          <w:color w:val="000000"/>
          <w:sz w:val="24"/>
          <w:szCs w:val="24"/>
        </w:rPr>
        <w:t>year</w:t>
      </w:r>
      <w:proofErr w:type="spellEnd"/>
      <w:r w:rsidRPr="00E661AD">
        <w:rPr>
          <w:rFonts w:ascii="Times New Roman" w:hAnsi="Times New Roman" w:cs="Times New Roman"/>
          <w:color w:val="000000"/>
          <w:sz w:val="24"/>
          <w:szCs w:val="24"/>
        </w:rPr>
        <w:t xml:space="preserve"> droughts, the ‘More frequent’ scenario was simulated with λ = 6 years, and the ‘More intense’ scenario was simulated with increased probability of drawing the lowest flow value. The horizontal dashed lines represent historic</w:t>
      </w:r>
      <w:r>
        <w:rPr>
          <w:rFonts w:ascii="Times New Roman" w:hAnsi="Times New Roman" w:cs="Times New Roman"/>
          <w:color w:val="000000"/>
          <w:sz w:val="24"/>
          <w:szCs w:val="24"/>
        </w:rPr>
        <w:t>al</w:t>
      </w:r>
      <w:r w:rsidRPr="00E661AD">
        <w:rPr>
          <w:rFonts w:ascii="Times New Roman" w:hAnsi="Times New Roman" w:cs="Times New Roman"/>
          <w:color w:val="000000"/>
          <w:sz w:val="24"/>
          <w:szCs w:val="24"/>
        </w:rPr>
        <w:t xml:space="preserve"> mean (10,712 </w:t>
      </w:r>
      <w:proofErr w:type="spellStart"/>
      <w:r w:rsidRPr="00E661AD">
        <w:rPr>
          <w:rFonts w:ascii="Times New Roman" w:hAnsi="Times New Roman" w:cs="Times New Roman"/>
          <w:color w:val="000000"/>
          <w:sz w:val="24"/>
          <w:szCs w:val="24"/>
        </w:rPr>
        <w:t>cfs</w:t>
      </w:r>
      <w:proofErr w:type="spellEnd"/>
      <w:r w:rsidRPr="00E661AD">
        <w:rPr>
          <w:rFonts w:ascii="Times New Roman" w:hAnsi="Times New Roman" w:cs="Times New Roman"/>
          <w:color w:val="000000"/>
          <w:sz w:val="24"/>
          <w:szCs w:val="24"/>
        </w:rPr>
        <w:t>) and minimum flow (4,295; Michel et al.</w:t>
      </w:r>
      <w:r>
        <w:rPr>
          <w:rFonts w:ascii="Times New Roman" w:hAnsi="Times New Roman" w:cs="Times New Roman"/>
          <w:color w:val="000000"/>
          <w:sz w:val="24"/>
          <w:szCs w:val="24"/>
        </w:rPr>
        <w:t>,</w:t>
      </w:r>
      <w:r w:rsidRPr="00E661AD">
        <w:rPr>
          <w:rFonts w:ascii="Times New Roman" w:hAnsi="Times New Roman" w:cs="Times New Roman"/>
          <w:color w:val="000000"/>
          <w:sz w:val="24"/>
          <w:szCs w:val="24"/>
        </w:rPr>
        <w:t xml:space="preserve"> 2021).</w:t>
      </w:r>
      <w:r w:rsidR="000F42A9">
        <w:rPr>
          <w:rFonts w:ascii="Times New Roman" w:hAnsi="Times New Roman" w:cs="Times New Roman"/>
          <w:color w:val="000000"/>
          <w:sz w:val="24"/>
          <w:szCs w:val="24"/>
        </w:rPr>
        <w:t xml:space="preserve"> The figures are annotated with the percentage of years below the historical mean and minimum flow thresholds.</w:t>
      </w:r>
    </w:p>
    <w:p w14:paraId="7AC382DC" w14:textId="10E8A943" w:rsidR="0041605A" w:rsidRDefault="00BA7DD8" w:rsidP="001C2C9E">
      <w:pPr>
        <w:pageBreakBefore/>
        <w:rPr>
          <w:rFonts w:ascii="Times New Roman" w:hAnsi="Times New Roman" w:cs="Times New Roman"/>
          <w:color w:val="000000"/>
          <w:sz w:val="24"/>
          <w:szCs w:val="24"/>
        </w:rPr>
      </w:pPr>
      <w:r>
        <w:rPr>
          <w:rFonts w:ascii="Times New Roman" w:hAnsi="Times New Roman" w:cs="Times New Roman"/>
          <w:b/>
          <w:bCs/>
          <w:noProof/>
          <w:color w:val="000000"/>
          <w:sz w:val="24"/>
          <w:szCs w:val="24"/>
        </w:rPr>
        <w:lastRenderedPageBreak/>
        <w:drawing>
          <wp:anchor distT="0" distB="0" distL="114300" distR="114300" simplePos="0" relativeHeight="251675648" behindDoc="0" locked="0" layoutInCell="1" allowOverlap="1" wp14:anchorId="5D949219" wp14:editId="2F66B701">
            <wp:simplePos x="0" y="0"/>
            <wp:positionH relativeFrom="column">
              <wp:posOffset>0</wp:posOffset>
            </wp:positionH>
            <wp:positionV relativeFrom="paragraph">
              <wp:posOffset>0</wp:posOffset>
            </wp:positionV>
            <wp:extent cx="5943600" cy="2967990"/>
            <wp:effectExtent l="0" t="0" r="0" b="3810"/>
            <wp:wrapTopAndBottom/>
            <wp:docPr id="16" name="Picture 1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2967990"/>
                    </a:xfrm>
                    <a:prstGeom prst="rect">
                      <a:avLst/>
                    </a:prstGeom>
                  </pic:spPr>
                </pic:pic>
              </a:graphicData>
            </a:graphic>
          </wp:anchor>
        </w:drawing>
      </w:r>
      <w:r w:rsidR="00C51B36">
        <w:rPr>
          <w:rFonts w:ascii="Times New Roman" w:hAnsi="Times New Roman" w:cs="Times New Roman"/>
          <w:b/>
          <w:bCs/>
          <w:color w:val="000000"/>
          <w:sz w:val="24"/>
          <w:szCs w:val="24"/>
        </w:rPr>
        <w:t>Figure S</w:t>
      </w:r>
      <w:r w:rsidR="0041572C">
        <w:rPr>
          <w:rFonts w:ascii="Times New Roman" w:hAnsi="Times New Roman" w:cs="Times New Roman"/>
          <w:b/>
          <w:bCs/>
          <w:color w:val="000000"/>
          <w:sz w:val="24"/>
          <w:szCs w:val="24"/>
        </w:rPr>
        <w:t>11</w:t>
      </w:r>
      <w:r w:rsidR="00C51B36">
        <w:rPr>
          <w:rFonts w:ascii="Times New Roman" w:hAnsi="Times New Roman" w:cs="Times New Roman"/>
          <w:b/>
          <w:bCs/>
          <w:color w:val="000000"/>
          <w:sz w:val="24"/>
          <w:szCs w:val="24"/>
        </w:rPr>
        <w:t>.</w:t>
      </w:r>
      <w:r w:rsidR="00C51B36">
        <w:rPr>
          <w:rFonts w:ascii="Times New Roman" w:hAnsi="Times New Roman" w:cs="Times New Roman"/>
          <w:color w:val="000000"/>
          <w:sz w:val="24"/>
          <w:szCs w:val="24"/>
        </w:rPr>
        <w:t xml:space="preserve"> </w:t>
      </w:r>
      <w:r w:rsidR="002273E2" w:rsidRPr="002273E2">
        <w:rPr>
          <w:rFonts w:ascii="Times New Roman" w:hAnsi="Times New Roman" w:cs="Times New Roman"/>
          <w:color w:val="000000"/>
          <w:sz w:val="24"/>
          <w:szCs w:val="24"/>
        </w:rPr>
        <w:t xml:space="preserve">Temporal autocorrelation for log-transformed observed and simulated </w:t>
      </w:r>
      <w:r>
        <w:rPr>
          <w:rFonts w:ascii="Times New Roman" w:hAnsi="Times New Roman" w:cs="Times New Roman"/>
          <w:color w:val="000000"/>
          <w:sz w:val="24"/>
          <w:szCs w:val="24"/>
        </w:rPr>
        <w:t xml:space="preserve">Sacramento Index (total harvest + total escapement) </w:t>
      </w:r>
      <w:r w:rsidR="002273E2" w:rsidRPr="002273E2">
        <w:rPr>
          <w:rFonts w:ascii="Times New Roman" w:hAnsi="Times New Roman" w:cs="Times New Roman"/>
          <w:color w:val="000000"/>
          <w:sz w:val="24"/>
          <w:szCs w:val="24"/>
        </w:rPr>
        <w:t>for the years 1988-2012.</w:t>
      </w:r>
    </w:p>
    <w:p w14:paraId="498E9B2B" w14:textId="37E0D8B6" w:rsidR="00D3072C" w:rsidRDefault="00BF417E" w:rsidP="001C2C9E">
      <w:pPr>
        <w:pageBreakBefore/>
        <w:rPr>
          <w:rFonts w:ascii="Times New Roman" w:hAnsi="Times New Roman" w:cs="Times New Roman"/>
          <w:color w:val="000000"/>
          <w:sz w:val="24"/>
          <w:szCs w:val="24"/>
        </w:rPr>
      </w:pPr>
      <w:r>
        <w:rPr>
          <w:rFonts w:ascii="Times New Roman" w:hAnsi="Times New Roman" w:cs="Times New Roman"/>
          <w:b/>
          <w:bCs/>
          <w:noProof/>
          <w:color w:val="000000"/>
          <w:sz w:val="24"/>
          <w:szCs w:val="24"/>
        </w:rPr>
        <w:lastRenderedPageBreak/>
        <w:drawing>
          <wp:anchor distT="0" distB="0" distL="114300" distR="114300" simplePos="0" relativeHeight="251674624" behindDoc="0" locked="0" layoutInCell="1" allowOverlap="1" wp14:anchorId="385A164F" wp14:editId="7C035C14">
            <wp:simplePos x="0" y="0"/>
            <wp:positionH relativeFrom="column">
              <wp:posOffset>0</wp:posOffset>
            </wp:positionH>
            <wp:positionV relativeFrom="paragraph">
              <wp:posOffset>0</wp:posOffset>
            </wp:positionV>
            <wp:extent cx="5943600" cy="4897755"/>
            <wp:effectExtent l="0" t="0" r="0" b="0"/>
            <wp:wrapTopAndBottom/>
            <wp:docPr id="17" name="Picture 17"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 histo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897755"/>
                    </a:xfrm>
                    <a:prstGeom prst="rect">
                      <a:avLst/>
                    </a:prstGeom>
                  </pic:spPr>
                </pic:pic>
              </a:graphicData>
            </a:graphic>
          </wp:anchor>
        </w:drawing>
      </w:r>
      <w:r w:rsidR="00D972C7">
        <w:rPr>
          <w:rFonts w:ascii="Times New Roman" w:hAnsi="Times New Roman" w:cs="Times New Roman"/>
          <w:b/>
          <w:bCs/>
          <w:color w:val="000000"/>
          <w:sz w:val="24"/>
          <w:szCs w:val="24"/>
        </w:rPr>
        <w:t>Figure S</w:t>
      </w:r>
      <w:r w:rsidR="00C3005B">
        <w:rPr>
          <w:rFonts w:ascii="Times New Roman" w:hAnsi="Times New Roman" w:cs="Times New Roman"/>
          <w:b/>
          <w:bCs/>
          <w:color w:val="000000"/>
          <w:sz w:val="24"/>
          <w:szCs w:val="24"/>
        </w:rPr>
        <w:t>1</w:t>
      </w:r>
      <w:r w:rsidR="0041572C">
        <w:rPr>
          <w:rFonts w:ascii="Times New Roman" w:hAnsi="Times New Roman" w:cs="Times New Roman"/>
          <w:b/>
          <w:bCs/>
          <w:color w:val="000000"/>
          <w:sz w:val="24"/>
          <w:szCs w:val="24"/>
        </w:rPr>
        <w:t>2</w:t>
      </w:r>
      <w:r w:rsidR="00D972C7">
        <w:rPr>
          <w:rFonts w:ascii="Times New Roman" w:hAnsi="Times New Roman" w:cs="Times New Roman"/>
          <w:b/>
          <w:bCs/>
          <w:color w:val="000000"/>
          <w:sz w:val="24"/>
          <w:szCs w:val="24"/>
        </w:rPr>
        <w:t>.</w:t>
      </w:r>
      <w:r w:rsidR="00D972C7">
        <w:rPr>
          <w:rFonts w:ascii="Times New Roman" w:hAnsi="Times New Roman" w:cs="Times New Roman"/>
          <w:color w:val="000000"/>
          <w:sz w:val="24"/>
          <w:szCs w:val="24"/>
        </w:rPr>
        <w:t xml:space="preserve"> </w:t>
      </w:r>
      <w:r w:rsidR="005451D5" w:rsidRPr="005451D5">
        <w:rPr>
          <w:rFonts w:ascii="Times New Roman" w:hAnsi="Times New Roman" w:cs="Times New Roman"/>
          <w:color w:val="000000"/>
          <w:sz w:val="24"/>
          <w:szCs w:val="24"/>
        </w:rPr>
        <w:t xml:space="preserve">Age composition of spawners (top row) and harvest (bottom row). The figures in the left column represent simulated age compositions and the right column represents observed age composition of Sacramento River fall Chinook </w:t>
      </w:r>
      <w:r w:rsidR="0040149E">
        <w:rPr>
          <w:rFonts w:ascii="Times New Roman" w:hAnsi="Times New Roman" w:cs="Times New Roman"/>
          <w:color w:val="000000"/>
          <w:sz w:val="24"/>
          <w:szCs w:val="24"/>
        </w:rPr>
        <w:fldChar w:fldCharType="begin"/>
      </w:r>
      <w:r w:rsidR="00C95B68">
        <w:rPr>
          <w:rFonts w:ascii="Times New Roman" w:hAnsi="Times New Roman" w:cs="Times New Roman"/>
          <w:color w:val="000000"/>
          <w:sz w:val="24"/>
          <w:szCs w:val="24"/>
        </w:rPr>
        <w:instrText xml:space="preserve"> ADDIN ZOTERO_ITEM CSL_CITATION {"citationID":"LZK7JvhV","properties":{"formattedCitation":"(Satterthwaite et al. 2017)","plainCitation":"(Satterthwaite et al. 2017)","noteIndex":0},"citationItems":[{"id":366,"uris":["http://zotero.org/users/7442514/items/CW37U3MV"],"itemData":{"id":366,"type":"article-journal","container-title":"Transactions of the American Fisheries Society","issue":"4","note":"publisher: Taylor &amp; Francis","page":"594–610","source":"Google Scholar","title":"Ocean size and corresponding life history diversity among the four run timings of California Central Valley Chinook salmon","volume":"146","author":[{"family":"Satterthwaite","given":"William H."},{"family":"Carlson","given":"Stephanie M."},{"family":"Criss","given":"Anne"}],"issued":{"date-parts":[["2017"]]}}}],"schema":"https://github.com/citation-style-language/schema/raw/master/csl-citation.json"} </w:instrText>
      </w:r>
      <w:r w:rsidR="0040149E">
        <w:rPr>
          <w:rFonts w:ascii="Times New Roman" w:hAnsi="Times New Roman" w:cs="Times New Roman"/>
          <w:color w:val="000000"/>
          <w:sz w:val="24"/>
          <w:szCs w:val="24"/>
        </w:rPr>
        <w:fldChar w:fldCharType="separate"/>
      </w:r>
      <w:r w:rsidR="00C95B68" w:rsidRPr="00C95B68">
        <w:rPr>
          <w:rFonts w:ascii="Times New Roman" w:hAnsi="Times New Roman" w:cs="Times New Roman"/>
          <w:sz w:val="24"/>
        </w:rPr>
        <w:t>(Satterthwaite et al. 2017)</w:t>
      </w:r>
      <w:r w:rsidR="0040149E">
        <w:rPr>
          <w:rFonts w:ascii="Times New Roman" w:hAnsi="Times New Roman" w:cs="Times New Roman"/>
          <w:color w:val="000000"/>
          <w:sz w:val="24"/>
          <w:szCs w:val="24"/>
        </w:rPr>
        <w:fldChar w:fldCharType="end"/>
      </w:r>
      <w:r w:rsidR="005451D5" w:rsidRPr="005451D5">
        <w:rPr>
          <w:rFonts w:ascii="Times New Roman" w:hAnsi="Times New Roman" w:cs="Times New Roman"/>
          <w:color w:val="000000"/>
          <w:sz w:val="24"/>
          <w:szCs w:val="24"/>
        </w:rPr>
        <w:t xml:space="preserve"> and age composition of ocean impacts for Feather River hatchery fall Chinook brood years 1998 and 1999</w:t>
      </w:r>
      <w:r w:rsidR="0040149E">
        <w:rPr>
          <w:rFonts w:ascii="Times New Roman" w:hAnsi="Times New Roman" w:cs="Times New Roman"/>
          <w:color w:val="000000"/>
          <w:sz w:val="24"/>
          <w:szCs w:val="24"/>
        </w:rPr>
        <w:t xml:space="preserve"> </w:t>
      </w:r>
      <w:r w:rsidR="0040149E">
        <w:rPr>
          <w:rFonts w:ascii="Times New Roman" w:hAnsi="Times New Roman" w:cs="Times New Roman"/>
          <w:color w:val="000000"/>
          <w:sz w:val="24"/>
          <w:szCs w:val="24"/>
        </w:rPr>
        <w:fldChar w:fldCharType="begin"/>
      </w:r>
      <w:r w:rsidR="00C95B68">
        <w:rPr>
          <w:rFonts w:ascii="Times New Roman" w:hAnsi="Times New Roman" w:cs="Times New Roman"/>
          <w:color w:val="000000"/>
          <w:sz w:val="24"/>
          <w:szCs w:val="24"/>
        </w:rPr>
        <w:instrText xml:space="preserve"> ADDIN ZOTERO_ITEM CSL_CITATION {"citationID":"6kRF7kKI","properties":{"formattedCitation":"(Palmer-Zwahlen et al. 2006)","plainCitation":"(Palmer-Zwahlen et al. 2006)","noteIndex":0},"citationItems":[{"id":552,"uris":["http://zotero.org/users/7442514/items/8JFPUTUQ"],"itemData":{"id":552,"type":"report","language":"en","page":"61","publisher":"California Department of Fish and Game, Marine Region, Ocean Salmon Project","source":"Zotero","title":"Feather River Chinook cohort reconstruction brood years 1998 and 1999 fall and spring runs","author":[{"family":"Palmer-Zwahlen","given":"Melodie L"},{"family":"Grover","given":"Allen M"},{"family":"Duran","given":"Joseph A"}],"issued":{"date-parts":[["2006"]]}}}],"schema":"https://github.com/citation-style-language/schema/raw/master/csl-citation.json"} </w:instrText>
      </w:r>
      <w:r w:rsidR="0040149E">
        <w:rPr>
          <w:rFonts w:ascii="Times New Roman" w:hAnsi="Times New Roman" w:cs="Times New Roman"/>
          <w:color w:val="000000"/>
          <w:sz w:val="24"/>
          <w:szCs w:val="24"/>
        </w:rPr>
        <w:fldChar w:fldCharType="separate"/>
      </w:r>
      <w:r w:rsidR="00C95B68" w:rsidRPr="00C95B68">
        <w:rPr>
          <w:rFonts w:ascii="Times New Roman" w:hAnsi="Times New Roman" w:cs="Times New Roman"/>
          <w:sz w:val="24"/>
        </w:rPr>
        <w:t>(Palmer-Zwahlen et al. 2006)</w:t>
      </w:r>
      <w:r w:rsidR="0040149E">
        <w:rPr>
          <w:rFonts w:ascii="Times New Roman" w:hAnsi="Times New Roman" w:cs="Times New Roman"/>
          <w:color w:val="000000"/>
          <w:sz w:val="24"/>
          <w:szCs w:val="24"/>
        </w:rPr>
        <w:fldChar w:fldCharType="end"/>
      </w:r>
      <w:r w:rsidR="005451D5" w:rsidRPr="005451D5">
        <w:rPr>
          <w:rFonts w:ascii="Times New Roman" w:hAnsi="Times New Roman" w:cs="Times New Roman"/>
          <w:color w:val="000000"/>
          <w:sz w:val="24"/>
          <w:szCs w:val="24"/>
        </w:rPr>
        <w:t>.</w:t>
      </w:r>
    </w:p>
    <w:p w14:paraId="442ED5B4" w14:textId="653D3B61" w:rsidR="00681EEB" w:rsidRPr="00106E42" w:rsidRDefault="00CC6D77" w:rsidP="00106E42">
      <w:pPr>
        <w:pStyle w:val="ListParagraph"/>
        <w:pageBreakBefore/>
        <w:numPr>
          <w:ilvl w:val="0"/>
          <w:numId w:val="2"/>
        </w:numPr>
        <w:rPr>
          <w:rFonts w:ascii="Times New Roman" w:hAnsi="Times New Roman" w:cs="Times New Roman"/>
          <w:sz w:val="24"/>
          <w:szCs w:val="24"/>
        </w:rPr>
      </w:pPr>
      <w:r w:rsidRPr="00106E42">
        <w:rPr>
          <w:rFonts w:ascii="Times New Roman" w:hAnsi="Times New Roman" w:cs="Times New Roman"/>
          <w:sz w:val="24"/>
          <w:szCs w:val="24"/>
        </w:rPr>
        <w:lastRenderedPageBreak/>
        <w:t>Sensitivity analyses</w:t>
      </w:r>
    </w:p>
    <w:p w14:paraId="61312832" w14:textId="0CC7C3E6" w:rsidR="00CC6D77" w:rsidRDefault="001462D2" w:rsidP="00337C33">
      <w:pPr>
        <w:spacing w:line="480" w:lineRule="auto"/>
        <w:ind w:firstLine="720"/>
        <w:jc w:val="both"/>
        <w:rPr>
          <w:rFonts w:ascii="Times New Roman" w:eastAsia="Calibri" w:hAnsi="Times New Roman" w:cs="Times New Roman"/>
          <w:iCs/>
          <w:sz w:val="24"/>
          <w:szCs w:val="24"/>
        </w:rPr>
      </w:pPr>
      <w:r>
        <w:rPr>
          <w:rFonts w:ascii="Times New Roman" w:hAnsi="Times New Roman" w:cs="Times New Roman"/>
          <w:sz w:val="24"/>
          <w:szCs w:val="24"/>
        </w:rPr>
        <w:t xml:space="preserve">To test the robustness of our simulation results, we conducted sensitivity analyses to key model parameters. </w:t>
      </w:r>
      <w:r w:rsidR="009D73F2">
        <w:rPr>
          <w:rFonts w:ascii="Times New Roman" w:hAnsi="Times New Roman" w:cs="Times New Roman"/>
          <w:sz w:val="24"/>
          <w:szCs w:val="24"/>
        </w:rPr>
        <w:t>W</w:t>
      </w:r>
      <w:r>
        <w:rPr>
          <w:rFonts w:ascii="Times New Roman" w:hAnsi="Times New Roman" w:cs="Times New Roman"/>
          <w:sz w:val="24"/>
          <w:szCs w:val="24"/>
        </w:rPr>
        <w:t>e tested the sensitivity of our results to the coefficient of variation (CV) of the realized exploitation rate (</w:t>
      </w:r>
      <w:proofErr w:type="spellStart"/>
      <w:r>
        <w:rPr>
          <w:rFonts w:ascii="Times New Roman" w:hAnsi="Times New Roman" w:cs="Times New Roman"/>
          <w:sz w:val="24"/>
          <w:szCs w:val="24"/>
        </w:rPr>
        <w:t>Eqs</w:t>
      </w:r>
      <w:proofErr w:type="spellEnd"/>
      <w:r>
        <w:rPr>
          <w:rFonts w:ascii="Times New Roman" w:hAnsi="Times New Roman" w:cs="Times New Roman"/>
          <w:sz w:val="24"/>
          <w:szCs w:val="24"/>
        </w:rPr>
        <w:t>. 1</w:t>
      </w:r>
      <w:r w:rsidR="00C853BA">
        <w:rPr>
          <w:rFonts w:ascii="Times New Roman" w:hAnsi="Times New Roman" w:cs="Times New Roman"/>
          <w:sz w:val="24"/>
          <w:szCs w:val="24"/>
        </w:rPr>
        <w:t>7-19</w:t>
      </w:r>
      <w:r w:rsidR="001F0087">
        <w:rPr>
          <w:rFonts w:ascii="Times New Roman" w:hAnsi="Times New Roman" w:cs="Times New Roman"/>
          <w:sz w:val="24"/>
          <w:szCs w:val="24"/>
        </w:rPr>
        <w:t>, Table 1</w:t>
      </w:r>
      <w:r>
        <w:rPr>
          <w:rFonts w:ascii="Times New Roman" w:hAnsi="Times New Roman" w:cs="Times New Roman"/>
          <w:sz w:val="24"/>
          <w:szCs w:val="24"/>
        </w:rPr>
        <w:t xml:space="preserve">). </w:t>
      </w:r>
      <w:r w:rsidR="001B5EB3">
        <w:rPr>
          <w:rFonts w:ascii="Times New Roman" w:hAnsi="Times New Roman" w:cs="Times New Roman"/>
          <w:sz w:val="24"/>
          <w:szCs w:val="24"/>
        </w:rPr>
        <w:t>The base value (</w:t>
      </w:r>
      <w:proofErr w:type="spellStart"/>
      <w:r w:rsidR="001B5EB3">
        <w:rPr>
          <w:rFonts w:ascii="Times New Roman" w:hAnsi="Times New Roman" w:cs="Times New Roman"/>
          <w:sz w:val="24"/>
          <w:szCs w:val="24"/>
        </w:rPr>
        <w:t>CV</w:t>
      </w:r>
      <w:r w:rsidR="001B5EB3">
        <w:rPr>
          <w:rFonts w:ascii="Times New Roman" w:hAnsi="Times New Roman" w:cs="Times New Roman"/>
          <w:i/>
          <w:iCs/>
          <w:sz w:val="24"/>
          <w:szCs w:val="24"/>
          <w:vertAlign w:val="subscript"/>
        </w:rPr>
        <w:t>c</w:t>
      </w:r>
      <w:proofErr w:type="spellEnd"/>
      <w:r w:rsidR="001B5EB3">
        <w:rPr>
          <w:rFonts w:ascii="Times New Roman" w:hAnsi="Times New Roman" w:cs="Times New Roman"/>
          <w:sz w:val="24"/>
          <w:szCs w:val="24"/>
        </w:rPr>
        <w:t xml:space="preserve"> = 0.32) was ad</w:t>
      </w:r>
      <w:r w:rsidR="00D44277">
        <w:rPr>
          <w:rFonts w:ascii="Times New Roman" w:hAnsi="Times New Roman" w:cs="Times New Roman"/>
          <w:sz w:val="24"/>
          <w:szCs w:val="24"/>
        </w:rPr>
        <w:t>a</w:t>
      </w:r>
      <w:r w:rsidR="001B5EB3">
        <w:rPr>
          <w:rFonts w:ascii="Times New Roman" w:hAnsi="Times New Roman" w:cs="Times New Roman"/>
          <w:sz w:val="24"/>
          <w:szCs w:val="24"/>
        </w:rPr>
        <w:t xml:space="preserve">pted from a model for Sacramento River winter run Chinook salmon </w:t>
      </w:r>
      <w:r w:rsidR="001B5EB3">
        <w:rPr>
          <w:rFonts w:ascii="Times New Roman" w:hAnsi="Times New Roman" w:cs="Times New Roman"/>
          <w:sz w:val="24"/>
          <w:szCs w:val="24"/>
        </w:rPr>
        <w:fldChar w:fldCharType="begin"/>
      </w:r>
      <w:r w:rsidR="00C95B68">
        <w:rPr>
          <w:rFonts w:ascii="Times New Roman" w:hAnsi="Times New Roman" w:cs="Times New Roman"/>
          <w:sz w:val="24"/>
          <w:szCs w:val="24"/>
        </w:rPr>
        <w:instrText xml:space="preserve"> ADDIN ZOTERO_ITEM CSL_CITATION {"citationID":"gElqLvVg","properties":{"formattedCitation":"(Winship et al. 2013)","plainCitation":"(Winship et al. 2013)","noteIndex":0},"citationItems":[{"id":212,"uris":["http://zotero.org/users/7442514/items/533FT52D"],"itemData":{"id":212,"type":"article-journal","abstract":"Management strategy evaluation (MSE) is a simulation method commonly used to evaluate the expected performance of harvest strategies with respect to target populations. However, MSE is also useful for evaluating strategies designed to manage incidental take from endangered populations. We adapted MSE to the case of Sacramento River winter Chinook salmon, an endangered population that is subject to incidental take by mixed-stock ocean salmon ﬁsheries that target more abundant stocks. Pursuant to the US Endangered Species Act, the US National Marine Fisheries Service called for a new ﬁshery management strategy that would link the allowable ﬁshing mortality to the population’s risk of extinction. Our objective was to evaluate extinction risk under different harvest strategies. We simulated the dynamics of the salmon population and the management process simultaneously. The management process included harvest strategies that set allowable ﬁshing mortality rates as a function of population size. Strategies that reduced ﬁshing mortality rates in response to low estimates of population size resulted in lower extinction risk than strategies that set ﬁshing mortality rates at current or historical levels. The number of years of data taken into account by a strategy and the extent of reductions in ﬁshing mortality resulted in different frequencies and durations of reduced ﬁshing opportunity. By quantifying the trade-off between the risk of extinction of an endangered population and the opportunity for ﬁsheries to harvest target stocks, our study illustrated the utility of MSE for applications to endangered populations. Ó 2012 Elsevier Ltd. All rights reserved.","container-title":"Biological Conservation","DOI":"10.1016/j.biocon.2012.08.031","ISSN":"00063207","journalAbbreviation":"Biological Conservation","language":"en","page":"155-166","source":"DOI.org (Crossref)","title":"Management strategy evaluation applied to the conservation of an endangered population subject to incidental take","volume":"158","author":[{"family":"Winship","given":"Arliss J."},{"family":"O’Farrell","given":"Michael R."},{"family":"Mohr","given":"Michael S."}],"issued":{"date-parts":[["2013",2]]}}}],"schema":"https://github.com/citation-style-language/schema/raw/master/csl-citation.json"} </w:instrText>
      </w:r>
      <w:r w:rsidR="001B5EB3">
        <w:rPr>
          <w:rFonts w:ascii="Times New Roman" w:hAnsi="Times New Roman" w:cs="Times New Roman"/>
          <w:sz w:val="24"/>
          <w:szCs w:val="24"/>
        </w:rPr>
        <w:fldChar w:fldCharType="separate"/>
      </w:r>
      <w:r w:rsidR="00C95B68" w:rsidRPr="00C95B68">
        <w:rPr>
          <w:rFonts w:ascii="Times New Roman" w:hAnsi="Times New Roman" w:cs="Times New Roman"/>
          <w:sz w:val="24"/>
        </w:rPr>
        <w:t>(Winship et al. 2013)</w:t>
      </w:r>
      <w:r w:rsidR="001B5EB3">
        <w:rPr>
          <w:rFonts w:ascii="Times New Roman" w:hAnsi="Times New Roman" w:cs="Times New Roman"/>
          <w:sz w:val="24"/>
          <w:szCs w:val="24"/>
        </w:rPr>
        <w:fldChar w:fldCharType="end"/>
      </w:r>
      <w:r w:rsidR="001B5EB3">
        <w:rPr>
          <w:rFonts w:ascii="Times New Roman" w:hAnsi="Times New Roman" w:cs="Times New Roman"/>
          <w:sz w:val="24"/>
          <w:szCs w:val="24"/>
        </w:rPr>
        <w:t xml:space="preserve">. However, this is higher than values used in other studies and, thus, we ran the simulations with </w:t>
      </w:r>
      <w:proofErr w:type="spellStart"/>
      <w:r w:rsidR="001B5EB3">
        <w:rPr>
          <w:rFonts w:ascii="Times New Roman" w:hAnsi="Times New Roman" w:cs="Times New Roman"/>
          <w:sz w:val="24"/>
          <w:szCs w:val="24"/>
        </w:rPr>
        <w:t>CV</w:t>
      </w:r>
      <w:r w:rsidR="001B5EB3">
        <w:rPr>
          <w:rFonts w:ascii="Times New Roman" w:hAnsi="Times New Roman" w:cs="Times New Roman"/>
          <w:i/>
          <w:iCs/>
          <w:sz w:val="24"/>
          <w:szCs w:val="24"/>
          <w:vertAlign w:val="subscript"/>
        </w:rPr>
        <w:t>c</w:t>
      </w:r>
      <w:proofErr w:type="spellEnd"/>
      <w:r w:rsidR="001B5EB3">
        <w:rPr>
          <w:rFonts w:ascii="Times New Roman" w:hAnsi="Times New Roman" w:cs="Times New Roman"/>
          <w:sz w:val="24"/>
          <w:szCs w:val="24"/>
        </w:rPr>
        <w:t xml:space="preserve"> = 0.05. </w:t>
      </w:r>
      <w:r w:rsidR="00E94BDB">
        <w:rPr>
          <w:rFonts w:ascii="Times New Roman" w:hAnsi="Times New Roman" w:cs="Times New Roman"/>
          <w:sz w:val="24"/>
          <w:szCs w:val="24"/>
        </w:rPr>
        <w:t xml:space="preserve">The lower CV represents a scenario where the realized exploitation rate is generally closer to the prescribed exploitation rate from the harvest control rule </w:t>
      </w:r>
      <w:r w:rsidR="00034C59">
        <w:rPr>
          <w:rFonts w:ascii="Times New Roman" w:hAnsi="Times New Roman" w:cs="Times New Roman"/>
          <w:sz w:val="24"/>
          <w:szCs w:val="24"/>
        </w:rPr>
        <w:t xml:space="preserve">and lower implementation error </w:t>
      </w:r>
      <w:r w:rsidR="00E94BDB">
        <w:rPr>
          <w:rFonts w:ascii="Times New Roman" w:hAnsi="Times New Roman" w:cs="Times New Roman"/>
          <w:sz w:val="24"/>
          <w:szCs w:val="24"/>
        </w:rPr>
        <w:t>(Fig. S5).</w:t>
      </w:r>
      <w:r w:rsidR="009D73F2">
        <w:rPr>
          <w:rFonts w:ascii="Times New Roman" w:hAnsi="Times New Roman" w:cs="Times New Roman"/>
          <w:sz w:val="24"/>
          <w:szCs w:val="24"/>
        </w:rPr>
        <w:t xml:space="preserve"> </w:t>
      </w:r>
      <w:r w:rsidR="005D1A70">
        <w:rPr>
          <w:rFonts w:ascii="Times New Roman" w:hAnsi="Times New Roman" w:cs="Times New Roman"/>
          <w:sz w:val="24"/>
          <w:szCs w:val="24"/>
        </w:rPr>
        <w:t>We also tested the sensitivity of our results to the CV of recruitment stochasticity (</w:t>
      </w:r>
      <w:proofErr w:type="spellStart"/>
      <w:r w:rsidR="001F41FA">
        <w:rPr>
          <w:rFonts w:ascii="Times New Roman" w:hAnsi="Times New Roman" w:cs="Times New Roman"/>
          <w:sz w:val="24"/>
          <w:szCs w:val="24"/>
        </w:rPr>
        <w:t>CV</w:t>
      </w:r>
      <w:r w:rsidR="001F41FA">
        <w:rPr>
          <w:rFonts w:ascii="Times New Roman" w:hAnsi="Times New Roman" w:cs="Times New Roman"/>
          <w:i/>
          <w:iCs/>
          <w:sz w:val="24"/>
          <w:szCs w:val="24"/>
          <w:vertAlign w:val="subscript"/>
        </w:rPr>
        <w:t>j</w:t>
      </w:r>
      <w:proofErr w:type="spellEnd"/>
      <w:r w:rsidR="001F41FA">
        <w:rPr>
          <w:rFonts w:ascii="Times New Roman" w:hAnsi="Times New Roman" w:cs="Times New Roman"/>
          <w:sz w:val="24"/>
          <w:szCs w:val="24"/>
        </w:rPr>
        <w:t xml:space="preserve">; </w:t>
      </w:r>
      <w:r w:rsidR="005D1A70">
        <w:rPr>
          <w:rFonts w:ascii="Times New Roman" w:hAnsi="Times New Roman" w:cs="Times New Roman"/>
          <w:sz w:val="24"/>
          <w:szCs w:val="24"/>
        </w:rPr>
        <w:t>Eq. 4</w:t>
      </w:r>
      <w:r w:rsidR="00AE61DB">
        <w:rPr>
          <w:rFonts w:ascii="Times New Roman" w:hAnsi="Times New Roman" w:cs="Times New Roman"/>
          <w:sz w:val="24"/>
          <w:szCs w:val="24"/>
        </w:rPr>
        <w:t>, Table 1</w:t>
      </w:r>
      <w:r w:rsidR="005D1A70">
        <w:rPr>
          <w:rFonts w:ascii="Times New Roman" w:hAnsi="Times New Roman" w:cs="Times New Roman"/>
          <w:sz w:val="24"/>
          <w:szCs w:val="24"/>
        </w:rPr>
        <w:t>)</w:t>
      </w:r>
      <w:r w:rsidR="00806C62">
        <w:rPr>
          <w:rFonts w:ascii="Times New Roman" w:hAnsi="Times New Roman" w:cs="Times New Roman"/>
          <w:sz w:val="24"/>
          <w:szCs w:val="24"/>
        </w:rPr>
        <w:t>. Empirical data was lacking to infer this parameter</w:t>
      </w:r>
      <w:r w:rsidR="00347873">
        <w:rPr>
          <w:rFonts w:ascii="Times New Roman" w:hAnsi="Times New Roman" w:cs="Times New Roman"/>
          <w:sz w:val="24"/>
          <w:szCs w:val="24"/>
        </w:rPr>
        <w:t xml:space="preserve">, and we instead fitted this parameter through minimizing the sum of squared error between observed and simulated total spawner escapement </w:t>
      </w:r>
      <w:r w:rsidR="00785968">
        <w:rPr>
          <w:rFonts w:ascii="Times New Roman" w:hAnsi="Times New Roman" w:cs="Times New Roman"/>
          <w:sz w:val="24"/>
          <w:szCs w:val="24"/>
        </w:rPr>
        <w:t xml:space="preserve">(Eq. 20, Table 1) </w:t>
      </w:r>
      <w:r w:rsidR="00347873">
        <w:rPr>
          <w:rFonts w:ascii="Times New Roman" w:hAnsi="Times New Roman" w:cs="Times New Roman"/>
          <w:sz w:val="24"/>
          <w:szCs w:val="24"/>
        </w:rPr>
        <w:t>for the years 1988-2012.</w:t>
      </w:r>
      <w:r w:rsidR="0004400D">
        <w:rPr>
          <w:rFonts w:ascii="Times New Roman" w:hAnsi="Times New Roman" w:cs="Times New Roman"/>
          <w:sz w:val="24"/>
          <w:szCs w:val="24"/>
        </w:rPr>
        <w:t xml:space="preserve"> </w:t>
      </w:r>
      <w:r w:rsidR="002E1F12">
        <w:rPr>
          <w:rFonts w:ascii="Times New Roman" w:hAnsi="Times New Roman" w:cs="Times New Roman"/>
          <w:sz w:val="24"/>
          <w:szCs w:val="24"/>
        </w:rPr>
        <w:t>The fitted value used in our model (</w:t>
      </w:r>
      <w:proofErr w:type="spellStart"/>
      <w:r w:rsidR="002E1F12">
        <w:rPr>
          <w:rFonts w:ascii="Times New Roman" w:hAnsi="Times New Roman" w:cs="Times New Roman"/>
          <w:sz w:val="24"/>
          <w:szCs w:val="24"/>
        </w:rPr>
        <w:t>CV</w:t>
      </w:r>
      <w:r w:rsidR="002E1F12">
        <w:rPr>
          <w:rFonts w:ascii="Times New Roman" w:hAnsi="Times New Roman" w:cs="Times New Roman"/>
          <w:i/>
          <w:iCs/>
          <w:sz w:val="24"/>
          <w:szCs w:val="24"/>
          <w:vertAlign w:val="subscript"/>
        </w:rPr>
        <w:t>j</w:t>
      </w:r>
      <w:proofErr w:type="spellEnd"/>
      <w:r w:rsidR="002E1F12">
        <w:rPr>
          <w:rFonts w:ascii="Times New Roman" w:hAnsi="Times New Roman" w:cs="Times New Roman"/>
          <w:sz w:val="24"/>
          <w:szCs w:val="24"/>
        </w:rPr>
        <w:t xml:space="preserve"> = 0.</w:t>
      </w:r>
      <w:r w:rsidR="00A8219E">
        <w:rPr>
          <w:rFonts w:ascii="Times New Roman" w:hAnsi="Times New Roman" w:cs="Times New Roman"/>
          <w:sz w:val="24"/>
          <w:szCs w:val="24"/>
        </w:rPr>
        <w:t>215</w:t>
      </w:r>
      <w:r w:rsidR="002E1F12">
        <w:rPr>
          <w:rFonts w:ascii="Times New Roman" w:hAnsi="Times New Roman" w:cs="Times New Roman"/>
          <w:sz w:val="24"/>
          <w:szCs w:val="24"/>
        </w:rPr>
        <w:t xml:space="preserve">) was </w:t>
      </w:r>
      <w:r w:rsidR="00F72CB1">
        <w:rPr>
          <w:rFonts w:ascii="Times New Roman" w:hAnsi="Times New Roman" w:cs="Times New Roman"/>
          <w:sz w:val="24"/>
          <w:szCs w:val="24"/>
        </w:rPr>
        <w:t xml:space="preserve">higher than the posterior mean and median value for winter run Chinook </w:t>
      </w:r>
      <w:r w:rsidR="00D915EF">
        <w:rPr>
          <w:rFonts w:ascii="Times New Roman" w:hAnsi="Times New Roman" w:cs="Times New Roman"/>
          <w:sz w:val="24"/>
          <w:szCs w:val="24"/>
        </w:rPr>
        <w:t xml:space="preserve">in </w:t>
      </w:r>
      <w:r w:rsidR="00D915EF">
        <w:rPr>
          <w:rFonts w:ascii="Times New Roman" w:hAnsi="Times New Roman" w:cs="Times New Roman"/>
          <w:sz w:val="24"/>
          <w:szCs w:val="24"/>
        </w:rPr>
        <w:fldChar w:fldCharType="begin"/>
      </w:r>
      <w:r w:rsidR="00C95B68">
        <w:rPr>
          <w:rFonts w:ascii="Times New Roman" w:hAnsi="Times New Roman" w:cs="Times New Roman"/>
          <w:sz w:val="24"/>
          <w:szCs w:val="24"/>
        </w:rPr>
        <w:instrText xml:space="preserve"> ADDIN ZOTERO_ITEM CSL_CITATION {"citationID":"rHcRdUUt","properties":{"formattedCitation":"(Winship et al. 2014)","plainCitation":"(Winship et al. 2014)","noteIndex":0},"citationItems":[{"id":667,"uris":["http://zotero.org/users/7442514/items/QMSID6KY"],"itemData":{"id":667,"type":"article-journal","abstract":"We estimated the natural spawner–fry stock–recruitment relationship and juvenile survival rates for Sacramento River winter Chinook Salmon Oncorhynchus tshawytscha in California and used these estimates to examine the expected numbers of spawners and ﬁshing mortality under different ﬁshing mortality rates and levels of hatchery supplementation. A stochastic, age-structured population dynamics model was ﬁt to fry and female spawner abundance data for the years 1996–2010. Estimated survival rates of fry through the end of the ﬁrst year in the ocean were generally &lt;0.5%. Estimated survival rates of hatchery-origin ﬁsh from egg to the end of the ﬁrst year in the ocean were on average about four times greater than the estimated maximum rate for natural-origin ﬁsh. The hatchery program was estimated to increase the number of spawners returning to natural spawning areas and thereby increase the ﬁshing mortality rate that could be sustained. Assessing the past or future net effect of the hatchery on the size of the natural population would require quantifying any potential reduction in the productivity of the natural population as a result of reduced ﬁtness of hatchery-origin ﬁsh spawning in natural spawning areas.","container-title":"Transactions of the American Fisheries Society","DOI":"10.1080/00028487.2014.892532","ISSN":"0002-8487, 1548-8659","issue":"4","journalAbbreviation":"Transactions of the American Fisheries Society","language":"en","page":"957-971","source":"DOI.org (Crossref)","title":"Fishery and hatchery effects on an endangered salmon population with low productivity","volume":"143","author":[{"family":"Winship","given":"Arliss J."},{"family":"O’Farrell","given":"Michael R."},{"family":"Mohr","given":"Michael S."}],"issued":{"date-parts":[["2014",7,4]]}}}],"schema":"https://github.com/citation-style-language/schema/raw/master/csl-citation.json"} </w:instrText>
      </w:r>
      <w:r w:rsidR="00D915EF">
        <w:rPr>
          <w:rFonts w:ascii="Times New Roman" w:hAnsi="Times New Roman" w:cs="Times New Roman"/>
          <w:sz w:val="24"/>
          <w:szCs w:val="24"/>
        </w:rPr>
        <w:fldChar w:fldCharType="separate"/>
      </w:r>
      <w:r w:rsidR="00C95B68" w:rsidRPr="00C95B68">
        <w:rPr>
          <w:rFonts w:ascii="Times New Roman" w:hAnsi="Times New Roman" w:cs="Times New Roman"/>
          <w:sz w:val="24"/>
        </w:rPr>
        <w:t xml:space="preserve">Winship et al. </w:t>
      </w:r>
      <w:r w:rsidR="008C3D6D">
        <w:rPr>
          <w:rFonts w:ascii="Times New Roman" w:hAnsi="Times New Roman" w:cs="Times New Roman"/>
          <w:sz w:val="24"/>
        </w:rPr>
        <w:t>(</w:t>
      </w:r>
      <w:r w:rsidR="00C95B68" w:rsidRPr="00C95B68">
        <w:rPr>
          <w:rFonts w:ascii="Times New Roman" w:hAnsi="Times New Roman" w:cs="Times New Roman"/>
          <w:sz w:val="24"/>
        </w:rPr>
        <w:t>2014)</w:t>
      </w:r>
      <w:r w:rsidR="00D915EF">
        <w:rPr>
          <w:rFonts w:ascii="Times New Roman" w:hAnsi="Times New Roman" w:cs="Times New Roman"/>
          <w:sz w:val="24"/>
          <w:szCs w:val="24"/>
        </w:rPr>
        <w:fldChar w:fldCharType="end"/>
      </w:r>
      <w:r w:rsidR="00D915EF">
        <w:rPr>
          <w:rFonts w:ascii="Times New Roman" w:hAnsi="Times New Roman" w:cs="Times New Roman"/>
          <w:sz w:val="24"/>
          <w:szCs w:val="24"/>
        </w:rPr>
        <w:t xml:space="preserve">, thus we ran our simulations with </w:t>
      </w:r>
      <w:proofErr w:type="spellStart"/>
      <w:r w:rsidR="00D915EF">
        <w:rPr>
          <w:rFonts w:ascii="Times New Roman" w:hAnsi="Times New Roman" w:cs="Times New Roman"/>
          <w:sz w:val="24"/>
          <w:szCs w:val="24"/>
        </w:rPr>
        <w:t>CV</w:t>
      </w:r>
      <w:r w:rsidR="00D915EF">
        <w:rPr>
          <w:rFonts w:ascii="Times New Roman" w:hAnsi="Times New Roman" w:cs="Times New Roman"/>
          <w:i/>
          <w:iCs/>
          <w:sz w:val="24"/>
          <w:szCs w:val="24"/>
          <w:vertAlign w:val="subscript"/>
        </w:rPr>
        <w:t>j</w:t>
      </w:r>
      <w:proofErr w:type="spellEnd"/>
      <w:r w:rsidR="00D915EF">
        <w:rPr>
          <w:rFonts w:ascii="Times New Roman" w:hAnsi="Times New Roman" w:cs="Times New Roman"/>
          <w:sz w:val="24"/>
          <w:szCs w:val="24"/>
        </w:rPr>
        <w:t xml:space="preserve"> = 0.1, which was the median value in that study. Last, we tested the sensitivity of our results to the mean North Pacific Gyre Oscillation (NPGO) effect on early ocean survival. This value was also fitted </w:t>
      </w:r>
      <w:r w:rsidR="001E6D70">
        <w:rPr>
          <w:rFonts w:ascii="Times New Roman" w:hAnsi="Times New Roman" w:cs="Times New Roman"/>
          <w:sz w:val="24"/>
          <w:szCs w:val="24"/>
        </w:rPr>
        <w:t>by minimizing the sum of squared error and explained a ~</w:t>
      </w:r>
      <w:r w:rsidR="00F72CB1">
        <w:rPr>
          <w:rFonts w:ascii="Times New Roman" w:hAnsi="Times New Roman" w:cs="Times New Roman"/>
          <w:sz w:val="24"/>
          <w:szCs w:val="24"/>
        </w:rPr>
        <w:t>40</w:t>
      </w:r>
      <w:r w:rsidR="001E6D70">
        <w:rPr>
          <w:rFonts w:ascii="Times New Roman" w:hAnsi="Times New Roman" w:cs="Times New Roman"/>
          <w:sz w:val="24"/>
          <w:szCs w:val="24"/>
        </w:rPr>
        <w:t xml:space="preserve">% of the variability in escapement. However, studies have demonstrated that relationships between salmon escapement can exhibit non-stationarity </w:t>
      </w:r>
      <w:r w:rsidR="001E6D70">
        <w:rPr>
          <w:rFonts w:ascii="Times New Roman" w:hAnsi="Times New Roman" w:cs="Times New Roman"/>
          <w:sz w:val="24"/>
          <w:szCs w:val="24"/>
        </w:rPr>
        <w:fldChar w:fldCharType="begin"/>
      </w:r>
      <w:r w:rsidR="00C95B68">
        <w:rPr>
          <w:rFonts w:ascii="Times New Roman" w:hAnsi="Times New Roman" w:cs="Times New Roman"/>
          <w:sz w:val="24"/>
          <w:szCs w:val="24"/>
        </w:rPr>
        <w:instrText xml:space="preserve"> ADDIN ZOTERO_ITEM CSL_CITATION {"citationID":"1U4FBcYn","properties":{"formattedCitation":"(Litzow et al. 2018, 2019)","plainCitation":"(Litzow et al. 2018, 2019)","noteIndex":0},"citationItems":[{"id":1027,"uris":["http://zotero.org/users/7442514/items/XVIT4GYA"],"itemData":{"id":1027,"type":"article-journal","abstract":"Studies of climate effects on ecology often account for non-stationarity in individual physical and biological variables, but rarely allow for non-stationary relationships among variables. Here, we show that non-stationary relationships among physical and biological variables are central to understanding climate effects on salmon (\n              Onchorynchus\n              spp.) in the Gulf of Alaska during 1965–2012. The relative importance of two leading patterns in North Pacific climate, the Pacific Decadal Oscillation (PDO) and North Pacific Gyre Oscillation (NPGO), changed around 1988/1989 as reflected by changing correlations with leading axes of sea surface temperature variability. Simultaneously, relationships between the PDO and Gulf of Alaska environmental variables weakened, and long-standing temperature–salmon and PDO–salmon covariance declined to zero. We propose a mechanistic explanation for changing climate–salmon relationships in terms of non-stationary atmosphere–ocean interactions coinciding with changing PDO–NPGO relative importance. We also show that regression models assuming stationary climate–salmon relationships are inappropriate over the multidecadal time scale we consider. Relaxing assumptions of stationary relationships markedly improved modelling of climate effects on salmon catches and productivity. Attempts to understand the implications of changing climate patterns in other ecosystems might also be aided by the application of models that allow associations among environmental and biological variables to change over time.","container-title":"Proceedings of the Royal Society B: Biological Sciences","DOI":"10.1098/rspb.2018.1855","ISSN":"0962-8452, 1471-2954","issue":"1890","journalAbbreviation":"Proc. R. Soc. B.","language":"en","page":"20181855","source":"DOI.org (Crossref)","title":"Non-stationary climate–salmon relationships in the Gulf of Alaska","volume":"285","author":[{"family":"Litzow","given":"Michael A."},{"family":"Ciannelli","given":"Lorenzo"},{"family":"Puerta","given":"Patricia"},{"family":"Wettstein","given":"Justin J."},{"family":"Rykaczewski","given":"Ryan R."},{"family":"Opiekun","given":"Michael"}],"issued":{"date-parts":[["2018",11,7]]}}},{"id":1029,"uris":["http://zotero.org/users/7442514/items/AV79XIIP"],"itemData":{"id":1029,"type":"article-journal","abstract":"We tested the hypothesis that ocean temperature effects on productivity for northeast Paciﬁc pink (Oncorhynchus gorbuscha), sockeye (Oncorhynchus nerka), and chum salmon (Oncorhynchus keta) changed after 1988–1989, coincident with a decline in Aleutian Low variance. Nonstationary temperature effects were tested with three different analytical methods (correlation, mixed-effects models, and variable coefﬁcient generalized additive models) applied to spawner–recruit time series from 86 wild runs between Puget Sound and the northern Bering Sea. All three methods supported the hypothesis, with evidence for change in temperature effects that was strongest in the Gulf of Alaska, British Columbia, and Washington and weakest in the Bering Sea. Productivity for all three species showed generally positive responses to ocean temperature in Alaska before 1988–1989, but generally neutral responses after 1988–1989. British Columbia and Washington salmon showed either neutral responses to temperature (pink), negative responses that weakened after 1988–1989 (sockeye), or a switch from neutral to negative responses (chum). We conclude that the inverse response of Alaskan and more southern salmon populations to temperature variability is a time-dependent phenomenon.","container-title":"Canadian Journal of Fisheries and Aquatic Sciences","DOI":"10.1139/cjfas-2019-0120","ISSN":"0706-652X, 1205-7533","issue":"11","journalAbbreviation":"Can. J. Fish. Aquat. Sci.","language":"en","page":"1923-1928","source":"DOI.org (Crossref)","title":"Nonstationary effects of ocean temperature on Pacific salmon productivity","volume":"76","author":[{"family":"Litzow","given":"Michael A."},{"family":"Ciannelli","given":"Lorenzo"},{"family":"Cunningham","given":"Curry J."},{"family":"Johnson","given":"Bethany"},{"family":"Puerta","given":"Patricia"}],"issued":{"date-parts":[["2019",11]]}}}],"schema":"https://github.com/citation-style-language/schema/raw/master/csl-citation.json"} </w:instrText>
      </w:r>
      <w:r w:rsidR="001E6D70">
        <w:rPr>
          <w:rFonts w:ascii="Times New Roman" w:hAnsi="Times New Roman" w:cs="Times New Roman"/>
          <w:sz w:val="24"/>
          <w:szCs w:val="24"/>
        </w:rPr>
        <w:fldChar w:fldCharType="separate"/>
      </w:r>
      <w:r w:rsidR="00C95B68" w:rsidRPr="00C95B68">
        <w:rPr>
          <w:rFonts w:ascii="Times New Roman" w:hAnsi="Times New Roman" w:cs="Times New Roman"/>
          <w:sz w:val="24"/>
        </w:rPr>
        <w:t>(Litzow et al. 2018, 2019)</w:t>
      </w:r>
      <w:r w:rsidR="001E6D70">
        <w:rPr>
          <w:rFonts w:ascii="Times New Roman" w:hAnsi="Times New Roman" w:cs="Times New Roman"/>
          <w:sz w:val="24"/>
          <w:szCs w:val="24"/>
        </w:rPr>
        <w:fldChar w:fldCharType="end"/>
      </w:r>
      <w:r w:rsidR="001E6D70">
        <w:rPr>
          <w:rFonts w:ascii="Times New Roman" w:hAnsi="Times New Roman" w:cs="Times New Roman"/>
          <w:sz w:val="24"/>
          <w:szCs w:val="24"/>
        </w:rPr>
        <w:t>. Thus, we ran the model with lower mean effect of NPGO (</w:t>
      </w:r>
      <w:r w:rsidR="001E6D70" w:rsidRPr="001E6D70">
        <w:rPr>
          <w:rFonts w:ascii="Times New Roman" w:eastAsia="Calibri" w:hAnsi="Times New Roman" w:cs="Times New Roman"/>
          <w:iCs/>
          <w:sz w:val="24"/>
          <w:szCs w:val="24"/>
        </w:rPr>
        <w:t>ϕ</w:t>
      </w:r>
      <w:r w:rsidR="001E6D70">
        <w:rPr>
          <w:rFonts w:ascii="Times New Roman" w:eastAsia="Calibri" w:hAnsi="Times New Roman" w:cs="Times New Roman"/>
          <w:iCs/>
          <w:sz w:val="24"/>
          <w:szCs w:val="24"/>
        </w:rPr>
        <w:t xml:space="preserve"> = 0.1)</w:t>
      </w:r>
      <w:r w:rsidR="0016529E">
        <w:rPr>
          <w:rFonts w:ascii="Times New Roman" w:eastAsia="Calibri" w:hAnsi="Times New Roman" w:cs="Times New Roman"/>
          <w:iCs/>
          <w:sz w:val="24"/>
          <w:szCs w:val="24"/>
        </w:rPr>
        <w:t xml:space="preserve"> to examine how robust our results are to the strength of NPGO effect on survival.</w:t>
      </w:r>
    </w:p>
    <w:p w14:paraId="68F42DE3" w14:textId="549D4D53" w:rsidR="001B3520" w:rsidRDefault="00B614AF" w:rsidP="00A478CB">
      <w:pPr>
        <w:pageBreakBefore/>
        <w:spacing w:before="360" w:line="240" w:lineRule="auto"/>
        <w:jc w:val="both"/>
        <w:rPr>
          <w:rFonts w:ascii="Times New Roman" w:eastAsia="Calibri" w:hAnsi="Times New Roman" w:cs="Times New Roman"/>
          <w:iCs/>
          <w:sz w:val="24"/>
          <w:szCs w:val="24"/>
        </w:rPr>
      </w:pPr>
      <w:r>
        <w:rPr>
          <w:rFonts w:ascii="Times New Roman" w:eastAsia="Calibri" w:hAnsi="Times New Roman" w:cs="Times New Roman"/>
          <w:b/>
          <w:bCs/>
          <w:iCs/>
          <w:noProof/>
          <w:sz w:val="24"/>
          <w:szCs w:val="24"/>
        </w:rPr>
        <w:lastRenderedPageBreak/>
        <w:drawing>
          <wp:anchor distT="0" distB="0" distL="114300" distR="114300" simplePos="0" relativeHeight="251684864" behindDoc="0" locked="0" layoutInCell="1" allowOverlap="1" wp14:anchorId="52E48BBE" wp14:editId="15A7F260">
            <wp:simplePos x="0" y="0"/>
            <wp:positionH relativeFrom="column">
              <wp:posOffset>0</wp:posOffset>
            </wp:positionH>
            <wp:positionV relativeFrom="paragraph">
              <wp:posOffset>0</wp:posOffset>
            </wp:positionV>
            <wp:extent cx="5195570" cy="7143750"/>
            <wp:effectExtent l="0" t="0" r="5080" b="0"/>
            <wp:wrapTopAndBottom/>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195570" cy="7143750"/>
                    </a:xfrm>
                    <a:prstGeom prst="rect">
                      <a:avLst/>
                    </a:prstGeom>
                  </pic:spPr>
                </pic:pic>
              </a:graphicData>
            </a:graphic>
            <wp14:sizeRelH relativeFrom="margin">
              <wp14:pctWidth>0</wp14:pctWidth>
            </wp14:sizeRelH>
            <wp14:sizeRelV relativeFrom="margin">
              <wp14:pctHeight>0</wp14:pctHeight>
            </wp14:sizeRelV>
          </wp:anchor>
        </w:drawing>
      </w:r>
      <w:r w:rsidR="001B3520">
        <w:rPr>
          <w:rFonts w:ascii="Times New Roman" w:eastAsia="Calibri" w:hAnsi="Times New Roman" w:cs="Times New Roman"/>
          <w:b/>
          <w:bCs/>
          <w:iCs/>
          <w:sz w:val="24"/>
          <w:szCs w:val="24"/>
        </w:rPr>
        <w:t>Figure S</w:t>
      </w:r>
      <w:r w:rsidR="00392C44">
        <w:rPr>
          <w:rFonts w:ascii="Times New Roman" w:eastAsia="Calibri" w:hAnsi="Times New Roman" w:cs="Times New Roman"/>
          <w:b/>
          <w:bCs/>
          <w:iCs/>
          <w:sz w:val="24"/>
          <w:szCs w:val="24"/>
        </w:rPr>
        <w:t>1</w:t>
      </w:r>
      <w:r w:rsidR="00483DC0">
        <w:rPr>
          <w:rFonts w:ascii="Times New Roman" w:eastAsia="Calibri" w:hAnsi="Times New Roman" w:cs="Times New Roman"/>
          <w:b/>
          <w:bCs/>
          <w:iCs/>
          <w:sz w:val="24"/>
          <w:szCs w:val="24"/>
        </w:rPr>
        <w:t>3</w:t>
      </w:r>
      <w:r w:rsidR="001B3520">
        <w:rPr>
          <w:rFonts w:ascii="Times New Roman" w:eastAsia="Calibri" w:hAnsi="Times New Roman" w:cs="Times New Roman"/>
          <w:b/>
          <w:bCs/>
          <w:iCs/>
          <w:sz w:val="24"/>
          <w:szCs w:val="24"/>
        </w:rPr>
        <w:t>.</w:t>
      </w:r>
      <w:r w:rsidR="001B3520">
        <w:rPr>
          <w:rFonts w:ascii="Times New Roman" w:eastAsia="Calibri" w:hAnsi="Times New Roman" w:cs="Times New Roman"/>
          <w:iCs/>
          <w:sz w:val="24"/>
          <w:szCs w:val="24"/>
        </w:rPr>
        <w:t xml:space="preserve"> Sensitivity analysis for the coefficient of variation (CV) of realized exploitation rate (</w:t>
      </w:r>
      <w:proofErr w:type="spellStart"/>
      <w:r w:rsidR="001B3520">
        <w:rPr>
          <w:rFonts w:ascii="Times New Roman" w:eastAsia="Calibri" w:hAnsi="Times New Roman" w:cs="Times New Roman"/>
          <w:iCs/>
          <w:sz w:val="24"/>
          <w:szCs w:val="24"/>
        </w:rPr>
        <w:t>CV</w:t>
      </w:r>
      <w:r w:rsidR="001B3520">
        <w:rPr>
          <w:rFonts w:ascii="Times New Roman" w:eastAsia="Calibri" w:hAnsi="Times New Roman" w:cs="Times New Roman"/>
          <w:i/>
          <w:sz w:val="24"/>
          <w:szCs w:val="24"/>
          <w:vertAlign w:val="subscript"/>
        </w:rPr>
        <w:t>c</w:t>
      </w:r>
      <w:proofErr w:type="spellEnd"/>
      <w:r w:rsidR="001B3520">
        <w:rPr>
          <w:rFonts w:ascii="Times New Roman" w:eastAsia="Calibri" w:hAnsi="Times New Roman" w:cs="Times New Roman"/>
          <w:iCs/>
          <w:sz w:val="24"/>
          <w:szCs w:val="24"/>
        </w:rPr>
        <w:t xml:space="preserve"> = 0.05). </w:t>
      </w:r>
      <w:r w:rsidR="005867BF">
        <w:rPr>
          <w:rFonts w:ascii="Times New Roman" w:eastAsia="Calibri" w:hAnsi="Times New Roman" w:cs="Times New Roman"/>
          <w:iCs/>
          <w:sz w:val="24"/>
          <w:szCs w:val="24"/>
        </w:rPr>
        <w:t>Figures show m</w:t>
      </w:r>
      <w:r w:rsidR="001B3520">
        <w:rPr>
          <w:rFonts w:ascii="Times New Roman" w:eastAsia="Calibri" w:hAnsi="Times New Roman" w:cs="Times New Roman"/>
          <w:iCs/>
          <w:sz w:val="24"/>
          <w:szCs w:val="24"/>
        </w:rPr>
        <w:t>ean</w:t>
      </w:r>
      <w:r w:rsidR="00895A01">
        <w:rPr>
          <w:rFonts w:ascii="Times New Roman" w:eastAsia="Calibri" w:hAnsi="Times New Roman" w:cs="Times New Roman"/>
          <w:iCs/>
          <w:sz w:val="24"/>
          <w:szCs w:val="24"/>
        </w:rPr>
        <w:t>s</w:t>
      </w:r>
      <w:r w:rsidR="001B3520">
        <w:rPr>
          <w:rFonts w:ascii="Times New Roman" w:eastAsia="Calibri" w:hAnsi="Times New Roman" w:cs="Times New Roman"/>
          <w:iCs/>
          <w:sz w:val="24"/>
          <w:szCs w:val="24"/>
        </w:rPr>
        <w:t xml:space="preserve"> (</w:t>
      </w:r>
      <w:r w:rsidR="00BE31BF">
        <w:rPr>
          <w:rFonts w:ascii="Times New Roman" w:eastAsia="Calibri" w:hAnsi="Times New Roman" w:cs="Times New Roman"/>
          <w:iCs/>
          <w:sz w:val="24"/>
          <w:szCs w:val="24"/>
        </w:rPr>
        <w:t>horizontal lines in violin plots</w:t>
      </w:r>
      <w:r w:rsidR="001B3520">
        <w:rPr>
          <w:rFonts w:ascii="Times New Roman" w:eastAsia="Calibri" w:hAnsi="Times New Roman" w:cs="Times New Roman"/>
          <w:iCs/>
          <w:sz w:val="24"/>
          <w:szCs w:val="24"/>
        </w:rPr>
        <w:t xml:space="preserve">) and </w:t>
      </w:r>
      <w:r w:rsidR="00724E17">
        <w:rPr>
          <w:rFonts w:ascii="Times New Roman" w:eastAsia="Calibri" w:hAnsi="Times New Roman" w:cs="Times New Roman"/>
          <w:iCs/>
          <w:sz w:val="24"/>
          <w:szCs w:val="24"/>
        </w:rPr>
        <w:t>CV</w:t>
      </w:r>
      <w:r w:rsidR="00895A01">
        <w:rPr>
          <w:rFonts w:ascii="Times New Roman" w:eastAsia="Calibri" w:hAnsi="Times New Roman" w:cs="Times New Roman"/>
          <w:iCs/>
          <w:sz w:val="24"/>
          <w:szCs w:val="24"/>
        </w:rPr>
        <w:t>s</w:t>
      </w:r>
      <w:r w:rsidR="00724E17">
        <w:rPr>
          <w:rFonts w:ascii="Times New Roman" w:eastAsia="Calibri" w:hAnsi="Times New Roman" w:cs="Times New Roman"/>
          <w:iCs/>
          <w:sz w:val="24"/>
          <w:szCs w:val="24"/>
        </w:rPr>
        <w:t xml:space="preserve"> </w:t>
      </w:r>
      <w:r w:rsidR="001B3520">
        <w:rPr>
          <w:rFonts w:ascii="Times New Roman" w:eastAsia="Calibri" w:hAnsi="Times New Roman" w:cs="Times New Roman"/>
          <w:iCs/>
          <w:sz w:val="24"/>
          <w:szCs w:val="24"/>
        </w:rPr>
        <w:t>(</w:t>
      </w:r>
      <w:r w:rsidR="00BE31BF">
        <w:rPr>
          <w:rFonts w:ascii="Times New Roman" w:eastAsia="Calibri" w:hAnsi="Times New Roman" w:cs="Times New Roman"/>
          <w:iCs/>
          <w:sz w:val="24"/>
          <w:szCs w:val="24"/>
        </w:rPr>
        <w:t>circles</w:t>
      </w:r>
      <w:r w:rsidR="001B3520">
        <w:rPr>
          <w:rFonts w:ascii="Times New Roman" w:eastAsia="Calibri" w:hAnsi="Times New Roman" w:cs="Times New Roman"/>
          <w:iCs/>
          <w:sz w:val="24"/>
          <w:szCs w:val="24"/>
        </w:rPr>
        <w:t>) of spawner escapement</w:t>
      </w:r>
      <w:r w:rsidR="00D52E12">
        <w:rPr>
          <w:rFonts w:ascii="Times New Roman" w:eastAsia="Calibri" w:hAnsi="Times New Roman" w:cs="Times New Roman"/>
          <w:iCs/>
          <w:sz w:val="24"/>
          <w:szCs w:val="24"/>
        </w:rPr>
        <w:t xml:space="preserve"> and</w:t>
      </w:r>
      <w:r w:rsidR="001B3520">
        <w:rPr>
          <w:rFonts w:ascii="Times New Roman" w:eastAsia="Calibri" w:hAnsi="Times New Roman" w:cs="Times New Roman"/>
          <w:iCs/>
          <w:sz w:val="24"/>
          <w:szCs w:val="24"/>
        </w:rPr>
        <w:t xml:space="preserve"> harvest in relation to age structure and drought scenarios (colors).</w:t>
      </w:r>
      <w:r w:rsidR="00895A01">
        <w:rPr>
          <w:rFonts w:ascii="Times New Roman" w:eastAsia="Calibri" w:hAnsi="Times New Roman" w:cs="Times New Roman"/>
          <w:iCs/>
          <w:sz w:val="24"/>
          <w:szCs w:val="24"/>
        </w:rPr>
        <w:t xml:space="preserve"> </w:t>
      </w:r>
      <w:r w:rsidR="009044D3">
        <w:rPr>
          <w:rFonts w:ascii="Times New Roman" w:eastAsia="Calibri" w:hAnsi="Times New Roman" w:cs="Times New Roman"/>
          <w:iCs/>
          <w:sz w:val="24"/>
          <w:szCs w:val="24"/>
        </w:rPr>
        <w:t xml:space="preserve">Age structure scenarios altered by natural mortality rates </w:t>
      </w:r>
      <w:r w:rsidR="008C53B0">
        <w:rPr>
          <w:rFonts w:ascii="Times New Roman" w:eastAsia="Calibri" w:hAnsi="Times New Roman" w:cs="Times New Roman"/>
          <w:iCs/>
          <w:sz w:val="24"/>
          <w:szCs w:val="24"/>
        </w:rPr>
        <w:t xml:space="preserve">are in the left column </w:t>
      </w:r>
      <w:r w:rsidR="009044D3">
        <w:rPr>
          <w:rFonts w:ascii="Times New Roman" w:eastAsia="Calibri" w:hAnsi="Times New Roman" w:cs="Times New Roman"/>
          <w:iCs/>
          <w:sz w:val="24"/>
          <w:szCs w:val="24"/>
        </w:rPr>
        <w:t xml:space="preserve">and scenarios altered by maturation rates </w:t>
      </w:r>
      <w:r w:rsidR="008C53B0">
        <w:rPr>
          <w:rFonts w:ascii="Times New Roman" w:eastAsia="Calibri" w:hAnsi="Times New Roman" w:cs="Times New Roman"/>
          <w:iCs/>
          <w:sz w:val="24"/>
          <w:szCs w:val="24"/>
        </w:rPr>
        <w:t>are in the right column</w:t>
      </w:r>
      <w:r w:rsidR="009044D3">
        <w:rPr>
          <w:rFonts w:ascii="Times New Roman" w:eastAsia="Calibri" w:hAnsi="Times New Roman" w:cs="Times New Roman"/>
          <w:iCs/>
          <w:sz w:val="24"/>
          <w:szCs w:val="24"/>
        </w:rPr>
        <w:t>.</w:t>
      </w:r>
    </w:p>
    <w:p w14:paraId="6027255F" w14:textId="039089C2" w:rsidR="00CC4B74" w:rsidRDefault="008F5100" w:rsidP="00E9663C">
      <w:pPr>
        <w:pageBreakBefore/>
        <w:spacing w:before="360" w:line="240" w:lineRule="auto"/>
        <w:jc w:val="both"/>
        <w:rPr>
          <w:rFonts w:ascii="Times New Roman" w:eastAsia="Calibri" w:hAnsi="Times New Roman" w:cs="Times New Roman"/>
          <w:iCs/>
          <w:sz w:val="24"/>
          <w:szCs w:val="24"/>
        </w:rPr>
      </w:pPr>
      <w:r>
        <w:rPr>
          <w:rFonts w:ascii="Times New Roman" w:eastAsia="Calibri" w:hAnsi="Times New Roman" w:cs="Times New Roman"/>
          <w:b/>
          <w:bCs/>
          <w:iCs/>
          <w:noProof/>
          <w:sz w:val="24"/>
          <w:szCs w:val="24"/>
        </w:rPr>
        <w:lastRenderedPageBreak/>
        <w:drawing>
          <wp:anchor distT="0" distB="0" distL="114300" distR="114300" simplePos="0" relativeHeight="251685888" behindDoc="0" locked="0" layoutInCell="1" allowOverlap="1" wp14:anchorId="3E082BA4" wp14:editId="6C8D6F4C">
            <wp:simplePos x="0" y="0"/>
            <wp:positionH relativeFrom="column">
              <wp:posOffset>0</wp:posOffset>
            </wp:positionH>
            <wp:positionV relativeFrom="paragraph">
              <wp:posOffset>0</wp:posOffset>
            </wp:positionV>
            <wp:extent cx="5204460" cy="7156450"/>
            <wp:effectExtent l="0" t="0" r="0" b="6350"/>
            <wp:wrapTopAndBottom/>
            <wp:docPr id="18" name="Picture 1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scatte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04460" cy="7156450"/>
                    </a:xfrm>
                    <a:prstGeom prst="rect">
                      <a:avLst/>
                    </a:prstGeom>
                  </pic:spPr>
                </pic:pic>
              </a:graphicData>
            </a:graphic>
            <wp14:sizeRelH relativeFrom="margin">
              <wp14:pctWidth>0</wp14:pctWidth>
            </wp14:sizeRelH>
            <wp14:sizeRelV relativeFrom="margin">
              <wp14:pctHeight>0</wp14:pctHeight>
            </wp14:sizeRelV>
          </wp:anchor>
        </w:drawing>
      </w:r>
      <w:r w:rsidR="00CC4B74">
        <w:rPr>
          <w:rFonts w:ascii="Times New Roman" w:eastAsia="Calibri" w:hAnsi="Times New Roman" w:cs="Times New Roman"/>
          <w:b/>
          <w:bCs/>
          <w:iCs/>
          <w:sz w:val="24"/>
          <w:szCs w:val="24"/>
        </w:rPr>
        <w:t>Figure S</w:t>
      </w:r>
      <w:r w:rsidR="00392C44">
        <w:rPr>
          <w:rFonts w:ascii="Times New Roman" w:eastAsia="Calibri" w:hAnsi="Times New Roman" w:cs="Times New Roman"/>
          <w:b/>
          <w:bCs/>
          <w:iCs/>
          <w:sz w:val="24"/>
          <w:szCs w:val="24"/>
        </w:rPr>
        <w:t>1</w:t>
      </w:r>
      <w:r w:rsidR="00483DC0">
        <w:rPr>
          <w:rFonts w:ascii="Times New Roman" w:eastAsia="Calibri" w:hAnsi="Times New Roman" w:cs="Times New Roman"/>
          <w:b/>
          <w:bCs/>
          <w:iCs/>
          <w:sz w:val="24"/>
          <w:szCs w:val="24"/>
        </w:rPr>
        <w:t>4</w:t>
      </w:r>
      <w:r w:rsidR="00CC4B74">
        <w:rPr>
          <w:rFonts w:ascii="Times New Roman" w:eastAsia="Calibri" w:hAnsi="Times New Roman" w:cs="Times New Roman"/>
          <w:b/>
          <w:bCs/>
          <w:iCs/>
          <w:sz w:val="24"/>
          <w:szCs w:val="24"/>
        </w:rPr>
        <w:t xml:space="preserve">. </w:t>
      </w:r>
      <w:bookmarkStart w:id="0" w:name="_Hlk100915873"/>
      <w:r w:rsidR="00E9663C">
        <w:rPr>
          <w:rFonts w:ascii="Times New Roman" w:eastAsia="Calibri" w:hAnsi="Times New Roman" w:cs="Times New Roman"/>
          <w:iCs/>
          <w:sz w:val="24"/>
          <w:szCs w:val="24"/>
        </w:rPr>
        <w:t>Sensitivity analysis for the coefficient of variation (CV) of recruitment stochasticity (</w:t>
      </w:r>
      <w:proofErr w:type="spellStart"/>
      <w:r w:rsidR="00E9663C">
        <w:rPr>
          <w:rFonts w:ascii="Times New Roman" w:eastAsia="Calibri" w:hAnsi="Times New Roman" w:cs="Times New Roman"/>
          <w:iCs/>
          <w:sz w:val="24"/>
          <w:szCs w:val="24"/>
        </w:rPr>
        <w:t>CV</w:t>
      </w:r>
      <w:r w:rsidR="00E9663C">
        <w:rPr>
          <w:rFonts w:ascii="Times New Roman" w:eastAsia="Calibri" w:hAnsi="Times New Roman" w:cs="Times New Roman"/>
          <w:i/>
          <w:sz w:val="24"/>
          <w:szCs w:val="24"/>
          <w:vertAlign w:val="subscript"/>
        </w:rPr>
        <w:t>j</w:t>
      </w:r>
      <w:proofErr w:type="spellEnd"/>
      <w:r w:rsidR="00E9663C">
        <w:rPr>
          <w:rFonts w:ascii="Times New Roman" w:eastAsia="Calibri" w:hAnsi="Times New Roman" w:cs="Times New Roman"/>
          <w:iCs/>
          <w:sz w:val="24"/>
          <w:szCs w:val="24"/>
        </w:rPr>
        <w:t xml:space="preserve"> = 0.</w:t>
      </w:r>
      <w:r w:rsidR="00D67E98">
        <w:rPr>
          <w:rFonts w:ascii="Times New Roman" w:eastAsia="Calibri" w:hAnsi="Times New Roman" w:cs="Times New Roman"/>
          <w:iCs/>
          <w:sz w:val="24"/>
          <w:szCs w:val="24"/>
        </w:rPr>
        <w:t>1</w:t>
      </w:r>
      <w:r w:rsidR="00E9663C">
        <w:rPr>
          <w:rFonts w:ascii="Times New Roman" w:eastAsia="Calibri" w:hAnsi="Times New Roman" w:cs="Times New Roman"/>
          <w:iCs/>
          <w:sz w:val="24"/>
          <w:szCs w:val="24"/>
        </w:rPr>
        <w:t>). Figures show means (</w:t>
      </w:r>
      <w:r w:rsidR="007876AE">
        <w:rPr>
          <w:rFonts w:ascii="Times New Roman" w:eastAsia="Calibri" w:hAnsi="Times New Roman" w:cs="Times New Roman"/>
          <w:iCs/>
          <w:sz w:val="24"/>
          <w:szCs w:val="24"/>
        </w:rPr>
        <w:t>horizontal lines in violin plots</w:t>
      </w:r>
      <w:r w:rsidR="00E9663C">
        <w:rPr>
          <w:rFonts w:ascii="Times New Roman" w:eastAsia="Calibri" w:hAnsi="Times New Roman" w:cs="Times New Roman"/>
          <w:iCs/>
          <w:sz w:val="24"/>
          <w:szCs w:val="24"/>
        </w:rPr>
        <w:t>) and CVs (</w:t>
      </w:r>
      <w:r w:rsidR="007876AE">
        <w:rPr>
          <w:rFonts w:ascii="Times New Roman" w:eastAsia="Calibri" w:hAnsi="Times New Roman" w:cs="Times New Roman"/>
          <w:iCs/>
          <w:sz w:val="24"/>
          <w:szCs w:val="24"/>
        </w:rPr>
        <w:t>circles</w:t>
      </w:r>
      <w:r w:rsidR="00E9663C">
        <w:rPr>
          <w:rFonts w:ascii="Times New Roman" w:eastAsia="Calibri" w:hAnsi="Times New Roman" w:cs="Times New Roman"/>
          <w:iCs/>
          <w:sz w:val="24"/>
          <w:szCs w:val="24"/>
        </w:rPr>
        <w:t>) of spawner escapement</w:t>
      </w:r>
      <w:r w:rsidR="007876AE">
        <w:rPr>
          <w:rFonts w:ascii="Times New Roman" w:eastAsia="Calibri" w:hAnsi="Times New Roman" w:cs="Times New Roman"/>
          <w:iCs/>
          <w:sz w:val="24"/>
          <w:szCs w:val="24"/>
        </w:rPr>
        <w:t xml:space="preserve"> and</w:t>
      </w:r>
      <w:r w:rsidR="00E9663C">
        <w:rPr>
          <w:rFonts w:ascii="Times New Roman" w:eastAsia="Calibri" w:hAnsi="Times New Roman" w:cs="Times New Roman"/>
          <w:iCs/>
          <w:sz w:val="24"/>
          <w:szCs w:val="24"/>
        </w:rPr>
        <w:t xml:space="preserve"> harvest in relation to age structure and drought scenarios (colors). Age structure scenarios altered by natural mortality rates </w:t>
      </w:r>
      <w:r w:rsidR="007876AE">
        <w:rPr>
          <w:rFonts w:ascii="Times New Roman" w:eastAsia="Calibri" w:hAnsi="Times New Roman" w:cs="Times New Roman"/>
          <w:iCs/>
          <w:sz w:val="24"/>
          <w:szCs w:val="24"/>
        </w:rPr>
        <w:t xml:space="preserve">are in the left column </w:t>
      </w:r>
      <w:r w:rsidR="00E9663C">
        <w:rPr>
          <w:rFonts w:ascii="Times New Roman" w:eastAsia="Calibri" w:hAnsi="Times New Roman" w:cs="Times New Roman"/>
          <w:iCs/>
          <w:sz w:val="24"/>
          <w:szCs w:val="24"/>
        </w:rPr>
        <w:t xml:space="preserve">and scenarios altered by maturation rates </w:t>
      </w:r>
      <w:r w:rsidR="007876AE">
        <w:rPr>
          <w:rFonts w:ascii="Times New Roman" w:eastAsia="Calibri" w:hAnsi="Times New Roman" w:cs="Times New Roman"/>
          <w:iCs/>
          <w:sz w:val="24"/>
          <w:szCs w:val="24"/>
        </w:rPr>
        <w:t>are in the right column</w:t>
      </w:r>
      <w:r w:rsidR="00E9663C">
        <w:rPr>
          <w:rFonts w:ascii="Times New Roman" w:eastAsia="Calibri" w:hAnsi="Times New Roman" w:cs="Times New Roman"/>
          <w:iCs/>
          <w:sz w:val="24"/>
          <w:szCs w:val="24"/>
        </w:rPr>
        <w:t>.</w:t>
      </w:r>
      <w:bookmarkEnd w:id="0"/>
    </w:p>
    <w:p w14:paraId="619D3589" w14:textId="57E62008" w:rsidR="0041086E" w:rsidRDefault="00ED3191" w:rsidP="00E9663C">
      <w:pPr>
        <w:pageBreakBefore/>
        <w:spacing w:before="360" w:line="240" w:lineRule="auto"/>
        <w:jc w:val="both"/>
        <w:rPr>
          <w:rFonts w:ascii="Times New Roman" w:eastAsia="Calibri" w:hAnsi="Times New Roman" w:cs="Times New Roman"/>
          <w:iCs/>
          <w:sz w:val="24"/>
          <w:szCs w:val="24"/>
        </w:rPr>
      </w:pPr>
      <w:r>
        <w:rPr>
          <w:rFonts w:ascii="Times New Roman" w:eastAsia="Calibri" w:hAnsi="Times New Roman" w:cs="Times New Roman"/>
          <w:b/>
          <w:bCs/>
          <w:iCs/>
          <w:noProof/>
          <w:sz w:val="24"/>
          <w:szCs w:val="24"/>
        </w:rPr>
        <w:lastRenderedPageBreak/>
        <w:drawing>
          <wp:anchor distT="0" distB="0" distL="114300" distR="114300" simplePos="0" relativeHeight="251686912" behindDoc="0" locked="0" layoutInCell="1" allowOverlap="1" wp14:anchorId="45FD2B20" wp14:editId="4C50B337">
            <wp:simplePos x="0" y="0"/>
            <wp:positionH relativeFrom="column">
              <wp:posOffset>0</wp:posOffset>
            </wp:positionH>
            <wp:positionV relativeFrom="paragraph">
              <wp:posOffset>0</wp:posOffset>
            </wp:positionV>
            <wp:extent cx="5223510" cy="7182485"/>
            <wp:effectExtent l="0" t="0" r="0" b="0"/>
            <wp:wrapTopAndBottom/>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223510" cy="7182485"/>
                    </a:xfrm>
                    <a:prstGeom prst="rect">
                      <a:avLst/>
                    </a:prstGeom>
                  </pic:spPr>
                </pic:pic>
              </a:graphicData>
            </a:graphic>
            <wp14:sizeRelH relativeFrom="margin">
              <wp14:pctWidth>0</wp14:pctWidth>
            </wp14:sizeRelH>
            <wp14:sizeRelV relativeFrom="margin">
              <wp14:pctHeight>0</wp14:pctHeight>
            </wp14:sizeRelV>
          </wp:anchor>
        </w:drawing>
      </w:r>
      <w:r w:rsidR="002C0EBC">
        <w:rPr>
          <w:rFonts w:ascii="Times New Roman" w:eastAsia="Calibri" w:hAnsi="Times New Roman" w:cs="Times New Roman"/>
          <w:b/>
          <w:bCs/>
          <w:iCs/>
          <w:sz w:val="24"/>
          <w:szCs w:val="24"/>
        </w:rPr>
        <w:t>Figure S</w:t>
      </w:r>
      <w:r w:rsidR="00392C44">
        <w:rPr>
          <w:rFonts w:ascii="Times New Roman" w:eastAsia="Calibri" w:hAnsi="Times New Roman" w:cs="Times New Roman"/>
          <w:b/>
          <w:bCs/>
          <w:iCs/>
          <w:sz w:val="24"/>
          <w:szCs w:val="24"/>
        </w:rPr>
        <w:t>1</w:t>
      </w:r>
      <w:r w:rsidR="00483DC0">
        <w:rPr>
          <w:rFonts w:ascii="Times New Roman" w:eastAsia="Calibri" w:hAnsi="Times New Roman" w:cs="Times New Roman"/>
          <w:b/>
          <w:bCs/>
          <w:iCs/>
          <w:sz w:val="24"/>
          <w:szCs w:val="24"/>
        </w:rPr>
        <w:t>5</w:t>
      </w:r>
      <w:r w:rsidR="002C0EBC">
        <w:rPr>
          <w:rFonts w:ascii="Times New Roman" w:eastAsia="Calibri" w:hAnsi="Times New Roman" w:cs="Times New Roman"/>
          <w:b/>
          <w:bCs/>
          <w:iCs/>
          <w:sz w:val="24"/>
          <w:szCs w:val="24"/>
        </w:rPr>
        <w:t>.</w:t>
      </w:r>
      <w:r w:rsidR="002C0EBC">
        <w:rPr>
          <w:rFonts w:ascii="Times New Roman" w:eastAsia="Calibri" w:hAnsi="Times New Roman" w:cs="Times New Roman"/>
          <w:iCs/>
          <w:sz w:val="24"/>
          <w:szCs w:val="24"/>
        </w:rPr>
        <w:t xml:space="preserve"> Sensitivity analysis for the mean North Pacific Gyre Oscillation (NPGO) effect on early ocean survival (</w:t>
      </w:r>
      <w:r w:rsidR="002C0EBC" w:rsidRPr="001E6D70">
        <w:rPr>
          <w:rFonts w:ascii="Times New Roman" w:eastAsia="Calibri" w:hAnsi="Times New Roman" w:cs="Times New Roman"/>
          <w:iCs/>
          <w:sz w:val="24"/>
          <w:szCs w:val="24"/>
        </w:rPr>
        <w:t>ϕ</w:t>
      </w:r>
      <w:r w:rsidR="002C0EBC">
        <w:rPr>
          <w:rFonts w:ascii="Times New Roman" w:eastAsia="Calibri" w:hAnsi="Times New Roman" w:cs="Times New Roman"/>
          <w:iCs/>
          <w:sz w:val="24"/>
          <w:szCs w:val="24"/>
        </w:rPr>
        <w:t xml:space="preserve"> = 0.1). Figures show means (</w:t>
      </w:r>
      <w:r w:rsidR="00F0761E">
        <w:rPr>
          <w:rFonts w:ascii="Times New Roman" w:eastAsia="Calibri" w:hAnsi="Times New Roman" w:cs="Times New Roman"/>
          <w:iCs/>
          <w:sz w:val="24"/>
          <w:szCs w:val="24"/>
        </w:rPr>
        <w:t>horizontal lines in violin plots</w:t>
      </w:r>
      <w:r w:rsidR="002C0EBC">
        <w:rPr>
          <w:rFonts w:ascii="Times New Roman" w:eastAsia="Calibri" w:hAnsi="Times New Roman" w:cs="Times New Roman"/>
          <w:iCs/>
          <w:sz w:val="24"/>
          <w:szCs w:val="24"/>
        </w:rPr>
        <w:t xml:space="preserve">) and </w:t>
      </w:r>
      <w:r w:rsidR="001A15E9">
        <w:rPr>
          <w:rFonts w:ascii="Times New Roman" w:eastAsia="Calibri" w:hAnsi="Times New Roman" w:cs="Times New Roman"/>
          <w:iCs/>
          <w:sz w:val="24"/>
          <w:szCs w:val="24"/>
        </w:rPr>
        <w:t xml:space="preserve">coefficients of variation </w:t>
      </w:r>
      <w:r w:rsidR="002C0EBC">
        <w:rPr>
          <w:rFonts w:ascii="Times New Roman" w:eastAsia="Calibri" w:hAnsi="Times New Roman" w:cs="Times New Roman"/>
          <w:iCs/>
          <w:sz w:val="24"/>
          <w:szCs w:val="24"/>
        </w:rPr>
        <w:t>(</w:t>
      </w:r>
      <w:r w:rsidR="001A15E9">
        <w:rPr>
          <w:rFonts w:ascii="Times New Roman" w:eastAsia="Calibri" w:hAnsi="Times New Roman" w:cs="Times New Roman"/>
          <w:iCs/>
          <w:sz w:val="24"/>
          <w:szCs w:val="24"/>
        </w:rPr>
        <w:t xml:space="preserve">CVs; </w:t>
      </w:r>
      <w:r w:rsidR="00F0761E">
        <w:rPr>
          <w:rFonts w:ascii="Times New Roman" w:eastAsia="Calibri" w:hAnsi="Times New Roman" w:cs="Times New Roman"/>
          <w:iCs/>
          <w:sz w:val="24"/>
          <w:szCs w:val="24"/>
        </w:rPr>
        <w:t>circles</w:t>
      </w:r>
      <w:r w:rsidR="002C0EBC">
        <w:rPr>
          <w:rFonts w:ascii="Times New Roman" w:eastAsia="Calibri" w:hAnsi="Times New Roman" w:cs="Times New Roman"/>
          <w:iCs/>
          <w:sz w:val="24"/>
          <w:szCs w:val="24"/>
        </w:rPr>
        <w:t>) of spawner escapement</w:t>
      </w:r>
      <w:r w:rsidR="00F0761E">
        <w:rPr>
          <w:rFonts w:ascii="Times New Roman" w:eastAsia="Calibri" w:hAnsi="Times New Roman" w:cs="Times New Roman"/>
          <w:iCs/>
          <w:sz w:val="24"/>
          <w:szCs w:val="24"/>
        </w:rPr>
        <w:t xml:space="preserve"> and </w:t>
      </w:r>
      <w:r w:rsidR="002C0EBC">
        <w:rPr>
          <w:rFonts w:ascii="Times New Roman" w:eastAsia="Calibri" w:hAnsi="Times New Roman" w:cs="Times New Roman"/>
          <w:iCs/>
          <w:sz w:val="24"/>
          <w:szCs w:val="24"/>
        </w:rPr>
        <w:t xml:space="preserve">harvest in relation to age structure and drought scenarios (colors). Age structure scenarios altered by natural mortality rates </w:t>
      </w:r>
      <w:r w:rsidR="00F0761E">
        <w:rPr>
          <w:rFonts w:ascii="Times New Roman" w:eastAsia="Calibri" w:hAnsi="Times New Roman" w:cs="Times New Roman"/>
          <w:iCs/>
          <w:sz w:val="24"/>
          <w:szCs w:val="24"/>
        </w:rPr>
        <w:t>are in the left column</w:t>
      </w:r>
      <w:r w:rsidR="002C0EBC">
        <w:rPr>
          <w:rFonts w:ascii="Times New Roman" w:eastAsia="Calibri" w:hAnsi="Times New Roman" w:cs="Times New Roman"/>
          <w:iCs/>
          <w:sz w:val="24"/>
          <w:szCs w:val="24"/>
        </w:rPr>
        <w:t xml:space="preserve"> and scenarios altered by maturation rates </w:t>
      </w:r>
      <w:r w:rsidR="00F0761E">
        <w:rPr>
          <w:rFonts w:ascii="Times New Roman" w:eastAsia="Calibri" w:hAnsi="Times New Roman" w:cs="Times New Roman"/>
          <w:iCs/>
          <w:sz w:val="24"/>
          <w:szCs w:val="24"/>
        </w:rPr>
        <w:t>are in the right column</w:t>
      </w:r>
      <w:r w:rsidR="002C0EBC">
        <w:rPr>
          <w:rFonts w:ascii="Times New Roman" w:eastAsia="Calibri" w:hAnsi="Times New Roman" w:cs="Times New Roman"/>
          <w:iCs/>
          <w:sz w:val="24"/>
          <w:szCs w:val="24"/>
        </w:rPr>
        <w:t>.</w:t>
      </w:r>
    </w:p>
    <w:p w14:paraId="72AAA8D2" w14:textId="577AE941" w:rsidR="006949D8" w:rsidRPr="006949D8" w:rsidRDefault="0022020A" w:rsidP="00E9663C">
      <w:pPr>
        <w:pageBreakBefore/>
        <w:spacing w:before="360" w:line="240" w:lineRule="auto"/>
        <w:jc w:val="both"/>
        <w:rPr>
          <w:rFonts w:ascii="Times New Roman" w:eastAsia="Calibri" w:hAnsi="Times New Roman" w:cs="Times New Roman"/>
          <w:iCs/>
          <w:sz w:val="24"/>
          <w:szCs w:val="24"/>
        </w:rPr>
      </w:pPr>
      <w:r>
        <w:rPr>
          <w:rFonts w:ascii="Times New Roman" w:eastAsia="Calibri" w:hAnsi="Times New Roman" w:cs="Times New Roman"/>
          <w:b/>
          <w:bCs/>
          <w:iCs/>
          <w:noProof/>
          <w:sz w:val="24"/>
          <w:szCs w:val="24"/>
        </w:rPr>
        <w:lastRenderedPageBreak/>
        <w:drawing>
          <wp:anchor distT="0" distB="0" distL="114300" distR="114300" simplePos="0" relativeHeight="251687936" behindDoc="0" locked="0" layoutInCell="1" allowOverlap="1" wp14:anchorId="357020AC" wp14:editId="5C6C14C8">
            <wp:simplePos x="0" y="0"/>
            <wp:positionH relativeFrom="column">
              <wp:posOffset>0</wp:posOffset>
            </wp:positionH>
            <wp:positionV relativeFrom="paragraph">
              <wp:posOffset>0</wp:posOffset>
            </wp:positionV>
            <wp:extent cx="5943600" cy="4646930"/>
            <wp:effectExtent l="0" t="0" r="0" b="1270"/>
            <wp:wrapTopAndBottom/>
            <wp:docPr id="20" name="Picture 2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catter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4646930"/>
                    </a:xfrm>
                    <a:prstGeom prst="rect">
                      <a:avLst/>
                    </a:prstGeom>
                  </pic:spPr>
                </pic:pic>
              </a:graphicData>
            </a:graphic>
          </wp:anchor>
        </w:drawing>
      </w:r>
      <w:r w:rsidR="006949D8">
        <w:rPr>
          <w:rFonts w:ascii="Times New Roman" w:eastAsia="Calibri" w:hAnsi="Times New Roman" w:cs="Times New Roman"/>
          <w:b/>
          <w:bCs/>
          <w:iCs/>
          <w:sz w:val="24"/>
          <w:szCs w:val="24"/>
        </w:rPr>
        <w:t xml:space="preserve">Figure </w:t>
      </w:r>
      <w:r w:rsidR="00CF22B6">
        <w:rPr>
          <w:rFonts w:ascii="Times New Roman" w:eastAsia="Calibri" w:hAnsi="Times New Roman" w:cs="Times New Roman"/>
          <w:b/>
          <w:bCs/>
          <w:iCs/>
          <w:sz w:val="24"/>
          <w:szCs w:val="24"/>
        </w:rPr>
        <w:t>S</w:t>
      </w:r>
      <w:r w:rsidR="006949D8">
        <w:rPr>
          <w:rFonts w:ascii="Times New Roman" w:eastAsia="Calibri" w:hAnsi="Times New Roman" w:cs="Times New Roman"/>
          <w:b/>
          <w:bCs/>
          <w:iCs/>
          <w:sz w:val="24"/>
          <w:szCs w:val="24"/>
        </w:rPr>
        <w:t xml:space="preserve">16. </w:t>
      </w:r>
      <w:r w:rsidR="006949D8">
        <w:rPr>
          <w:rFonts w:ascii="Times New Roman" w:eastAsia="Calibri" w:hAnsi="Times New Roman" w:cs="Times New Roman"/>
          <w:iCs/>
          <w:sz w:val="24"/>
          <w:szCs w:val="24"/>
        </w:rPr>
        <w:t xml:space="preserve">Sensitivity of results when total run size (escapement + harvest) is considered. Figures show the total run size (a and b) and the coefficient of variation in the total run size (CV; c and d) under various age structure and drought scenarios (longer duration, more frequent, and more intense droughts). Age structure scenarios are arranged from lowest (left) to highest (right) diversity and modified by natural mortality rates (a and c) or maturation rates (b and d).  </w:t>
      </w:r>
    </w:p>
    <w:p w14:paraId="40C4A98E" w14:textId="73740DC3" w:rsidR="005F0520" w:rsidRDefault="00295B67" w:rsidP="001C2C9E">
      <w:pPr>
        <w:pageBreakBefore/>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3A7ABF9" w14:textId="77777777" w:rsidR="00551C5C" w:rsidRPr="00551C5C" w:rsidRDefault="00576864" w:rsidP="00551C5C">
      <w:pPr>
        <w:pStyle w:val="Bibliography"/>
        <w:rPr>
          <w:rFonts w:ascii="Times New Roman" w:hAnsi="Times New Roman" w:cs="Times New Roman"/>
          <w:sz w:val="24"/>
        </w:rPr>
      </w:pPr>
      <w:r>
        <w:rPr>
          <w:b/>
          <w:bCs/>
        </w:rPr>
        <w:fldChar w:fldCharType="begin"/>
      </w:r>
      <w:r w:rsidR="00C95B68" w:rsidRPr="00106E42">
        <w:rPr>
          <w:b/>
          <w:bCs/>
        </w:rPr>
        <w:instrText xml:space="preserve"> ADDIN ZOTERO_BIBL {"uncited":[],"omitted":[],"custom":[]} CSL_BIBLIOGRAPHY </w:instrText>
      </w:r>
      <w:r>
        <w:rPr>
          <w:b/>
          <w:bCs/>
        </w:rPr>
        <w:fldChar w:fldCharType="separate"/>
      </w:r>
      <w:r w:rsidR="00551C5C" w:rsidRPr="00551C5C">
        <w:rPr>
          <w:rFonts w:ascii="Times New Roman" w:hAnsi="Times New Roman" w:cs="Times New Roman"/>
          <w:sz w:val="24"/>
        </w:rPr>
        <w:t xml:space="preserve">Anderson, S.C., Cooper, A.B., and Dulvy, N.K. 2013. Ecological prophets: quantifying metapopulation portfolio effects. Methods Ecol. Evol. </w:t>
      </w:r>
      <w:r w:rsidR="00551C5C" w:rsidRPr="00551C5C">
        <w:rPr>
          <w:rFonts w:ascii="Times New Roman" w:hAnsi="Times New Roman" w:cs="Times New Roman"/>
          <w:b/>
          <w:bCs/>
          <w:sz w:val="24"/>
        </w:rPr>
        <w:t>4</w:t>
      </w:r>
      <w:r w:rsidR="00551C5C" w:rsidRPr="00551C5C">
        <w:rPr>
          <w:rFonts w:ascii="Times New Roman" w:hAnsi="Times New Roman" w:cs="Times New Roman"/>
          <w:sz w:val="24"/>
        </w:rPr>
        <w:t>(10): 971–981. doi:10.1111/2041-210X.12093.</w:t>
      </w:r>
    </w:p>
    <w:p w14:paraId="327D6E50"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Di Lorenzo, E., Schneider, N., Cobb, K.M., Franks, P.J.S., Chhak, K., Miller, A.J., McWilliams, J.C., Bograd, S.J., Arango, H., Curchitser, E., Powell, T.M., and Rivière, P. 2008. North Pacific Gyre Oscillation links ocean climate and ecosystem change. Geophys. Res. Lett. </w:t>
      </w:r>
      <w:r w:rsidRPr="00551C5C">
        <w:rPr>
          <w:rFonts w:ascii="Times New Roman" w:hAnsi="Times New Roman" w:cs="Times New Roman"/>
          <w:b/>
          <w:bCs/>
          <w:sz w:val="24"/>
        </w:rPr>
        <w:t>35</w:t>
      </w:r>
      <w:r w:rsidRPr="00551C5C">
        <w:rPr>
          <w:rFonts w:ascii="Times New Roman" w:hAnsi="Times New Roman" w:cs="Times New Roman"/>
          <w:sz w:val="24"/>
        </w:rPr>
        <w:t>(8): L08607. doi:10.1029/2007GL032838.</w:t>
      </w:r>
    </w:p>
    <w:p w14:paraId="10FDBA66"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Huber, E.R., and Carlson, S.M. 2015. Temporal trends in hatchery releases of fall-run Chinook salmon in California’s Central Valley. San Franc. Estuary Watershed Sci. </w:t>
      </w:r>
      <w:r w:rsidRPr="00551C5C">
        <w:rPr>
          <w:rFonts w:ascii="Times New Roman" w:hAnsi="Times New Roman" w:cs="Times New Roman"/>
          <w:b/>
          <w:bCs/>
          <w:sz w:val="24"/>
        </w:rPr>
        <w:t>13</w:t>
      </w:r>
      <w:r w:rsidRPr="00551C5C">
        <w:rPr>
          <w:rFonts w:ascii="Times New Roman" w:hAnsi="Times New Roman" w:cs="Times New Roman"/>
          <w:sz w:val="24"/>
        </w:rPr>
        <w:t>(2).</w:t>
      </w:r>
    </w:p>
    <w:p w14:paraId="70E48B88"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Litzow, M.A., Ciannelli, L., Cunningham, C.J., Johnson, B., and Puerta, P. 2019. Nonstationary effects of ocean temperature on Pacific salmon productivity. Can. J. Fish. Aquat. Sci. </w:t>
      </w:r>
      <w:r w:rsidRPr="00551C5C">
        <w:rPr>
          <w:rFonts w:ascii="Times New Roman" w:hAnsi="Times New Roman" w:cs="Times New Roman"/>
          <w:b/>
          <w:bCs/>
          <w:sz w:val="24"/>
        </w:rPr>
        <w:t>76</w:t>
      </w:r>
      <w:r w:rsidRPr="00551C5C">
        <w:rPr>
          <w:rFonts w:ascii="Times New Roman" w:hAnsi="Times New Roman" w:cs="Times New Roman"/>
          <w:sz w:val="24"/>
        </w:rPr>
        <w:t>(11): 1923–1928. doi:10.1139/cjfas-2019-0120.</w:t>
      </w:r>
    </w:p>
    <w:p w14:paraId="0AC9CE41"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Litzow, M.A., Ciannelli, L., Puerta, P., Wettstein, J.J., Rykaczewski, R.R., and Opiekun, M. 2018. Non-stationary climate–salmon relationships in the Gulf of Alaska. Proc. R. Soc. B Biol. Sci. </w:t>
      </w:r>
      <w:r w:rsidRPr="00551C5C">
        <w:rPr>
          <w:rFonts w:ascii="Times New Roman" w:hAnsi="Times New Roman" w:cs="Times New Roman"/>
          <w:b/>
          <w:bCs/>
          <w:sz w:val="24"/>
        </w:rPr>
        <w:t>285</w:t>
      </w:r>
      <w:r w:rsidRPr="00551C5C">
        <w:rPr>
          <w:rFonts w:ascii="Times New Roman" w:hAnsi="Times New Roman" w:cs="Times New Roman"/>
          <w:sz w:val="24"/>
        </w:rPr>
        <w:t>(1890): 20181855. doi:10.1098/rspb.2018.1855.</w:t>
      </w:r>
    </w:p>
    <w:p w14:paraId="7AFA522D"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Michel, C.J., Notch, J.J., Cordoleani, F., Ammann, A.J., and Danner, E.M. 2021. Nonlinear survival of imperiled fish informs managed flows in a highly modified river. Ecosphere </w:t>
      </w:r>
      <w:r w:rsidRPr="00551C5C">
        <w:rPr>
          <w:rFonts w:ascii="Times New Roman" w:hAnsi="Times New Roman" w:cs="Times New Roman"/>
          <w:b/>
          <w:bCs/>
          <w:sz w:val="24"/>
        </w:rPr>
        <w:t>12</w:t>
      </w:r>
      <w:r w:rsidRPr="00551C5C">
        <w:rPr>
          <w:rFonts w:ascii="Times New Roman" w:hAnsi="Times New Roman" w:cs="Times New Roman"/>
          <w:sz w:val="24"/>
        </w:rPr>
        <w:t>(5): e03498. doi:10.1002/ecs2.3498.</w:t>
      </w:r>
    </w:p>
    <w:p w14:paraId="702F7BE2"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Pacific Fisheries Management Council. 2021. Preseason report I: stock abundance analysis and environmental assessment part 1 for 2021 ocean salmon fishery regulations. Pacific Fishery Management Council, 7700 NE Ambassador Place, Suite 101, Portland, Oregon 97220-1384.</w:t>
      </w:r>
    </w:p>
    <w:p w14:paraId="68B090E6"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Palmer-Zwahlen, M.L., Grover, A.M., and Duran, J.A. 2006. Feather River Chinook cohort reconstruction brood years 1998 and 1999 fall and spring runs. California Department of Fish and Game, Marine Region, Ocean Salmon Project.</w:t>
      </w:r>
    </w:p>
    <w:p w14:paraId="58B3B4E0"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Satterthwaite, W.H., Carlson, S.M., and Criss, A. 2017. Ocean size and corresponding life history diversity among the four run timings of California Central Valley Chinook salmon. Trans. Am. Fish. Soc. </w:t>
      </w:r>
      <w:r w:rsidRPr="00551C5C">
        <w:rPr>
          <w:rFonts w:ascii="Times New Roman" w:hAnsi="Times New Roman" w:cs="Times New Roman"/>
          <w:b/>
          <w:bCs/>
          <w:sz w:val="24"/>
        </w:rPr>
        <w:t>146</w:t>
      </w:r>
      <w:r w:rsidRPr="00551C5C">
        <w:rPr>
          <w:rFonts w:ascii="Times New Roman" w:hAnsi="Times New Roman" w:cs="Times New Roman"/>
          <w:sz w:val="24"/>
        </w:rPr>
        <w:t>(4): 594–610. Taylor &amp; Francis.</w:t>
      </w:r>
    </w:p>
    <w:p w14:paraId="012ECFBE"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Satterthwaite, William.H., and Shelton, A.O. 2022. Methods for assessing and responding to bias and uncertainty in U.S. West Coast salmon abundance forecasts. Fish. Res. </w:t>
      </w:r>
      <w:r w:rsidRPr="00551C5C">
        <w:rPr>
          <w:rFonts w:ascii="Times New Roman" w:hAnsi="Times New Roman" w:cs="Times New Roman"/>
          <w:b/>
          <w:bCs/>
          <w:sz w:val="24"/>
        </w:rPr>
        <w:t>257</w:t>
      </w:r>
      <w:r w:rsidRPr="00551C5C">
        <w:rPr>
          <w:rFonts w:ascii="Times New Roman" w:hAnsi="Times New Roman" w:cs="Times New Roman"/>
          <w:sz w:val="24"/>
        </w:rPr>
        <w:t>: 106502. doi:10.1016/j.fishres.2022.106502.</w:t>
      </w:r>
    </w:p>
    <w:p w14:paraId="7BE461BE"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Sturrock, A.M., Satterthwaite, W.H., Cervantes‐Yoshida, K.M., Huber, E.R., Sturrock, H.J.W., Nusslé, S., and Carlson, S.M. 2019. Eight decades of hatchery salmon releases in the California Central Valley: factors influencing straying and resilience. Fisheries </w:t>
      </w:r>
      <w:r w:rsidRPr="00551C5C">
        <w:rPr>
          <w:rFonts w:ascii="Times New Roman" w:hAnsi="Times New Roman" w:cs="Times New Roman"/>
          <w:b/>
          <w:bCs/>
          <w:sz w:val="24"/>
        </w:rPr>
        <w:t>44</w:t>
      </w:r>
      <w:r w:rsidRPr="00551C5C">
        <w:rPr>
          <w:rFonts w:ascii="Times New Roman" w:hAnsi="Times New Roman" w:cs="Times New Roman"/>
          <w:sz w:val="24"/>
        </w:rPr>
        <w:t>(9): 433–444. doi:10.1002/fsh.10267.</w:t>
      </w:r>
    </w:p>
    <w:p w14:paraId="0386BF4C"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Winship, A.J., O’Farrell, M.R., and Mohr, M.S. 2013. Management strategy evaluation applied to the conservation of an endangered population subject to incidental take. Biol. Conserv. </w:t>
      </w:r>
      <w:r w:rsidRPr="00551C5C">
        <w:rPr>
          <w:rFonts w:ascii="Times New Roman" w:hAnsi="Times New Roman" w:cs="Times New Roman"/>
          <w:b/>
          <w:bCs/>
          <w:sz w:val="24"/>
        </w:rPr>
        <w:t>158</w:t>
      </w:r>
      <w:r w:rsidRPr="00551C5C">
        <w:rPr>
          <w:rFonts w:ascii="Times New Roman" w:hAnsi="Times New Roman" w:cs="Times New Roman"/>
          <w:sz w:val="24"/>
        </w:rPr>
        <w:t>: 155–166. doi:10.1016/j.biocon.2012.08.031.</w:t>
      </w:r>
    </w:p>
    <w:p w14:paraId="63657CA1" w14:textId="77777777" w:rsidR="00551C5C" w:rsidRPr="00551C5C" w:rsidRDefault="00551C5C" w:rsidP="00551C5C">
      <w:pPr>
        <w:pStyle w:val="Bibliography"/>
        <w:rPr>
          <w:rFonts w:ascii="Times New Roman" w:hAnsi="Times New Roman" w:cs="Times New Roman"/>
          <w:sz w:val="24"/>
        </w:rPr>
      </w:pPr>
      <w:r w:rsidRPr="00551C5C">
        <w:rPr>
          <w:rFonts w:ascii="Times New Roman" w:hAnsi="Times New Roman" w:cs="Times New Roman"/>
          <w:sz w:val="24"/>
        </w:rPr>
        <w:t xml:space="preserve">Winship, A.J., O’Farrell, M.R., and Mohr, M.S. 2014. Fishery and hatchery effects on an endangered salmon population with low productivity. Trans. Am. Fish. Soc. </w:t>
      </w:r>
      <w:r w:rsidRPr="00551C5C">
        <w:rPr>
          <w:rFonts w:ascii="Times New Roman" w:hAnsi="Times New Roman" w:cs="Times New Roman"/>
          <w:b/>
          <w:bCs/>
          <w:sz w:val="24"/>
        </w:rPr>
        <w:t>143</w:t>
      </w:r>
      <w:r w:rsidRPr="00551C5C">
        <w:rPr>
          <w:rFonts w:ascii="Times New Roman" w:hAnsi="Times New Roman" w:cs="Times New Roman"/>
          <w:sz w:val="24"/>
        </w:rPr>
        <w:t>(4): 957–971. doi:10.1080/00028487.2014.892532.</w:t>
      </w:r>
    </w:p>
    <w:p w14:paraId="4640EB4C" w14:textId="26CE74ED" w:rsidR="00A44901" w:rsidRPr="00295B67" w:rsidRDefault="00576864" w:rsidP="00106E42">
      <w:pPr>
        <w:spacing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A44901" w:rsidRPr="0029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F00"/>
    <w:multiLevelType w:val="hybridMultilevel"/>
    <w:tmpl w:val="BB60C204"/>
    <w:lvl w:ilvl="0" w:tplc="FCC60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2689"/>
    <w:multiLevelType w:val="hybridMultilevel"/>
    <w:tmpl w:val="060E9C98"/>
    <w:lvl w:ilvl="0" w:tplc="31DA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94A81"/>
    <w:multiLevelType w:val="hybridMultilevel"/>
    <w:tmpl w:val="7C54FFEE"/>
    <w:lvl w:ilvl="0" w:tplc="6A6057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023D63"/>
    <w:multiLevelType w:val="hybridMultilevel"/>
    <w:tmpl w:val="54F6CE70"/>
    <w:lvl w:ilvl="0" w:tplc="3D98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B257A"/>
    <w:multiLevelType w:val="hybridMultilevel"/>
    <w:tmpl w:val="E1EE0892"/>
    <w:lvl w:ilvl="0" w:tplc="5C2C7E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7956699">
    <w:abstractNumId w:val="2"/>
  </w:num>
  <w:num w:numId="2" w16cid:durableId="990057904">
    <w:abstractNumId w:val="4"/>
  </w:num>
  <w:num w:numId="3" w16cid:durableId="746195707">
    <w:abstractNumId w:val="0"/>
  </w:num>
  <w:num w:numId="4" w16cid:durableId="1693874791">
    <w:abstractNumId w:val="3"/>
  </w:num>
  <w:num w:numId="5" w16cid:durableId="46512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29"/>
    <w:rsid w:val="00014BF4"/>
    <w:rsid w:val="00014EED"/>
    <w:rsid w:val="00034711"/>
    <w:rsid w:val="00034C59"/>
    <w:rsid w:val="00037EF0"/>
    <w:rsid w:val="00042A60"/>
    <w:rsid w:val="0004400D"/>
    <w:rsid w:val="00062193"/>
    <w:rsid w:val="00071177"/>
    <w:rsid w:val="000743CB"/>
    <w:rsid w:val="00081E7A"/>
    <w:rsid w:val="000909BB"/>
    <w:rsid w:val="000A2AD8"/>
    <w:rsid w:val="000B0CD7"/>
    <w:rsid w:val="000B4698"/>
    <w:rsid w:val="000B7535"/>
    <w:rsid w:val="000C1743"/>
    <w:rsid w:val="000D333E"/>
    <w:rsid w:val="000E61B3"/>
    <w:rsid w:val="000F3CD2"/>
    <w:rsid w:val="000F42A9"/>
    <w:rsid w:val="00106E42"/>
    <w:rsid w:val="001173EC"/>
    <w:rsid w:val="00125C6E"/>
    <w:rsid w:val="0012651D"/>
    <w:rsid w:val="0013054C"/>
    <w:rsid w:val="00131E47"/>
    <w:rsid w:val="00144F76"/>
    <w:rsid w:val="001462D2"/>
    <w:rsid w:val="00146350"/>
    <w:rsid w:val="00147DCD"/>
    <w:rsid w:val="0015028C"/>
    <w:rsid w:val="00156F0E"/>
    <w:rsid w:val="0016369A"/>
    <w:rsid w:val="0016529E"/>
    <w:rsid w:val="001808FD"/>
    <w:rsid w:val="00185818"/>
    <w:rsid w:val="00186E55"/>
    <w:rsid w:val="00190260"/>
    <w:rsid w:val="00193E99"/>
    <w:rsid w:val="001A15E9"/>
    <w:rsid w:val="001A3197"/>
    <w:rsid w:val="001A4EC5"/>
    <w:rsid w:val="001A5626"/>
    <w:rsid w:val="001B0BF1"/>
    <w:rsid w:val="001B3520"/>
    <w:rsid w:val="001B5EB3"/>
    <w:rsid w:val="001B795E"/>
    <w:rsid w:val="001C2C9E"/>
    <w:rsid w:val="001C434F"/>
    <w:rsid w:val="001D7558"/>
    <w:rsid w:val="001E49A1"/>
    <w:rsid w:val="001E6D70"/>
    <w:rsid w:val="001F0087"/>
    <w:rsid w:val="001F41FA"/>
    <w:rsid w:val="001F44DB"/>
    <w:rsid w:val="002038D9"/>
    <w:rsid w:val="0022020A"/>
    <w:rsid w:val="002207B7"/>
    <w:rsid w:val="002273E2"/>
    <w:rsid w:val="00233582"/>
    <w:rsid w:val="00235B73"/>
    <w:rsid w:val="00244961"/>
    <w:rsid w:val="00254949"/>
    <w:rsid w:val="00261EB9"/>
    <w:rsid w:val="00275B95"/>
    <w:rsid w:val="002913C5"/>
    <w:rsid w:val="00295B67"/>
    <w:rsid w:val="002B4783"/>
    <w:rsid w:val="002C0EBC"/>
    <w:rsid w:val="002D4DAB"/>
    <w:rsid w:val="002E1F12"/>
    <w:rsid w:val="002F65E3"/>
    <w:rsid w:val="0033555D"/>
    <w:rsid w:val="00337C33"/>
    <w:rsid w:val="00347873"/>
    <w:rsid w:val="00347D80"/>
    <w:rsid w:val="00384C0F"/>
    <w:rsid w:val="00392C44"/>
    <w:rsid w:val="00394D23"/>
    <w:rsid w:val="003A2D12"/>
    <w:rsid w:val="003A5B74"/>
    <w:rsid w:val="003C1E09"/>
    <w:rsid w:val="003F41E4"/>
    <w:rsid w:val="0040149E"/>
    <w:rsid w:val="00402F78"/>
    <w:rsid w:val="00406B4D"/>
    <w:rsid w:val="0041086E"/>
    <w:rsid w:val="00411781"/>
    <w:rsid w:val="00412A70"/>
    <w:rsid w:val="0041572C"/>
    <w:rsid w:val="0041605A"/>
    <w:rsid w:val="00430AAA"/>
    <w:rsid w:val="004323D6"/>
    <w:rsid w:val="00435464"/>
    <w:rsid w:val="00455308"/>
    <w:rsid w:val="004666C0"/>
    <w:rsid w:val="004677FF"/>
    <w:rsid w:val="004708CC"/>
    <w:rsid w:val="00480E74"/>
    <w:rsid w:val="00483DC0"/>
    <w:rsid w:val="004A7D99"/>
    <w:rsid w:val="004B501A"/>
    <w:rsid w:val="004B6B63"/>
    <w:rsid w:val="004F6324"/>
    <w:rsid w:val="004F780A"/>
    <w:rsid w:val="005039E2"/>
    <w:rsid w:val="00513213"/>
    <w:rsid w:val="00516B28"/>
    <w:rsid w:val="005247BF"/>
    <w:rsid w:val="005324F9"/>
    <w:rsid w:val="00540E38"/>
    <w:rsid w:val="005451D5"/>
    <w:rsid w:val="00551C5C"/>
    <w:rsid w:val="00563E51"/>
    <w:rsid w:val="00565F17"/>
    <w:rsid w:val="00576864"/>
    <w:rsid w:val="00580344"/>
    <w:rsid w:val="005813E2"/>
    <w:rsid w:val="00582AF0"/>
    <w:rsid w:val="005867BF"/>
    <w:rsid w:val="00591541"/>
    <w:rsid w:val="00592D7F"/>
    <w:rsid w:val="005943FD"/>
    <w:rsid w:val="00595D60"/>
    <w:rsid w:val="00596E85"/>
    <w:rsid w:val="005C3C17"/>
    <w:rsid w:val="005C7AEE"/>
    <w:rsid w:val="005D1A70"/>
    <w:rsid w:val="005E4202"/>
    <w:rsid w:val="005F0520"/>
    <w:rsid w:val="005F06F7"/>
    <w:rsid w:val="005F0D3C"/>
    <w:rsid w:val="00621062"/>
    <w:rsid w:val="006351EA"/>
    <w:rsid w:val="00645CEA"/>
    <w:rsid w:val="00656CDC"/>
    <w:rsid w:val="00680545"/>
    <w:rsid w:val="00681EEB"/>
    <w:rsid w:val="006822A6"/>
    <w:rsid w:val="00685C5F"/>
    <w:rsid w:val="00691849"/>
    <w:rsid w:val="006949D8"/>
    <w:rsid w:val="00695CF8"/>
    <w:rsid w:val="006A493A"/>
    <w:rsid w:val="006B1312"/>
    <w:rsid w:val="006B7BD4"/>
    <w:rsid w:val="006D2468"/>
    <w:rsid w:val="006E706B"/>
    <w:rsid w:val="007110CB"/>
    <w:rsid w:val="00724172"/>
    <w:rsid w:val="00724E17"/>
    <w:rsid w:val="007274C0"/>
    <w:rsid w:val="007300FA"/>
    <w:rsid w:val="00730DF8"/>
    <w:rsid w:val="00773C84"/>
    <w:rsid w:val="00773D4F"/>
    <w:rsid w:val="00785968"/>
    <w:rsid w:val="007876AE"/>
    <w:rsid w:val="00790F19"/>
    <w:rsid w:val="007A1C50"/>
    <w:rsid w:val="007A1F53"/>
    <w:rsid w:val="007C3407"/>
    <w:rsid w:val="007D40B1"/>
    <w:rsid w:val="007D4A62"/>
    <w:rsid w:val="007D6BFA"/>
    <w:rsid w:val="007E5203"/>
    <w:rsid w:val="00806C62"/>
    <w:rsid w:val="008478EB"/>
    <w:rsid w:val="00895A01"/>
    <w:rsid w:val="008A1B3E"/>
    <w:rsid w:val="008B644F"/>
    <w:rsid w:val="008C3D6D"/>
    <w:rsid w:val="008C53B0"/>
    <w:rsid w:val="008D5204"/>
    <w:rsid w:val="008F5100"/>
    <w:rsid w:val="009044D3"/>
    <w:rsid w:val="0091059C"/>
    <w:rsid w:val="009118BB"/>
    <w:rsid w:val="00923077"/>
    <w:rsid w:val="00936BF7"/>
    <w:rsid w:val="0094797F"/>
    <w:rsid w:val="00960405"/>
    <w:rsid w:val="00961D43"/>
    <w:rsid w:val="00973D49"/>
    <w:rsid w:val="009945C7"/>
    <w:rsid w:val="009A0357"/>
    <w:rsid w:val="009A24A9"/>
    <w:rsid w:val="009D1A3D"/>
    <w:rsid w:val="009D529B"/>
    <w:rsid w:val="009D73F2"/>
    <w:rsid w:val="00A130CD"/>
    <w:rsid w:val="00A16104"/>
    <w:rsid w:val="00A25D82"/>
    <w:rsid w:val="00A431AC"/>
    <w:rsid w:val="00A44901"/>
    <w:rsid w:val="00A478CB"/>
    <w:rsid w:val="00A62CD9"/>
    <w:rsid w:val="00A62E89"/>
    <w:rsid w:val="00A65D24"/>
    <w:rsid w:val="00A8219E"/>
    <w:rsid w:val="00A84E53"/>
    <w:rsid w:val="00A87F51"/>
    <w:rsid w:val="00A968CE"/>
    <w:rsid w:val="00A97EB0"/>
    <w:rsid w:val="00AA6987"/>
    <w:rsid w:val="00AB1929"/>
    <w:rsid w:val="00AD00A9"/>
    <w:rsid w:val="00AD6B59"/>
    <w:rsid w:val="00AD7219"/>
    <w:rsid w:val="00AE0249"/>
    <w:rsid w:val="00AE61DB"/>
    <w:rsid w:val="00AF4001"/>
    <w:rsid w:val="00AF5CC5"/>
    <w:rsid w:val="00AF7340"/>
    <w:rsid w:val="00B05416"/>
    <w:rsid w:val="00B102F3"/>
    <w:rsid w:val="00B14F72"/>
    <w:rsid w:val="00B251D8"/>
    <w:rsid w:val="00B43545"/>
    <w:rsid w:val="00B614AF"/>
    <w:rsid w:val="00B72C21"/>
    <w:rsid w:val="00B769AB"/>
    <w:rsid w:val="00B8070D"/>
    <w:rsid w:val="00B93370"/>
    <w:rsid w:val="00BA6901"/>
    <w:rsid w:val="00BA7DD8"/>
    <w:rsid w:val="00BE31BF"/>
    <w:rsid w:val="00BF417E"/>
    <w:rsid w:val="00C022EE"/>
    <w:rsid w:val="00C1408E"/>
    <w:rsid w:val="00C1548F"/>
    <w:rsid w:val="00C20148"/>
    <w:rsid w:val="00C27280"/>
    <w:rsid w:val="00C3005B"/>
    <w:rsid w:val="00C30C4D"/>
    <w:rsid w:val="00C46F96"/>
    <w:rsid w:val="00C4789E"/>
    <w:rsid w:val="00C50910"/>
    <w:rsid w:val="00C51B36"/>
    <w:rsid w:val="00C60B2D"/>
    <w:rsid w:val="00C64EBD"/>
    <w:rsid w:val="00C853BA"/>
    <w:rsid w:val="00C95B68"/>
    <w:rsid w:val="00CA0B51"/>
    <w:rsid w:val="00CA5145"/>
    <w:rsid w:val="00CA6665"/>
    <w:rsid w:val="00CB0590"/>
    <w:rsid w:val="00CC4B74"/>
    <w:rsid w:val="00CC5A1C"/>
    <w:rsid w:val="00CC6D77"/>
    <w:rsid w:val="00CD5241"/>
    <w:rsid w:val="00CD6ECD"/>
    <w:rsid w:val="00CF22B6"/>
    <w:rsid w:val="00D05847"/>
    <w:rsid w:val="00D1265D"/>
    <w:rsid w:val="00D17124"/>
    <w:rsid w:val="00D2104B"/>
    <w:rsid w:val="00D3072C"/>
    <w:rsid w:val="00D31587"/>
    <w:rsid w:val="00D3264C"/>
    <w:rsid w:val="00D44277"/>
    <w:rsid w:val="00D51133"/>
    <w:rsid w:val="00D52E12"/>
    <w:rsid w:val="00D67E98"/>
    <w:rsid w:val="00D70AE7"/>
    <w:rsid w:val="00D73EA4"/>
    <w:rsid w:val="00D75750"/>
    <w:rsid w:val="00D81AFF"/>
    <w:rsid w:val="00D82C18"/>
    <w:rsid w:val="00D83F0D"/>
    <w:rsid w:val="00D915EF"/>
    <w:rsid w:val="00D93D7F"/>
    <w:rsid w:val="00D9628D"/>
    <w:rsid w:val="00D972C7"/>
    <w:rsid w:val="00DB773D"/>
    <w:rsid w:val="00DC6A74"/>
    <w:rsid w:val="00DD32C5"/>
    <w:rsid w:val="00DF4834"/>
    <w:rsid w:val="00E01A95"/>
    <w:rsid w:val="00E01BE5"/>
    <w:rsid w:val="00E03FAD"/>
    <w:rsid w:val="00E05ED0"/>
    <w:rsid w:val="00E1376B"/>
    <w:rsid w:val="00E400D4"/>
    <w:rsid w:val="00E4434E"/>
    <w:rsid w:val="00E51959"/>
    <w:rsid w:val="00E535ED"/>
    <w:rsid w:val="00E661AD"/>
    <w:rsid w:val="00E67A0C"/>
    <w:rsid w:val="00E94BDB"/>
    <w:rsid w:val="00E9663C"/>
    <w:rsid w:val="00E9742F"/>
    <w:rsid w:val="00EA21D5"/>
    <w:rsid w:val="00EC522C"/>
    <w:rsid w:val="00ED3191"/>
    <w:rsid w:val="00F01335"/>
    <w:rsid w:val="00F0761E"/>
    <w:rsid w:val="00F134DC"/>
    <w:rsid w:val="00F172C6"/>
    <w:rsid w:val="00F43A9C"/>
    <w:rsid w:val="00F65A5F"/>
    <w:rsid w:val="00F66DC4"/>
    <w:rsid w:val="00F72CB1"/>
    <w:rsid w:val="00F7339B"/>
    <w:rsid w:val="00F74032"/>
    <w:rsid w:val="00F9111F"/>
    <w:rsid w:val="00F961F4"/>
    <w:rsid w:val="00FA1232"/>
    <w:rsid w:val="00FA7479"/>
    <w:rsid w:val="00FC1B3C"/>
    <w:rsid w:val="00FC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FBCC"/>
  <w15:chartTrackingRefBased/>
  <w15:docId w15:val="{9C079C8F-F540-4658-AB75-B48631EB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76864"/>
    <w:pPr>
      <w:spacing w:after="0" w:line="240" w:lineRule="auto"/>
      <w:ind w:left="720" w:hanging="720"/>
    </w:pPr>
  </w:style>
  <w:style w:type="paragraph" w:styleId="Revision">
    <w:name w:val="Revision"/>
    <w:hidden/>
    <w:uiPriority w:val="99"/>
    <w:semiHidden/>
    <w:rsid w:val="00144F76"/>
    <w:pPr>
      <w:spacing w:after="0" w:line="240" w:lineRule="auto"/>
    </w:pPr>
  </w:style>
  <w:style w:type="paragraph" w:styleId="ListParagraph">
    <w:name w:val="List Paragraph"/>
    <w:basedOn w:val="Normal"/>
    <w:uiPriority w:val="34"/>
    <w:qFormat/>
    <w:rsid w:val="00144F76"/>
    <w:pPr>
      <w:ind w:left="720"/>
      <w:contextualSpacing/>
    </w:pPr>
  </w:style>
  <w:style w:type="character" w:styleId="CommentReference">
    <w:name w:val="annotation reference"/>
    <w:basedOn w:val="DefaultParagraphFont"/>
    <w:uiPriority w:val="99"/>
    <w:semiHidden/>
    <w:unhideWhenUsed/>
    <w:rsid w:val="00656CDC"/>
    <w:rPr>
      <w:sz w:val="16"/>
      <w:szCs w:val="16"/>
    </w:rPr>
  </w:style>
  <w:style w:type="paragraph" w:styleId="CommentText">
    <w:name w:val="annotation text"/>
    <w:basedOn w:val="Normal"/>
    <w:link w:val="CommentTextChar"/>
    <w:uiPriority w:val="99"/>
    <w:unhideWhenUsed/>
    <w:rsid w:val="00656CDC"/>
    <w:pPr>
      <w:spacing w:line="240" w:lineRule="auto"/>
    </w:pPr>
    <w:rPr>
      <w:sz w:val="20"/>
      <w:szCs w:val="20"/>
    </w:rPr>
  </w:style>
  <w:style w:type="character" w:customStyle="1" w:styleId="CommentTextChar">
    <w:name w:val="Comment Text Char"/>
    <w:basedOn w:val="DefaultParagraphFont"/>
    <w:link w:val="CommentText"/>
    <w:uiPriority w:val="99"/>
    <w:rsid w:val="00656CDC"/>
    <w:rPr>
      <w:sz w:val="20"/>
      <w:szCs w:val="20"/>
    </w:rPr>
  </w:style>
  <w:style w:type="paragraph" w:styleId="CommentSubject">
    <w:name w:val="annotation subject"/>
    <w:basedOn w:val="CommentText"/>
    <w:next w:val="CommentText"/>
    <w:link w:val="CommentSubjectChar"/>
    <w:uiPriority w:val="99"/>
    <w:semiHidden/>
    <w:unhideWhenUsed/>
    <w:rsid w:val="00656CDC"/>
    <w:rPr>
      <w:b/>
      <w:bCs/>
    </w:rPr>
  </w:style>
  <w:style w:type="character" w:customStyle="1" w:styleId="CommentSubjectChar">
    <w:name w:val="Comment Subject Char"/>
    <w:basedOn w:val="CommentTextChar"/>
    <w:link w:val="CommentSubject"/>
    <w:uiPriority w:val="99"/>
    <w:semiHidden/>
    <w:rsid w:val="00656CDC"/>
    <w:rPr>
      <w:b/>
      <w:bCs/>
      <w:sz w:val="20"/>
      <w:szCs w:val="20"/>
    </w:rPr>
  </w:style>
  <w:style w:type="table" w:styleId="TableGrid">
    <w:name w:val="Table Grid"/>
    <w:basedOn w:val="TableNormal"/>
    <w:uiPriority w:val="39"/>
    <w:rsid w:val="00CA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Carvalho</dc:creator>
  <cp:keywords/>
  <dc:description/>
  <cp:lastModifiedBy>Paul Carvalho</cp:lastModifiedBy>
  <cp:revision>11</cp:revision>
  <dcterms:created xsi:type="dcterms:W3CDTF">2023-01-17T17:52:00Z</dcterms:created>
  <dcterms:modified xsi:type="dcterms:W3CDTF">2023-01-18T17:35:00Z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id="GdP90AM6"/&gt;&lt;style id="http://www.zotero.org/styles/canadian-journal-of-fisheries-and-aquatic-sciences"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