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4.png" ContentType="image/png"/>
  <Override PartName="/word/media/image3.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1.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24.jpeg" ContentType="image/jpeg"/>
  <Override PartName="/word/media/image15.png" ContentType="image/png"/>
  <Override PartName="/word/media/image14.png" ContentType="image/png"/>
  <Override PartName="/word/media/image2.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upplementaryMaterial"/>
        <w:spacing w:before="240" w:after="120"/>
        <w:rPr>
          <w:rFonts w:ascii="Times New Roman" w:hAnsi="Times New Roman"/>
          <w:sz w:val="24"/>
          <w:szCs w:val="24"/>
        </w:rPr>
      </w:pPr>
      <w:bookmarkStart w:id="0" w:name="_GoBack"/>
      <w:bookmarkEnd w:id="0"/>
      <w:r>
        <w:rPr>
          <w:sz w:val="24"/>
          <w:szCs w:val="24"/>
        </w:rPr>
        <w:t>Supplementary Material</w:t>
      </w:r>
    </w:p>
    <w:p>
      <w:pPr>
        <w:pStyle w:val="Heading1"/>
        <w:numPr>
          <w:ilvl w:val="0"/>
          <w:numId w:val="2"/>
        </w:numPr>
        <w:rPr>
          <w:rFonts w:ascii="Times New Roman" w:hAnsi="Times New Roman"/>
          <w:sz w:val="24"/>
          <w:szCs w:val="24"/>
        </w:rPr>
      </w:pPr>
      <w:r>
        <w:rPr>
          <w:rFonts w:eastAsia="Cambria" w:cs="Times New Roman"/>
          <w:b/>
          <w:color w:val="auto"/>
          <w:kern w:val="0"/>
          <w:sz w:val="24"/>
          <w:szCs w:val="24"/>
          <w:lang w:val="en-US" w:eastAsia="en-US" w:bidi="ar-SA"/>
        </w:rPr>
        <w:t>Supplemental Tables</w:t>
      </w:r>
    </w:p>
    <w:p>
      <w:pPr>
        <w:pStyle w:val="LOnormal"/>
        <w:rPr>
          <w:rFonts w:ascii="Times New Roman" w:hAnsi="Times New Roman"/>
          <w:sz w:val="24"/>
          <w:szCs w:val="24"/>
        </w:rPr>
      </w:pPr>
      <w:r>
        <w:rPr>
          <w:rFonts w:ascii="Times New Roman" w:hAnsi="Times New Roman"/>
          <w:sz w:val="24"/>
          <w:szCs w:val="24"/>
        </w:rPr>
        <w:t xml:space="preserve">Supplementary Table 1. </w:t>
      </w:r>
      <w:r>
        <w:rPr>
          <w:rFonts w:ascii="Times New Roman" w:hAnsi="Times New Roman"/>
          <w:sz w:val="24"/>
          <w:szCs w:val="24"/>
          <w:highlight w:val="white"/>
        </w:rPr>
        <w:t xml:space="preserve">Summary of life history parameter values used in category 1 stocks through 2018. </w:t>
      </w:r>
    </w:p>
    <w:tbl>
      <w:tblPr>
        <w:tblStyle w:val="Table9"/>
        <w:tblW w:w="8540" w:type="dxa"/>
        <w:jc w:val="left"/>
        <w:tblInd w:w="0" w:type="dxa"/>
        <w:tblLayout w:type="fixed"/>
        <w:tblCellMar>
          <w:top w:w="0" w:type="dxa"/>
          <w:left w:w="0" w:type="dxa"/>
          <w:bottom w:w="0" w:type="dxa"/>
          <w:right w:w="0" w:type="dxa"/>
        </w:tblCellMar>
        <w:tblLook w:val="0600"/>
      </w:tblPr>
      <w:tblGrid>
        <w:gridCol w:w="2520"/>
        <w:gridCol w:w="720"/>
        <w:gridCol w:w="719"/>
        <w:gridCol w:w="720"/>
        <w:gridCol w:w="801"/>
        <w:gridCol w:w="1079"/>
        <w:gridCol w:w="1080"/>
        <w:gridCol w:w="900"/>
      </w:tblGrid>
      <w:tr>
        <w:trPr>
          <w:trHeight w:val="360" w:hRule="atLeast"/>
        </w:trPr>
        <w:tc>
          <w:tcPr>
            <w:tcW w:w="2520"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Stock</w:t>
            </w:r>
          </w:p>
        </w:tc>
        <w:tc>
          <w:tcPr>
            <w:tcW w:w="720"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M</w:t>
            </w:r>
          </w:p>
        </w:tc>
        <w:tc>
          <w:tcPr>
            <w:tcW w:w="719"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k</w:t>
            </w:r>
          </w:p>
        </w:tc>
        <w:tc>
          <w:tcPr>
            <w:tcW w:w="720"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M/k</w:t>
            </w:r>
          </w:p>
        </w:tc>
        <w:tc>
          <w:tcPr>
            <w:tcW w:w="801"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Linf</w:t>
            </w:r>
          </w:p>
        </w:tc>
        <w:tc>
          <w:tcPr>
            <w:tcW w:w="1079"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Lmat</w:t>
            </w:r>
          </w:p>
        </w:tc>
        <w:tc>
          <w:tcPr>
            <w:tcW w:w="1080"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Lmat/Linf</w:t>
            </w:r>
          </w:p>
        </w:tc>
        <w:tc>
          <w:tcPr>
            <w:tcW w:w="900" w:type="dxa"/>
            <w:tcBorders>
              <w:top w:val="single" w:sz="6" w:space="0" w:color="000000"/>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SigmaR</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Aurora rockfish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0.04</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0.09</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0.38</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30.77</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25.54</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0.83</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Black rockfish (CA)</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0.18</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0.15</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1.19</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54.54</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43.69</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0.80</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Black rockfish (WA)</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0.14</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1.19</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53.91</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43.69</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0.81</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Bocaccio</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0.18</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0.79</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67.34</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37.70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0.56</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1.00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Cabezon (ORS)</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0.19</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1.31</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66.11</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43.70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0.66</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Cabezon (NCA)</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0.15</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1.67</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60.19</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34.60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0.58</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Cabezon (SCA)</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1.98</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64.00</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34.60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0.54</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California Scorpionfish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0.24</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0.29</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0.81</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31.89</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18.00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0.57</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Canary rockfish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0.09</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0.68</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60.04</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40.50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0.68</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Chilipepper</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0.20</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0.82</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47.30</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24.40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0.52</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1.00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Darkblotched rockfish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0.20</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0.27</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42.66</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34.59</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0.81</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0.75</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Dover sole</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0.12</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0.15</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0.78</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47.79</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35.00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0.73</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0.35</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Kelp greenling</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0.26</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1.38</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36.44</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29.34</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0.81</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0.65</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Lingcod (N)</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2.00</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110.00</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56.70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0.52</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0.55</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Lingcod (S)</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2.00</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93.56</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52.30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0.56</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0.75</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Petrale sole</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0.13</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1.17</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54.30</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33.10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0.61</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0.40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Pacific ocean perch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0.17</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0.32</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41.60</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32.10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0.77</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Sablefish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0.08</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0.34</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0.24</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63.97</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58.00</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0.91</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1.10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Splitnose rockfish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0.05</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0.16</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0.31</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29.62</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21.84</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0.74</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1.00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Widow rockfish</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0.16</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0.20</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0.79</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50.36</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29.68</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0.59</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0.60</w:t>
            </w:r>
          </w:p>
        </w:tc>
      </w:tr>
      <w:tr>
        <w:trPr>
          <w:trHeight w:val="450" w:hRule="atLeast"/>
        </w:trPr>
        <w:tc>
          <w:tcPr>
            <w:tcW w:w="25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Yellowtail rockfish (N)</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0.17</w:t>
            </w:r>
          </w:p>
        </w:tc>
        <w:tc>
          <w:tcPr>
            <w:tcW w:w="71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0.14</w:t>
            </w:r>
          </w:p>
        </w:tc>
        <w:tc>
          <w:tcPr>
            <w:tcW w:w="72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1.25</w:t>
            </w:r>
          </w:p>
        </w:tc>
        <w:tc>
          <w:tcPr>
            <w:tcW w:w="801"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53.58</w:t>
            </w:r>
          </w:p>
        </w:tc>
        <w:tc>
          <w:tcPr>
            <w:tcW w:w="1079"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42.49</w:t>
            </w:r>
          </w:p>
        </w:tc>
        <w:tc>
          <w:tcPr>
            <w:tcW w:w="108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0.79</w:t>
            </w:r>
          </w:p>
        </w:tc>
        <w:tc>
          <w:tcPr>
            <w:tcW w:w="900" w:type="dxa"/>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r>
        <w:trPr>
          <w:trHeight w:val="360" w:hRule="atLeast"/>
        </w:trPr>
        <w:tc>
          <w:tcPr>
            <w:tcW w:w="2520"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Yelloweye rockfish</w:t>
            </w:r>
          </w:p>
        </w:tc>
        <w:tc>
          <w:tcPr>
            <w:tcW w:w="720"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0.04</w:t>
            </w:r>
          </w:p>
        </w:tc>
        <w:tc>
          <w:tcPr>
            <w:tcW w:w="719"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0.07</w:t>
            </w:r>
          </w:p>
        </w:tc>
        <w:tc>
          <w:tcPr>
            <w:tcW w:w="720"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0.68</w:t>
            </w:r>
          </w:p>
        </w:tc>
        <w:tc>
          <w:tcPr>
            <w:tcW w:w="801"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63.45</w:t>
            </w:r>
          </w:p>
        </w:tc>
        <w:tc>
          <w:tcPr>
            <w:tcW w:w="1079"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42.07</w:t>
            </w:r>
          </w:p>
        </w:tc>
        <w:tc>
          <w:tcPr>
            <w:tcW w:w="1080"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0.66</w:t>
            </w:r>
          </w:p>
        </w:tc>
        <w:tc>
          <w:tcPr>
            <w:tcW w:w="900" w:type="dxa"/>
            <w:tcBorders>
              <w:bottom w:val="single" w:sz="6" w:space="0" w:color="000000"/>
            </w:tcBorders>
          </w:tcPr>
          <w:p>
            <w:pPr>
              <w:pStyle w:val="LOnormal"/>
              <w:widowControl w:val="false"/>
              <w:spacing w:lineRule="auto" w:line="288"/>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rFonts w:ascii="Times New Roman" w:hAnsi="Times New Roman"/>
                <w:b w:val="false"/>
                <w:bCs w:val="false"/>
                <w:i w:val="false"/>
                <w:iCs w:val="false"/>
                <w:strike w:val="false"/>
                <w:dstrike w:val="false"/>
                <w:outline w:val="false"/>
                <w:shadow w:val="false"/>
                <w:color w:val="000000"/>
                <w:sz w:val="24"/>
                <w:szCs w:val="24"/>
                <w:u w:val="none"/>
              </w:rPr>
              <w:t>0.50</w:t>
            </w:r>
          </w:p>
        </w:tc>
      </w:tr>
    </w:tbl>
    <w:p>
      <w:pPr>
        <w:pStyle w:val="TextBody"/>
        <w:jc w:val="left"/>
        <w:rPr/>
      </w:pPr>
      <w:r>
        <w:rPr>
          <w:sz w:val="24"/>
          <w:szCs w:val="24"/>
        </w:rPr>
        <w:br/>
      </w:r>
      <w:r>
        <w:br w:type="page"/>
      </w:r>
    </w:p>
    <w:p>
      <w:pPr>
        <w:pStyle w:val="TextBody"/>
        <w:jc w:val="left"/>
        <w:rPr/>
      </w:pPr>
      <w:r>
        <w:rPr>
          <w:rFonts w:eastAsia="Cambria" w:cs="Times New Roman"/>
          <w:b w:val="false"/>
          <w:bCs w:val="false"/>
          <w:i w:val="false"/>
          <w:caps w:val="false"/>
          <w:smallCaps w:val="false"/>
          <w:strike w:val="false"/>
          <w:dstrike w:val="false"/>
          <w:color w:val="000000"/>
          <w:kern w:val="0"/>
          <w:sz w:val="24"/>
          <w:szCs w:val="24"/>
          <w:u w:val="none"/>
          <w:effect w:val="none"/>
          <w:lang w:val="en-US" w:eastAsia="en-US" w:bidi="ar-SA"/>
        </w:rPr>
        <w:t xml:space="preserve">Supplementary Table 2. </w:t>
      </w:r>
      <w:bookmarkStart w:id="1" w:name="docs-internal-guid-306cd57d-7fff-519c-9c"/>
      <w:bookmarkEnd w:id="1"/>
      <w:r>
        <w:rPr>
          <w:rFonts w:eastAsia="Cambria" w:cs="Times New Roman"/>
          <w:b w:val="false"/>
          <w:bCs w:val="false"/>
          <w:i w:val="false"/>
          <w:caps w:val="false"/>
          <w:smallCaps w:val="false"/>
          <w:strike w:val="false"/>
          <w:dstrike w:val="false"/>
          <w:color w:val="000000"/>
          <w:kern w:val="0"/>
          <w:sz w:val="24"/>
          <w:szCs w:val="24"/>
          <w:u w:val="none"/>
          <w:effect w:val="none"/>
          <w:lang w:val="en-US" w:eastAsia="en-US" w:bidi="ar-SA"/>
        </w:rPr>
        <w:t>Number of model runs that did not converge out of 100 simulation replicates with bias-adjusted recruitment, based on the criteria that the maximum final gradient must be less than 1.0 and the estimated log(</w:t>
      </w:r>
      <w:r>
        <w:rPr>
          <w:rFonts w:eastAsia="Cambria" w:cs="Times New Roman"/>
          <w:b w:val="false"/>
          <w:bCs w:val="false"/>
          <w:i/>
          <w:caps w:val="false"/>
          <w:smallCaps w:val="false"/>
          <w:strike w:val="false"/>
          <w:dstrike w:val="false"/>
          <w:color w:val="000000"/>
          <w:kern w:val="0"/>
          <w:sz w:val="24"/>
          <w:szCs w:val="24"/>
          <w:u w:val="none"/>
          <w:effect w:val="none"/>
          <w:lang w:val="en-US" w:eastAsia="en-US" w:bidi="ar-SA"/>
        </w:rPr>
        <w:t>R0</w:t>
      </w:r>
      <w:r>
        <w:rPr>
          <w:rFonts w:eastAsia="Cambria" w:cs="Times New Roman"/>
          <w:b w:val="false"/>
          <w:bCs w:val="false"/>
          <w:i w:val="false"/>
          <w:caps w:val="false"/>
          <w:smallCaps w:val="false"/>
          <w:strike w:val="false"/>
          <w:dstrike w:val="false"/>
          <w:color w:val="000000"/>
          <w:kern w:val="0"/>
          <w:sz w:val="24"/>
          <w:szCs w:val="24"/>
          <w:u w:val="none"/>
          <w:effect w:val="none"/>
          <w:lang w:val="en-US" w:eastAsia="en-US" w:bidi="ar-SA"/>
        </w:rPr>
        <w:t>) less than 12. </w:t>
      </w:r>
    </w:p>
    <w:tbl>
      <w:tblPr>
        <w:tblW w:w="9263" w:type="dxa"/>
        <w:jc w:val="left"/>
        <w:tblInd w:w="0" w:type="dxa"/>
        <w:tblLayout w:type="fixed"/>
        <w:tblCellMar>
          <w:top w:w="0" w:type="dxa"/>
          <w:left w:w="0" w:type="dxa"/>
          <w:bottom w:w="0" w:type="dxa"/>
          <w:right w:w="0" w:type="dxa"/>
        </w:tblCellMar>
      </w:tblPr>
      <w:tblGrid>
        <w:gridCol w:w="2249"/>
        <w:gridCol w:w="1088"/>
        <w:gridCol w:w="807"/>
        <w:gridCol w:w="711"/>
        <w:gridCol w:w="732"/>
        <w:gridCol w:w="619"/>
        <w:gridCol w:w="899"/>
        <w:gridCol w:w="732"/>
        <w:gridCol w:w="712"/>
        <w:gridCol w:w="713"/>
      </w:tblGrid>
      <w:tr>
        <w:trPr/>
        <w:tc>
          <w:tcPr>
            <w:tcW w:w="3337" w:type="dxa"/>
            <w:gridSpan w:val="2"/>
            <w:tcBorders>
              <w:top w:val="single" w:sz="6" w:space="0" w:color="000000"/>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Length data scenario</w:t>
            </w:r>
          </w:p>
        </w:tc>
        <w:tc>
          <w:tcPr>
            <w:tcW w:w="5925" w:type="dxa"/>
            <w:gridSpan w:val="8"/>
            <w:tcBorders>
              <w:top w:val="single" w:sz="6" w:space="0" w:color="000000"/>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Life history scenario</w:t>
            </w:r>
          </w:p>
        </w:tc>
      </w:tr>
      <w:tr>
        <w:trPr/>
        <w:tc>
          <w:tcPr>
            <w:tcW w:w="2249" w:type="dxa"/>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Sample size</w:t>
            </w:r>
          </w:p>
        </w:tc>
        <w:tc>
          <w:tcPr>
            <w:tcW w:w="1088" w:type="dxa"/>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Number of years</w:t>
            </w:r>
          </w:p>
        </w:tc>
        <w:tc>
          <w:tcPr>
            <w:tcW w:w="1518" w:type="dxa"/>
            <w:gridSpan w:val="2"/>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Short-lived, slow-growing</w:t>
            </w:r>
          </w:p>
        </w:tc>
        <w:tc>
          <w:tcPr>
            <w:tcW w:w="1351" w:type="dxa"/>
            <w:gridSpan w:val="2"/>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Short-lived, fast-growing</w:t>
            </w:r>
          </w:p>
        </w:tc>
        <w:tc>
          <w:tcPr>
            <w:tcW w:w="1631" w:type="dxa"/>
            <w:gridSpan w:val="2"/>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Long-lived, slow-growing</w:t>
            </w:r>
          </w:p>
        </w:tc>
        <w:tc>
          <w:tcPr>
            <w:tcW w:w="1425" w:type="dxa"/>
            <w:gridSpan w:val="2"/>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Long-lived, fast-growing</w:t>
            </w:r>
          </w:p>
        </w:tc>
      </w:tr>
      <w:tr>
        <w:trPr/>
        <w:tc>
          <w:tcPr>
            <w:tcW w:w="3337" w:type="dxa"/>
            <w:gridSpan w:val="2"/>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right"/>
              <w:rPr>
                <w:rFonts w:ascii="Times New Roman" w:hAnsi="Times New Roman"/>
                <w:i/>
                <w:i/>
                <w:iCs/>
                <w:sz w:val="24"/>
                <w:szCs w:val="24"/>
              </w:rPr>
            </w:pPr>
            <w:r>
              <w:rPr>
                <w:i/>
                <w:iCs/>
                <w:sz w:val="24"/>
                <w:szCs w:val="24"/>
              </w:rPr>
              <w:t>SigmaR</w:t>
            </w:r>
          </w:p>
        </w:tc>
        <w:tc>
          <w:tcPr>
            <w:tcW w:w="807"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0.8</w:t>
            </w:r>
          </w:p>
        </w:tc>
        <w:tc>
          <w:tcPr>
            <w:tcW w:w="711" w:type="dxa"/>
            <w:tcBorders>
              <w:bottom w:val="single" w:sz="4" w:space="0" w:color="000000"/>
            </w:tcBorders>
            <w:tcMar>
              <w:top w:w="55" w:type="dxa"/>
              <w:left w:w="55" w:type="dxa"/>
              <w:bottom w:w="55" w:type="dxa"/>
              <w:right w:w="55" w:type="dxa"/>
            </w:tcMar>
            <w:vAlign w:val="center"/>
          </w:tcPr>
          <w:p>
            <w:pPr>
              <w:pStyle w:val="Normal"/>
              <w:widowControl w:val="false"/>
              <w:spacing w:before="120" w:after="240"/>
              <w:rPr>
                <w:rFonts w:ascii="Times New Roman" w:hAnsi="Times New Roman"/>
                <w:sz w:val="24"/>
                <w:szCs w:val="24"/>
              </w:rPr>
            </w:pPr>
            <w:r>
              <w:rPr>
                <w:sz w:val="24"/>
                <w:szCs w:val="24"/>
              </w:rPr>
              <w:t>0.4</w:t>
            </w:r>
          </w:p>
        </w:tc>
        <w:tc>
          <w:tcPr>
            <w:tcW w:w="732"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0.8</w:t>
            </w:r>
          </w:p>
        </w:tc>
        <w:tc>
          <w:tcPr>
            <w:tcW w:w="619"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0.4</w:t>
            </w:r>
          </w:p>
        </w:tc>
        <w:tc>
          <w:tcPr>
            <w:tcW w:w="899"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0.8</w:t>
            </w:r>
          </w:p>
        </w:tc>
        <w:tc>
          <w:tcPr>
            <w:tcW w:w="732"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0.4</w:t>
            </w:r>
          </w:p>
        </w:tc>
        <w:tc>
          <w:tcPr>
            <w:tcW w:w="712"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0.8</w:t>
            </w:r>
          </w:p>
        </w:tc>
        <w:tc>
          <w:tcPr>
            <w:tcW w:w="713" w:type="dxa"/>
            <w:tcBorders>
              <w:bottom w:val="single" w:sz="4" w:space="0" w:color="000000"/>
            </w:tcBorders>
            <w:tcMar>
              <w:top w:w="55" w:type="dxa"/>
              <w:left w:w="55" w:type="dxa"/>
              <w:bottom w:w="55" w:type="dxa"/>
              <w:right w:w="55" w:type="dxa"/>
            </w:tcMar>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0.4</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1000</w:t>
            </w:r>
          </w:p>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(perfectly specified)</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100</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200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75</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200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20</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200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10</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200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5</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200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4</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5</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1</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3</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50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75</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50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20</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50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10</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50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5</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3</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r>
        <w:trPr/>
        <w:tc>
          <w:tcPr>
            <w:tcW w:w="224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N = 50</w:t>
            </w:r>
          </w:p>
        </w:tc>
        <w:tc>
          <w:tcPr>
            <w:tcW w:w="1088"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w:t>
            </w:r>
          </w:p>
        </w:tc>
        <w:tc>
          <w:tcPr>
            <w:tcW w:w="807"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5</w:t>
            </w:r>
          </w:p>
        </w:tc>
        <w:tc>
          <w:tcPr>
            <w:tcW w:w="711" w:type="dxa"/>
            <w:tcBorders/>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7</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13</w:t>
            </w:r>
          </w:p>
        </w:tc>
        <w:tc>
          <w:tcPr>
            <w:tcW w:w="619" w:type="dxa"/>
            <w:tcBorders/>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11</w:t>
            </w:r>
          </w:p>
        </w:tc>
        <w:tc>
          <w:tcPr>
            <w:tcW w:w="899"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6</w:t>
            </w:r>
          </w:p>
        </w:tc>
        <w:tc>
          <w:tcPr>
            <w:tcW w:w="732" w:type="dxa"/>
            <w:tcBorders/>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5</w:t>
            </w:r>
          </w:p>
        </w:tc>
        <w:tc>
          <w:tcPr>
            <w:tcW w:w="712" w:type="dxa"/>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3</w:t>
            </w:r>
          </w:p>
        </w:tc>
        <w:tc>
          <w:tcPr>
            <w:tcW w:w="713" w:type="dxa"/>
            <w:tcBorders/>
            <w:vAlign w:val="center"/>
          </w:tcPr>
          <w:p>
            <w:pPr>
              <w:pStyle w:val="TableContents"/>
              <w:widowControl w:val="false"/>
              <w:bidi w:val="0"/>
              <w:spacing w:lineRule="auto" w:line="288" w:before="0" w:after="0"/>
              <w:jc w:val="left"/>
              <w:rPr>
                <w:rFonts w:ascii="Times New Roman" w:hAnsi="Times New Roman"/>
                <w:sz w:val="24"/>
                <w:szCs w:val="24"/>
              </w:rPr>
            </w:pPr>
            <w:r>
              <w:rPr>
                <w:sz w:val="24"/>
                <w:szCs w:val="24"/>
              </w:rPr>
              <w:t>1</w:t>
            </w:r>
          </w:p>
        </w:tc>
      </w:tr>
      <w:tr>
        <w:trPr/>
        <w:tc>
          <w:tcPr>
            <w:tcW w:w="2249"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 xml:space="preserve">Decline from 200 samples (year </w:t>
            </w:r>
            <w:r>
              <w:rPr>
                <w:b w:val="false"/>
                <w:bCs w:val="false"/>
                <w:i w:val="false"/>
                <w:iCs w:val="false"/>
                <w:caps w:val="false"/>
                <w:smallCaps w:val="false"/>
                <w:strike w:val="false"/>
                <w:dstrike w:val="false"/>
                <w:outline w:val="false"/>
                <w:shadow w:val="false"/>
                <w:color w:val="000000"/>
                <w:sz w:val="24"/>
                <w:szCs w:val="24"/>
                <w:u w:val="single"/>
              </w:rPr>
              <w:t>&lt;</w:t>
            </w:r>
            <w:r>
              <w:rPr>
                <w:b w:val="false"/>
                <w:bCs w:val="false"/>
                <w:i w:val="false"/>
                <w:iCs w:val="false"/>
                <w:caps w:val="false"/>
                <w:smallCaps w:val="false"/>
                <w:strike w:val="false"/>
                <w:dstrike w:val="false"/>
                <w:outline w:val="false"/>
                <w:shadow w:val="false"/>
                <w:color w:val="000000"/>
                <w:sz w:val="24"/>
                <w:szCs w:val="24"/>
                <w:u w:val="none"/>
                <w:effect w:val="none"/>
              </w:rPr>
              <w:t xml:space="preserve"> 87) to 50 samples  (year &gt; 87)</w:t>
            </w:r>
          </w:p>
        </w:tc>
        <w:tc>
          <w:tcPr>
            <w:tcW w:w="1088"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20</w:t>
            </w:r>
          </w:p>
        </w:tc>
        <w:tc>
          <w:tcPr>
            <w:tcW w:w="807"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1"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619"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899"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32"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2"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c>
          <w:tcPr>
            <w:tcW w:w="713" w:type="dxa"/>
            <w:tcBorders>
              <w:bottom w:val="single" w:sz="6" w:space="0" w:color="000000"/>
            </w:tcBorders>
            <w:vAlign w:val="center"/>
          </w:tcPr>
          <w:p>
            <w:pPr>
              <w:pStyle w:val="TableContents"/>
              <w:widowControl w:val="false"/>
              <w:bidi w:val="0"/>
              <w:spacing w:lineRule="auto" w:line="288" w:before="0" w:after="0"/>
              <w:jc w:val="left"/>
              <w:rPr>
                <w:rFonts w:ascii="Times New Roman" w:hAnsi="Times New Roman"/>
                <w:sz w:val="24"/>
                <w:szCs w:val="24"/>
              </w:rPr>
            </w:pPr>
            <w:r>
              <w:rPr>
                <w:b w:val="false"/>
                <w:bCs w:val="false"/>
                <w:i w:val="false"/>
                <w:iCs w:val="false"/>
                <w:caps w:val="false"/>
                <w:smallCaps w:val="false"/>
                <w:strike w:val="false"/>
                <w:dstrike w:val="false"/>
                <w:outline w:val="false"/>
                <w:shadow w:val="false"/>
                <w:color w:val="000000"/>
                <w:sz w:val="24"/>
                <w:szCs w:val="24"/>
                <w:u w:val="none"/>
                <w:effect w:val="none"/>
              </w:rPr>
              <w:t>0</w:t>
            </w:r>
          </w:p>
        </w:tc>
      </w:tr>
    </w:tbl>
    <w:p>
      <w:pPr>
        <w:pStyle w:val="TextBody"/>
        <w:rPr>
          <w:rFonts w:ascii="Times New Roman" w:hAnsi="Times New Roman"/>
          <w:sz w:val="24"/>
          <w:szCs w:val="24"/>
        </w:rPr>
      </w:pPr>
      <w:r>
        <w:rPr>
          <w:sz w:val="24"/>
          <w:szCs w:val="24"/>
        </w:rPr>
        <w:br/>
      </w:r>
      <w:r>
        <w:br w:type="page"/>
      </w:r>
    </w:p>
    <w:p>
      <w:pPr>
        <w:pStyle w:val="TextBody"/>
        <w:rPr>
          <w:rFonts w:ascii="Times New Roman" w:hAnsi="Times New Roman"/>
          <w:sz w:val="24"/>
          <w:szCs w:val="24"/>
        </w:rPr>
      </w:pPr>
      <w:r>
        <w:rPr>
          <w:sz w:val="24"/>
          <w:szCs w:val="24"/>
        </w:rPr>
        <w:t xml:space="preserve">Supplementary Table 3. Median relative error (i.e., </w:t>
      </w:r>
      <w:r>
        <w:rPr>
          <w:rFonts w:eastAsia="Calibri" w:cs="DejaVu Sans"/>
          <w:color w:val="auto"/>
          <w:kern w:val="0"/>
          <w:sz w:val="24"/>
          <w:szCs w:val="24"/>
          <w:lang w:val="en-US" w:eastAsia="en-US" w:bidi="ar-SA"/>
        </w:rPr>
        <w:t>bias</w:t>
      </w:r>
      <w:r>
        <w:rPr>
          <w:sz w:val="24"/>
          <w:szCs w:val="24"/>
        </w:rPr>
        <w:t xml:space="preserve">) of the final year fraction unfished </w:t>
      </w:r>
      <w:r>
        <w:rPr>
          <w:rFonts w:eastAsia="Calibri" w:cs="" w:cstheme="minorBidi" w:eastAsiaTheme="minorHAnsi"/>
          <w:color w:val="auto"/>
          <w:kern w:val="0"/>
          <w:sz w:val="24"/>
          <w:szCs w:val="24"/>
          <w:lang w:val="en-US" w:eastAsia="en-US" w:bidi="ar-SA"/>
        </w:rPr>
        <w:t>spawning output</w:t>
      </w:r>
      <w:r>
        <w:rPr>
          <w:sz w:val="24"/>
          <w:szCs w:val="24"/>
        </w:rPr>
        <w:t xml:space="preserve"> across 100 simulation replicates by life history type and length data scenario with recruitment standard deviation = 0.4 with bias-adjusted recruitment. Cells are shaded green for bias less than 10%, yellow less than 20%, and red greater than 20%. </w:t>
      </w:r>
    </w:p>
    <w:tbl>
      <w:tblPr>
        <w:tblW w:w="9777" w:type="dxa"/>
        <w:jc w:val="left"/>
        <w:tblInd w:w="0" w:type="dxa"/>
        <w:tblLayout w:type="fixed"/>
        <w:tblCellMar>
          <w:top w:w="0" w:type="dxa"/>
          <w:left w:w="0" w:type="dxa"/>
          <w:bottom w:w="0" w:type="dxa"/>
          <w:right w:w="0" w:type="dxa"/>
        </w:tblCellMar>
      </w:tblPr>
      <w:tblGrid>
        <w:gridCol w:w="1629"/>
        <w:gridCol w:w="1628"/>
        <w:gridCol w:w="1"/>
        <w:gridCol w:w="1630"/>
        <w:gridCol w:w="1629"/>
        <w:gridCol w:w="1766"/>
        <w:gridCol w:w="1493"/>
      </w:tblGrid>
      <w:tr>
        <w:trPr/>
        <w:tc>
          <w:tcPr>
            <w:tcW w:w="3257" w:type="dxa"/>
            <w:gridSpan w:val="2"/>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Length data scenario</w:t>
            </w:r>
          </w:p>
        </w:tc>
        <w:tc>
          <w:tcPr>
            <w:tcW w:w="6519" w:type="dxa"/>
            <w:gridSpan w:val="5"/>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Life history scenario</w:t>
            </w:r>
          </w:p>
        </w:tc>
      </w:tr>
      <w:tr>
        <w:trPr>
          <w:trHeight w:val="791" w:hRule="atLeast"/>
        </w:trPr>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Sample size</w:t>
            </w:r>
          </w:p>
        </w:tc>
        <w:tc>
          <w:tcPr>
            <w:tcW w:w="1629" w:type="dxa"/>
            <w:gridSpan w:val="2"/>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Number of years</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Shorter-lived, slower-growing</w:t>
            </w:r>
          </w:p>
        </w:tc>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Shorter-lived, faster-growing</w:t>
            </w:r>
          </w:p>
        </w:tc>
        <w:tc>
          <w:tcPr>
            <w:tcW w:w="1766"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Longer-lived, slower-growing</w:t>
            </w:r>
          </w:p>
        </w:tc>
        <w:tc>
          <w:tcPr>
            <w:tcW w:w="1493"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Longer-lived, fast-growing</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1000 (perfectly specified)</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0.0051</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-0.0075</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-0.0068</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-0.0076</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-0.0456</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-0.0869</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-0.0578</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0.0006</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0.0130</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-0.0190</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-0.0640</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0.0187</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-0.0339</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-0.0099</w:t>
            </w:r>
          </w:p>
        </w:tc>
        <w:tc>
          <w:tcPr>
            <w:tcW w:w="176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-0.1702</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-0.0271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-0.0799</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-0.0716</w:t>
            </w:r>
          </w:p>
        </w:tc>
        <w:tc>
          <w:tcPr>
            <w:tcW w:w="176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-0.1918</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0.0125</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0.0478</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-0.0309</w:t>
            </w:r>
          </w:p>
        </w:tc>
        <w:tc>
          <w:tcPr>
            <w:tcW w:w="176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-0.5793</w:t>
            </w:r>
          </w:p>
        </w:tc>
        <w:tc>
          <w:tcPr>
            <w:tcW w:w="1493"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-0.2070</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0.0808</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0.0228</w:t>
            </w:r>
          </w:p>
        </w:tc>
        <w:tc>
          <w:tcPr>
            <w:tcW w:w="176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0.1048</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0.0641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0.0232</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0.0233</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0.0198</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-0.0297</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0.0797</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0.0268</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0.0127</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-0.0987</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0.1307</w:t>
            </w:r>
          </w:p>
        </w:tc>
        <w:tc>
          <w:tcPr>
            <w:tcW w:w="1629"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0.0543</w:t>
            </w:r>
          </w:p>
        </w:tc>
        <w:tc>
          <w:tcPr>
            <w:tcW w:w="176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0.0963</w:t>
            </w:r>
          </w:p>
        </w:tc>
        <w:tc>
          <w:tcPr>
            <w:tcW w:w="149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-0.0326</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-0.3265</w:t>
            </w:r>
          </w:p>
        </w:tc>
        <w:tc>
          <w:tcPr>
            <w:tcW w:w="1629"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0.3011</w:t>
            </w:r>
          </w:p>
        </w:tc>
        <w:tc>
          <w:tcPr>
            <w:tcW w:w="176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0.1777</w:t>
            </w:r>
          </w:p>
        </w:tc>
        <w:tc>
          <w:tcPr>
            <w:tcW w:w="1493"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0.2565</w:t>
            </w:r>
          </w:p>
        </w:tc>
      </w:tr>
      <w:tr>
        <w:trPr/>
        <w:tc>
          <w:tcPr>
            <w:tcW w:w="1629" w:type="dxa"/>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 xml:space="preserve">Decline from 200 samples (years </w:t>
            </w:r>
            <w:r>
              <w:rPr>
                <w:b w:val="false"/>
                <w:bCs w:val="false"/>
                <w:i w:val="false"/>
                <w:iCs w:val="false"/>
                <w:strike w:val="false"/>
                <w:dstrike w:val="false"/>
                <w:outline w:val="false"/>
                <w:shadow w:val="false"/>
                <w:color w:val="000000"/>
                <w:sz w:val="24"/>
                <w:szCs w:val="24"/>
                <w:u w:val="single"/>
              </w:rPr>
              <w:t>&lt;</w:t>
            </w:r>
            <w:r>
              <w:rPr>
                <w:b w:val="false"/>
                <w:bCs w:val="false"/>
                <w:i/>
                <w:iCs/>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rPr>
              <w:t>87) to 50 samples (year &gt; 87)</w:t>
            </w:r>
          </w:p>
        </w:tc>
        <w:tc>
          <w:tcPr>
            <w:tcW w:w="1629" w:type="dxa"/>
            <w:gridSpan w:val="2"/>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0.0660</w:t>
            </w:r>
          </w:p>
        </w:tc>
        <w:tc>
          <w:tcPr>
            <w:tcW w:w="1629"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-0.0336</w:t>
            </w:r>
          </w:p>
        </w:tc>
        <w:tc>
          <w:tcPr>
            <w:tcW w:w="1766"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0.0535</w:t>
            </w:r>
          </w:p>
        </w:tc>
        <w:tc>
          <w:tcPr>
            <w:tcW w:w="1493"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-0.0084</w:t>
            </w:r>
          </w:p>
        </w:tc>
      </w:tr>
    </w:tbl>
    <w:p>
      <w:pPr>
        <w:pStyle w:val="TextBody"/>
        <w:rPr>
          <w:rFonts w:ascii="Times New Roman" w:hAnsi="Times New Roman"/>
          <w:sz w:val="24"/>
          <w:szCs w:val="24"/>
        </w:rPr>
      </w:pPr>
      <w:r>
        <w:rPr>
          <w:sz w:val="24"/>
          <w:szCs w:val="24"/>
        </w:rPr>
      </w:r>
      <w:r>
        <w:br w:type="page"/>
      </w:r>
    </w:p>
    <w:p>
      <w:pPr>
        <w:pStyle w:val="Normal"/>
        <w:spacing w:lineRule="auto" w:line="240" w:before="156" w:after="156"/>
        <w:rPr/>
      </w:pPr>
      <w:r>
        <w:rPr>
          <w:rFonts w:eastAsia="Calibri" w:cs="" w:cstheme="minorBidi" w:eastAsiaTheme="minorHAnsi"/>
          <w:color w:val="auto"/>
          <w:kern w:val="0"/>
          <w:sz w:val="24"/>
          <w:szCs w:val="24"/>
          <w:lang w:val="en-US" w:eastAsia="en-US" w:bidi="ar-SA"/>
        </w:rPr>
        <w:t xml:space="preserve">Supplementary Table 4. </w:t>
      </w:r>
      <w:r>
        <w:rPr>
          <w:sz w:val="24"/>
          <w:szCs w:val="24"/>
        </w:rPr>
        <w:t xml:space="preserve">Median relative error (i.e., bias) of the final year fraction unfished </w:t>
      </w:r>
      <w:r>
        <w:rPr>
          <w:rFonts w:eastAsia="Calibri" w:cs="" w:cstheme="minorBidi" w:eastAsiaTheme="minorHAnsi"/>
          <w:color w:val="auto"/>
          <w:kern w:val="0"/>
          <w:sz w:val="24"/>
          <w:szCs w:val="24"/>
          <w:lang w:val="en-US" w:eastAsia="en-US" w:bidi="ar-SA"/>
        </w:rPr>
        <w:t>spawning output</w:t>
      </w:r>
      <w:r>
        <w:rPr>
          <w:sz w:val="24"/>
          <w:szCs w:val="24"/>
        </w:rPr>
        <w:t xml:space="preserve"> across 100 simulation replicates by life history type and length data scenario with recruitment standard deviation = 0.8 with bias-adjusted recruitment. Cells are shaded green for bias less than 10%, yellow less than 20%, and red greater than 20%. </w:t>
      </w:r>
    </w:p>
    <w:tbl>
      <w:tblPr>
        <w:tblW w:w="9777" w:type="dxa"/>
        <w:jc w:val="left"/>
        <w:tblInd w:w="0" w:type="dxa"/>
        <w:tblLayout w:type="fixed"/>
        <w:tblCellMar>
          <w:top w:w="0" w:type="dxa"/>
          <w:left w:w="0" w:type="dxa"/>
          <w:bottom w:w="0" w:type="dxa"/>
          <w:right w:w="0" w:type="dxa"/>
        </w:tblCellMar>
      </w:tblPr>
      <w:tblGrid>
        <w:gridCol w:w="1629"/>
        <w:gridCol w:w="1629"/>
        <w:gridCol w:w="1630"/>
        <w:gridCol w:w="1630"/>
        <w:gridCol w:w="1633"/>
        <w:gridCol w:w="1625"/>
      </w:tblGrid>
      <w:tr>
        <w:trPr/>
        <w:tc>
          <w:tcPr>
            <w:tcW w:w="3258" w:type="dxa"/>
            <w:gridSpan w:val="2"/>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Length data scenario</w:t>
            </w:r>
          </w:p>
        </w:tc>
        <w:tc>
          <w:tcPr>
            <w:tcW w:w="6518" w:type="dxa"/>
            <w:gridSpan w:val="4"/>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Life history scenario</w:t>
            </w:r>
          </w:p>
        </w:tc>
      </w:tr>
      <w:tr>
        <w:trPr>
          <w:trHeight w:val="791" w:hRule="atLeast"/>
        </w:trPr>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Sample size</w:t>
            </w:r>
          </w:p>
        </w:tc>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Number of years</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slow-growing</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fast-growing</w:t>
            </w:r>
          </w:p>
        </w:tc>
        <w:tc>
          <w:tcPr>
            <w:tcW w:w="1633"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slow-growing</w:t>
            </w:r>
          </w:p>
        </w:tc>
        <w:tc>
          <w:tcPr>
            <w:tcW w:w="1625"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fast-growing</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1000 (perfectly specified)</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0.0093</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0.0259</w:t>
            </w:r>
          </w:p>
        </w:tc>
        <w:tc>
          <w:tcPr>
            <w:tcW w:w="163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-0.0339</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-0.0185</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-0.1325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-0.1159</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-0.1540</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-0.0140</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-0.0043</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0.0484</w:t>
            </w:r>
          </w:p>
        </w:tc>
        <w:tc>
          <w:tcPr>
            <w:tcW w:w="163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0.0239</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0.0621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0.0366</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0.0748</w:t>
            </w:r>
          </w:p>
        </w:tc>
        <w:tc>
          <w:tcPr>
            <w:tcW w:w="163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-0.0777</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0.0682</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-0.0564</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0.0580</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-0.1563</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0.0668</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-0.1057</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-0.1499</w:t>
            </w:r>
          </w:p>
        </w:tc>
        <w:tc>
          <w:tcPr>
            <w:tcW w:w="1633"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-0.0811</w:t>
            </w:r>
          </w:p>
        </w:tc>
        <w:tc>
          <w:tcPr>
            <w:tcW w:w="1625"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-0.1724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0.0446</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0.1264</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0.1563</w:t>
            </w:r>
          </w:p>
        </w:tc>
        <w:tc>
          <w:tcPr>
            <w:tcW w:w="1625"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0.0876</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0.1044</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0.1727</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0.1914</w:t>
            </w:r>
          </w:p>
        </w:tc>
        <w:tc>
          <w:tcPr>
            <w:tcW w:w="1625"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0.1199</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0.1758</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0.3507</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0.1396</w:t>
            </w:r>
          </w:p>
        </w:tc>
        <w:tc>
          <w:tcPr>
            <w:tcW w:w="1625"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0.1237</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0.1718</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0.2410</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0.1607</w:t>
            </w:r>
          </w:p>
        </w:tc>
        <w:tc>
          <w:tcPr>
            <w:tcW w:w="1625"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0.1622</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-0.0281</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0.0217</w:t>
            </w:r>
          </w:p>
        </w:tc>
        <w:tc>
          <w:tcPr>
            <w:tcW w:w="1633"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0.1579</w:t>
            </w:r>
          </w:p>
        </w:tc>
        <w:tc>
          <w:tcPr>
            <w:tcW w:w="1625"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0.1203</w:t>
            </w:r>
          </w:p>
        </w:tc>
      </w:tr>
      <w:tr>
        <w:trPr/>
        <w:tc>
          <w:tcPr>
            <w:tcW w:w="1629" w:type="dxa"/>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 xml:space="preserve">Decline from 200 samples (years </w:t>
            </w:r>
            <w:r>
              <w:rPr>
                <w:b w:val="false"/>
                <w:bCs w:val="false"/>
                <w:i w:val="false"/>
                <w:iCs w:val="false"/>
                <w:strike w:val="false"/>
                <w:dstrike w:val="false"/>
                <w:outline w:val="false"/>
                <w:shadow w:val="false"/>
                <w:color w:val="000000"/>
                <w:sz w:val="24"/>
                <w:szCs w:val="24"/>
                <w:u w:val="single"/>
              </w:rPr>
              <w:t>&lt;</w:t>
            </w:r>
            <w:r>
              <w:rPr>
                <w:b w:val="false"/>
                <w:bCs w:val="false"/>
                <w:i/>
                <w:iCs/>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rPr>
              <w:t>87) to 50 samples (year &gt; 87)</w:t>
            </w:r>
          </w:p>
        </w:tc>
        <w:tc>
          <w:tcPr>
            <w:tcW w:w="1629" w:type="dxa"/>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0.0813</w:t>
            </w:r>
          </w:p>
        </w:tc>
        <w:tc>
          <w:tcPr>
            <w:tcW w:w="1630"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-0.0563</w:t>
            </w:r>
          </w:p>
        </w:tc>
        <w:tc>
          <w:tcPr>
            <w:tcW w:w="1633" w:type="dxa"/>
            <w:tcBorders>
              <w:bottom w:val="single" w:sz="6" w:space="0" w:color="000000"/>
            </w:tcBorders>
            <w:shd w:fill="FFF5CE"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0.1563</w:t>
            </w:r>
          </w:p>
        </w:tc>
        <w:tc>
          <w:tcPr>
            <w:tcW w:w="1625"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-0.0362</w:t>
            </w:r>
          </w:p>
        </w:tc>
      </w:tr>
    </w:tbl>
    <w:p>
      <w:pPr>
        <w:pStyle w:val="Normal"/>
        <w:spacing w:lineRule="auto" w:line="240" w:before="156" w:after="156"/>
        <w:rPr>
          <w:rFonts w:ascii="Times New Roman" w:hAnsi="Times New Roman"/>
          <w:sz w:val="24"/>
          <w:szCs w:val="24"/>
        </w:rPr>
      </w:pPr>
      <w:r>
        <w:rPr>
          <w:sz w:val="24"/>
          <w:szCs w:val="24"/>
        </w:rPr>
      </w:r>
    </w:p>
    <w:p>
      <w:pPr>
        <w:pStyle w:val="TextBody"/>
        <w:rPr/>
      </w:pPr>
      <w:r>
        <w:rPr>
          <w:rFonts w:eastAsia="Calibri" w:cs="" w:cstheme="minorBidi" w:eastAsiaTheme="minorHAnsi"/>
          <w:color w:val="auto"/>
          <w:kern w:val="0"/>
          <w:sz w:val="24"/>
          <w:szCs w:val="24"/>
          <w:lang w:val="en-US" w:eastAsia="en-US" w:bidi="ar-SA"/>
        </w:rPr>
        <w:t xml:space="preserve">Supplementary Table 5. </w:t>
      </w:r>
      <w:r>
        <w:rPr>
          <w:sz w:val="24"/>
          <w:szCs w:val="24"/>
        </w:rPr>
        <w:t xml:space="preserve">Median absolute relative error (i.e., </w:t>
      </w:r>
      <w:r>
        <w:rPr>
          <w:rFonts w:eastAsia="Calibri" w:cs="DejaVu Sans"/>
          <w:color w:val="auto"/>
          <w:kern w:val="0"/>
          <w:sz w:val="24"/>
          <w:szCs w:val="24"/>
          <w:lang w:val="en-US" w:eastAsia="en-US" w:bidi="ar-SA"/>
        </w:rPr>
        <w:t>error</w:t>
      </w:r>
      <w:r>
        <w:rPr>
          <w:sz w:val="24"/>
          <w:szCs w:val="24"/>
        </w:rPr>
        <w:t xml:space="preserve">) of the final year fraction unfished </w:t>
      </w:r>
      <w:r>
        <w:rPr>
          <w:rFonts w:eastAsia="Calibri" w:cs="" w:cstheme="minorBidi" w:eastAsiaTheme="minorHAnsi"/>
          <w:color w:val="auto"/>
          <w:kern w:val="0"/>
          <w:sz w:val="24"/>
          <w:szCs w:val="24"/>
          <w:lang w:val="en-US" w:eastAsia="en-US" w:bidi="ar-SA"/>
        </w:rPr>
        <w:t>spawning output</w:t>
      </w:r>
      <w:r>
        <w:rPr>
          <w:sz w:val="24"/>
          <w:szCs w:val="24"/>
        </w:rPr>
        <w:t xml:space="preserve"> across 100 simulation replicates by life history type and length data scenario with recruitment standard deviation = 0.4 with bias-adjusted recruitment. Cells are shaded green for precision less than 20%, yellow less than 30%, and red greater than 30%. </w:t>
      </w:r>
    </w:p>
    <w:tbl>
      <w:tblPr>
        <w:tblW w:w="9777" w:type="dxa"/>
        <w:jc w:val="left"/>
        <w:tblInd w:w="0" w:type="dxa"/>
        <w:tblLayout w:type="fixed"/>
        <w:tblCellMar>
          <w:top w:w="0" w:type="dxa"/>
          <w:left w:w="0" w:type="dxa"/>
          <w:bottom w:w="0" w:type="dxa"/>
          <w:right w:w="0" w:type="dxa"/>
        </w:tblCellMar>
      </w:tblPr>
      <w:tblGrid>
        <w:gridCol w:w="1629"/>
        <w:gridCol w:w="1628"/>
        <w:gridCol w:w="1"/>
        <w:gridCol w:w="1630"/>
        <w:gridCol w:w="1630"/>
        <w:gridCol w:w="1632"/>
        <w:gridCol w:w="1626"/>
      </w:tblGrid>
      <w:tr>
        <w:trPr/>
        <w:tc>
          <w:tcPr>
            <w:tcW w:w="3257" w:type="dxa"/>
            <w:gridSpan w:val="2"/>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Length data scenario</w:t>
            </w:r>
          </w:p>
        </w:tc>
        <w:tc>
          <w:tcPr>
            <w:tcW w:w="6519" w:type="dxa"/>
            <w:gridSpan w:val="5"/>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Life history scenario</w:t>
            </w:r>
          </w:p>
        </w:tc>
      </w:tr>
      <w:tr>
        <w:trPr>
          <w:trHeight w:val="791" w:hRule="atLeast"/>
        </w:trPr>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Sample size</w:t>
            </w:r>
          </w:p>
        </w:tc>
        <w:tc>
          <w:tcPr>
            <w:tcW w:w="1629" w:type="dxa"/>
            <w:gridSpan w:val="2"/>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Number of years</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slow-growing</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fast-growing</w:t>
            </w:r>
          </w:p>
        </w:tc>
        <w:tc>
          <w:tcPr>
            <w:tcW w:w="1632"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slow-growing</w:t>
            </w:r>
          </w:p>
        </w:tc>
        <w:tc>
          <w:tcPr>
            <w:tcW w:w="1626"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fast-growing</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1000 (perfectly specified)</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0.0896</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0.1045</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0.0988</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0.0934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0.1357</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0.1388</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0.1042</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0.1072</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0.1328</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0.1425</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0.1251</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0.1054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0.1509</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0.1232</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0.2163</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0.0946</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0.2256</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0.1411</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0.2414</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0.1259</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0.3284</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0.1889</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0.6608</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0.3079</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0.1822</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0.1434</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0.1309</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0.1384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0.1916</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0.1476</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0.1380</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0.1374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0.1603</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0.1478</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0.1538</w:t>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0.1977</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0.2282</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0.1706</w:t>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0.1968</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0.2244</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0.5321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0.4176</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0.4013</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0.3904</w:t>
            </w:r>
          </w:p>
        </w:tc>
      </w:tr>
      <w:tr>
        <w:trPr/>
        <w:tc>
          <w:tcPr>
            <w:tcW w:w="1629" w:type="dxa"/>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 xml:space="preserve">Decline from 200 samples (years </w:t>
            </w:r>
            <w:r>
              <w:rPr>
                <w:b w:val="false"/>
                <w:bCs w:val="false"/>
                <w:i w:val="false"/>
                <w:iCs w:val="false"/>
                <w:strike w:val="false"/>
                <w:dstrike w:val="false"/>
                <w:outline w:val="false"/>
                <w:shadow w:val="false"/>
                <w:color w:val="000000"/>
                <w:sz w:val="24"/>
                <w:szCs w:val="24"/>
                <w:u w:val="single"/>
              </w:rPr>
              <w:t>&lt;</w:t>
            </w:r>
            <w:r>
              <w:rPr>
                <w:b w:val="false"/>
                <w:bCs w:val="false"/>
                <w:i/>
                <w:iCs/>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rPr>
              <w:t>87) to 50 samples (year &gt; 87)</w:t>
            </w:r>
          </w:p>
        </w:tc>
        <w:tc>
          <w:tcPr>
            <w:tcW w:w="1629" w:type="dxa"/>
            <w:gridSpan w:val="2"/>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0.1409</w:t>
            </w:r>
          </w:p>
        </w:tc>
        <w:tc>
          <w:tcPr>
            <w:tcW w:w="1630"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0.1661</w:t>
            </w:r>
          </w:p>
        </w:tc>
        <w:tc>
          <w:tcPr>
            <w:tcW w:w="1632"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0.1309</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626" w:type="dxa"/>
            <w:tcBorders>
              <w:bottom w:val="single" w:sz="6" w:space="0" w:color="000000"/>
            </w:tcBorders>
            <w:shd w:fill="DDE8CB"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0.1327</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r>
    </w:tbl>
    <w:p>
      <w:pPr>
        <w:pStyle w:val="TextBody"/>
        <w:widowControl/>
        <w:numPr>
          <w:ilvl w:val="0"/>
          <w:numId w:val="0"/>
        </w:numPr>
        <w:suppressAutoHyphens w:val="true"/>
        <w:spacing w:lineRule="auto" w:line="276"/>
        <w:ind w:left="0" w:hanging="0"/>
        <w:jc w:val="left"/>
        <w:rPr>
          <w:rFonts w:ascii="Times New Roman" w:hAnsi="Times New Roman"/>
          <w:sz w:val="24"/>
          <w:szCs w:val="24"/>
        </w:rPr>
      </w:pPr>
      <w:r>
        <w:rPr>
          <w:sz w:val="24"/>
          <w:szCs w:val="24"/>
        </w:rPr>
      </w:r>
    </w:p>
    <w:p>
      <w:pPr>
        <w:pStyle w:val="Normal"/>
        <w:spacing w:lineRule="auto" w:line="240" w:before="156" w:after="156"/>
        <w:rPr/>
      </w:pPr>
      <w:r>
        <w:rPr>
          <w:rFonts w:eastAsia="Calibri" w:cs="" w:cstheme="minorBidi" w:eastAsiaTheme="minorHAnsi"/>
          <w:color w:val="auto"/>
          <w:kern w:val="0"/>
          <w:sz w:val="24"/>
          <w:szCs w:val="24"/>
          <w:lang w:val="en-US" w:eastAsia="en-US" w:bidi="ar-SA"/>
        </w:rPr>
        <w:t xml:space="preserve">Supplementary Table 6. </w:t>
      </w:r>
      <w:r>
        <w:rPr>
          <w:sz w:val="24"/>
          <w:szCs w:val="24"/>
        </w:rPr>
        <w:t xml:space="preserve">Median absolute relative error (i.e., </w:t>
      </w:r>
      <w:r>
        <w:rPr>
          <w:rFonts w:eastAsia="Calibri" w:cs="DejaVu Sans"/>
          <w:color w:val="auto"/>
          <w:kern w:val="0"/>
          <w:sz w:val="24"/>
          <w:szCs w:val="24"/>
          <w:lang w:val="en-US" w:eastAsia="en-US" w:bidi="ar-SA"/>
        </w:rPr>
        <w:t>error</w:t>
      </w:r>
      <w:r>
        <w:rPr>
          <w:sz w:val="24"/>
          <w:szCs w:val="24"/>
        </w:rPr>
        <w:t xml:space="preserve">) of the final year fraction unfished </w:t>
      </w:r>
      <w:r>
        <w:rPr>
          <w:rFonts w:eastAsia="Calibri" w:cs="" w:cstheme="minorBidi" w:eastAsiaTheme="minorHAnsi"/>
          <w:color w:val="auto"/>
          <w:kern w:val="0"/>
          <w:sz w:val="24"/>
          <w:szCs w:val="24"/>
          <w:lang w:val="en-US" w:eastAsia="en-US" w:bidi="ar-SA"/>
        </w:rPr>
        <w:t>spawning output</w:t>
      </w:r>
      <w:r>
        <w:rPr>
          <w:sz w:val="24"/>
          <w:szCs w:val="24"/>
        </w:rPr>
        <w:t xml:space="preserve"> across 100 simulation replicates by life history type and length data scenario with recruitment standard deviation = 0.8 with bias-adjusted recruitment. Cells are shaded green for precision less than 20%, yellow less than 30%, and red greater than 30%. </w:t>
      </w:r>
    </w:p>
    <w:tbl>
      <w:tblPr>
        <w:tblW w:w="9777" w:type="dxa"/>
        <w:jc w:val="left"/>
        <w:tblInd w:w="0" w:type="dxa"/>
        <w:tblLayout w:type="fixed"/>
        <w:tblCellMar>
          <w:top w:w="0" w:type="dxa"/>
          <w:left w:w="0" w:type="dxa"/>
          <w:bottom w:w="0" w:type="dxa"/>
          <w:right w:w="0" w:type="dxa"/>
        </w:tblCellMar>
      </w:tblPr>
      <w:tblGrid>
        <w:gridCol w:w="1629"/>
        <w:gridCol w:w="1628"/>
        <w:gridCol w:w="1"/>
        <w:gridCol w:w="1630"/>
        <w:gridCol w:w="1630"/>
        <w:gridCol w:w="1632"/>
        <w:gridCol w:w="1626"/>
      </w:tblGrid>
      <w:tr>
        <w:trPr/>
        <w:tc>
          <w:tcPr>
            <w:tcW w:w="3257" w:type="dxa"/>
            <w:gridSpan w:val="2"/>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Length data scenario</w:t>
            </w:r>
          </w:p>
        </w:tc>
        <w:tc>
          <w:tcPr>
            <w:tcW w:w="6519" w:type="dxa"/>
            <w:gridSpan w:val="5"/>
            <w:tcBorders>
              <w:top w:val="single" w:sz="6" w:space="0" w:color="000000"/>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Life history scenario</w:t>
            </w:r>
          </w:p>
        </w:tc>
      </w:tr>
      <w:tr>
        <w:trPr>
          <w:trHeight w:val="791" w:hRule="atLeast"/>
        </w:trPr>
        <w:tc>
          <w:tcPr>
            <w:tcW w:w="1629"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Sample size</w:t>
            </w:r>
          </w:p>
        </w:tc>
        <w:tc>
          <w:tcPr>
            <w:tcW w:w="1629" w:type="dxa"/>
            <w:gridSpan w:val="2"/>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Number of years</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slow-growing</w:t>
            </w:r>
          </w:p>
        </w:tc>
        <w:tc>
          <w:tcPr>
            <w:tcW w:w="1630"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Short-lived, fast-growing</w:t>
            </w:r>
          </w:p>
        </w:tc>
        <w:tc>
          <w:tcPr>
            <w:tcW w:w="1632"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slow-growing</w:t>
            </w:r>
          </w:p>
        </w:tc>
        <w:tc>
          <w:tcPr>
            <w:tcW w:w="1626" w:type="dxa"/>
            <w:tcBorders>
              <w:bottom w:val="single" w:sz="4" w:space="0" w:color="000000"/>
            </w:tcBorders>
            <w:tcMar>
              <w:top w:w="55" w:type="dxa"/>
              <w:left w:w="55" w:type="dxa"/>
              <w:bottom w:w="55" w:type="dxa"/>
              <w:right w:w="55" w:type="dxa"/>
            </w:tcMar>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Long-lived, fast-growing</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1000 (perfectly specified)</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100</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0.1418</w:t>
            </w:r>
          </w:p>
        </w:tc>
        <w:tc>
          <w:tcPr>
            <w:tcW w:w="1630"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0.1914</w:t>
            </w:r>
          </w:p>
          <w:p>
            <w:pPr>
              <w:pStyle w:val="Normal"/>
              <w:widowControl w:val="false"/>
              <w:spacing w:before="120" w:after="240"/>
              <w:jc w:val="left"/>
              <w:rPr>
                <w:rFonts w:ascii="Times New Roman" w:hAnsi="Times New Roman"/>
                <w:sz w:val="24"/>
                <w:szCs w:val="24"/>
              </w:rPr>
            </w:pPr>
            <w:r>
              <w:rPr>
                <w:sz w:val="24"/>
                <w:szCs w:val="24"/>
              </w:rPr>
            </w:r>
          </w:p>
        </w:tc>
        <w:tc>
          <w:tcPr>
            <w:tcW w:w="1632"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0.1644</w:t>
            </w:r>
          </w:p>
          <w:p>
            <w:pPr>
              <w:pStyle w:val="Normal"/>
              <w:widowControl w:val="false"/>
              <w:spacing w:before="120" w:after="240"/>
              <w:jc w:val="left"/>
              <w:rPr>
                <w:rFonts w:ascii="Times New Roman" w:hAnsi="Times New Roman"/>
                <w:sz w:val="24"/>
                <w:szCs w:val="24"/>
              </w:rPr>
            </w:pPr>
            <w:r>
              <w:rPr>
                <w:sz w:val="24"/>
                <w:szCs w:val="24"/>
              </w:rPr>
            </w:r>
          </w:p>
        </w:tc>
        <w:tc>
          <w:tcPr>
            <w:tcW w:w="1626" w:type="dxa"/>
            <w:tcBorders/>
            <w:shd w:fill="DDE8CB"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0.1735</w:t>
            </w:r>
          </w:p>
          <w:p>
            <w:pPr>
              <w:pStyle w:val="Normal"/>
              <w:widowControl w:val="false"/>
              <w:spacing w:before="120" w:after="240"/>
              <w:jc w:val="left"/>
              <w:rPr>
                <w:rFonts w:ascii="Times New Roman" w:hAnsi="Times New Roman"/>
                <w:sz w:val="24"/>
                <w:szCs w:val="24"/>
              </w:rPr>
            </w:pPr>
            <w:r>
              <w:rPr>
                <w:sz w:val="24"/>
                <w:szCs w:val="24"/>
              </w:rPr>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0.2409</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0.2554</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0.2136</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0.2262</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0.2262</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0.2330</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0.2173</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0.2011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0.2117</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0.2372</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0.2546</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0.2395</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0.2887</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0.2402</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0.3739</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0.3185</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200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0.4543</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0.4185</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0.6416</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0.4665</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75</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0.2400</w:t>
            </w:r>
          </w:p>
        </w:tc>
        <w:tc>
          <w:tcPr>
            <w:tcW w:w="1630"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0.2726</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0.2687</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0.2621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0.3066</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0.3161</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0.2888</w:t>
            </w:r>
          </w:p>
        </w:tc>
        <w:tc>
          <w:tcPr>
            <w:tcW w:w="1626"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0.2663</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10</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0.3075</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0.4043</w:t>
            </w:r>
          </w:p>
        </w:tc>
        <w:tc>
          <w:tcPr>
            <w:tcW w:w="1632" w:type="dxa"/>
            <w:tcBorders/>
            <w:shd w:fill="FFF5CE"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0.2536</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0.3471</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5</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0.3467</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0.3578</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0.3858</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0.4088</w:t>
            </w:r>
          </w:p>
        </w:tc>
      </w:tr>
      <w:tr>
        <w:trPr/>
        <w:tc>
          <w:tcPr>
            <w:tcW w:w="1629" w:type="dxa"/>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N = 50</w:t>
            </w:r>
          </w:p>
        </w:tc>
        <w:tc>
          <w:tcPr>
            <w:tcW w:w="1629" w:type="dxa"/>
            <w:gridSpan w:val="2"/>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1</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0.4903</w:t>
            </w:r>
          </w:p>
        </w:tc>
        <w:tc>
          <w:tcPr>
            <w:tcW w:w="1630"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0.4114</w:t>
            </w:r>
          </w:p>
        </w:tc>
        <w:tc>
          <w:tcPr>
            <w:tcW w:w="1632"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0.4619</w:t>
            </w:r>
          </w:p>
        </w:tc>
        <w:tc>
          <w:tcPr>
            <w:tcW w:w="1626" w:type="dxa"/>
            <w:tcBorders/>
            <w:shd w:fill="FFD7D7" w:val="clear"/>
          </w:tcPr>
          <w:p>
            <w:pPr>
              <w:pStyle w:val="Normal"/>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em w:val="none"/>
              </w:rPr>
              <w:t>0.4717</w:t>
            </w:r>
          </w:p>
        </w:tc>
      </w:tr>
      <w:tr>
        <w:trPr/>
        <w:tc>
          <w:tcPr>
            <w:tcW w:w="1629" w:type="dxa"/>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 xml:space="preserve">Decline from 200 samples (years </w:t>
            </w:r>
            <w:r>
              <w:rPr>
                <w:b w:val="false"/>
                <w:bCs w:val="false"/>
                <w:i w:val="false"/>
                <w:iCs w:val="false"/>
                <w:strike w:val="false"/>
                <w:dstrike w:val="false"/>
                <w:outline w:val="false"/>
                <w:shadow w:val="false"/>
                <w:color w:val="000000"/>
                <w:sz w:val="24"/>
                <w:szCs w:val="24"/>
                <w:u w:val="single"/>
              </w:rPr>
              <w:t>&lt;</w:t>
            </w:r>
            <w:r>
              <w:rPr>
                <w:b w:val="false"/>
                <w:bCs w:val="false"/>
                <w:i/>
                <w:iCs/>
                <w:strike w:val="false"/>
                <w:dstrike w:val="false"/>
                <w:outline w:val="false"/>
                <w:shadow w:val="false"/>
                <w:color w:val="000000"/>
                <w:sz w:val="24"/>
                <w:szCs w:val="24"/>
                <w:u w:val="none"/>
              </w:rPr>
              <w:t xml:space="preserve"> </w:t>
            </w:r>
            <w:r>
              <w:rPr>
                <w:b w:val="false"/>
                <w:bCs w:val="false"/>
                <w:i w:val="false"/>
                <w:iCs w:val="false"/>
                <w:strike w:val="false"/>
                <w:dstrike w:val="false"/>
                <w:outline w:val="false"/>
                <w:shadow w:val="false"/>
                <w:color w:val="000000"/>
                <w:sz w:val="24"/>
                <w:szCs w:val="24"/>
                <w:u w:val="none"/>
              </w:rPr>
              <w:t>87) to 50 samples (year &gt; 87)</w:t>
            </w:r>
          </w:p>
        </w:tc>
        <w:tc>
          <w:tcPr>
            <w:tcW w:w="1629" w:type="dxa"/>
            <w:gridSpan w:val="2"/>
            <w:tcBorders>
              <w:bottom w:val="single" w:sz="6" w:space="0" w:color="000000"/>
            </w:tcBorders>
          </w:tcPr>
          <w:p>
            <w:pPr>
              <w:pStyle w:val="TableContents"/>
              <w:widowControl w:val="false"/>
              <w:spacing w:before="120" w:after="240"/>
              <w:jc w:val="left"/>
              <w:rPr>
                <w:rFonts w:ascii="Times New Roman" w:hAnsi="Times New Roman"/>
                <w:sz w:val="24"/>
                <w:szCs w:val="24"/>
              </w:rPr>
            </w:pPr>
            <w:r>
              <w:rPr>
                <w:b w:val="false"/>
                <w:bCs w:val="false"/>
                <w:i w:val="false"/>
                <w:iCs w:val="false"/>
                <w:strike w:val="false"/>
                <w:dstrike w:val="false"/>
                <w:outline w:val="false"/>
                <w:shadow w:val="false"/>
                <w:color w:val="000000"/>
                <w:sz w:val="24"/>
                <w:szCs w:val="24"/>
                <w:u w:val="none"/>
              </w:rPr>
              <w:t>20</w:t>
            </w:r>
          </w:p>
        </w:tc>
        <w:tc>
          <w:tcPr>
            <w:tcW w:w="1630" w:type="dxa"/>
            <w:tcBorders>
              <w:bottom w:val="single" w:sz="6" w:space="0" w:color="000000"/>
            </w:tcBorders>
            <w:shd w:fill="FFF5CE"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0.2564</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630" w:type="dxa"/>
            <w:tcBorders>
              <w:bottom w:val="single" w:sz="6" w:space="0" w:color="000000"/>
            </w:tcBorders>
            <w:shd w:fill="FFD7D7"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0.3780</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632" w:type="dxa"/>
            <w:tcBorders>
              <w:bottom w:val="single" w:sz="6" w:space="0" w:color="000000"/>
            </w:tcBorders>
            <w:shd w:fill="FFF5CE"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0.2188</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c>
          <w:tcPr>
            <w:tcW w:w="1626" w:type="dxa"/>
            <w:tcBorders>
              <w:bottom w:val="single" w:sz="6" w:space="0" w:color="000000"/>
            </w:tcBorders>
            <w:shd w:fill="FFF5CE" w:val="clear"/>
          </w:tcPr>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em w:val="none"/>
              </w:rPr>
              <w:t>0.2626</w:t>
            </w:r>
          </w:p>
          <w:p>
            <w:pPr>
              <w:pStyle w:val="Normal"/>
              <w:widowControl w:val="false"/>
              <w:spacing w:before="120" w:after="240"/>
              <w:jc w:val="left"/>
              <w:rPr>
                <w:rFonts w:ascii="Times New Roman" w:hAnsi="Times New Roman"/>
                <w:b w:val="false"/>
                <w:b w:val="false"/>
                <w:bCs w:val="false"/>
                <w:i w:val="false"/>
                <w:i w:val="false"/>
                <w:iCs w:val="false"/>
                <w:strike w:val="false"/>
                <w:dstrike w:val="false"/>
                <w:outline w:val="false"/>
                <w:shadow w:val="false"/>
                <w:color w:val="000000"/>
                <w:sz w:val="24"/>
                <w:szCs w:val="24"/>
                <w:u w:val="none"/>
              </w:rPr>
            </w:pPr>
            <w:r>
              <w:rPr>
                <w:b w:val="false"/>
                <w:bCs w:val="false"/>
                <w:i w:val="false"/>
                <w:iCs w:val="false"/>
                <w:strike w:val="false"/>
                <w:dstrike w:val="false"/>
                <w:outline w:val="false"/>
                <w:shadow w:val="false"/>
                <w:color w:val="000000"/>
                <w:sz w:val="24"/>
                <w:szCs w:val="24"/>
                <w:u w:val="none"/>
              </w:rPr>
            </w:r>
          </w:p>
        </w:tc>
      </w:tr>
    </w:tbl>
    <w:p>
      <w:pPr>
        <w:pStyle w:val="Normal"/>
        <w:widowControl/>
        <w:numPr>
          <w:ilvl w:val="0"/>
          <w:numId w:val="0"/>
        </w:numPr>
        <w:suppressAutoHyphens w:val="true"/>
        <w:spacing w:lineRule="auto" w:line="240" w:before="156" w:after="156"/>
        <w:ind w:left="0" w:hanging="0"/>
        <w:jc w:val="left"/>
        <w:rPr>
          <w:rFonts w:ascii="Times New Roman" w:hAnsi="Times New Roman"/>
          <w:sz w:val="24"/>
          <w:szCs w:val="24"/>
        </w:rPr>
      </w:pPr>
      <w:r>
        <w:rPr>
          <w:sz w:val="24"/>
          <w:szCs w:val="24"/>
        </w:rPr>
      </w:r>
      <w:r>
        <w:br w:type="page"/>
      </w:r>
    </w:p>
    <w:p>
      <w:pPr>
        <w:pStyle w:val="Heading1"/>
        <w:numPr>
          <w:ilvl w:val="0"/>
          <w:numId w:val="2"/>
        </w:numPr>
        <w:rPr/>
      </w:pPr>
      <w:r>
        <w:rPr>
          <w:rFonts w:eastAsia="Cambria" w:cs="Times New Roman"/>
          <w:b/>
          <w:color w:val="auto"/>
          <w:kern w:val="0"/>
          <w:sz w:val="24"/>
          <w:szCs w:val="24"/>
          <w:lang w:val="en-US" w:eastAsia="en-US" w:bidi="ar-SA"/>
        </w:rPr>
        <w:t>Supplemental Figures</w:t>
      </w:r>
    </w:p>
    <w:p>
      <w:pPr>
        <w:pStyle w:val="Normal"/>
        <w:rPr>
          <w:rFonts w:ascii="Times New Roman" w:hAnsi="Times New Roman"/>
          <w:sz w:val="24"/>
          <w:szCs w:val="24"/>
        </w:rPr>
      </w:pPr>
      <w:bookmarkStart w:id="2" w:name="docs-internal-guid-546ea478-7fff-162e-df"/>
      <w:bookmarkEnd w:id="2"/>
      <w:r>
        <w:rPr/>
        <w:drawing>
          <wp:inline distT="0" distB="0" distL="0" distR="0">
            <wp:extent cx="5943600" cy="4457700"/>
            <wp:effectExtent l="0" t="0" r="0" b="0"/>
            <wp:docPr id="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1" descr=""/>
                    <pic:cNvPicPr>
                      <a:picLocks noChangeAspect="1" noChangeArrowheads="1"/>
                    </pic:cNvPicPr>
                  </pic:nvPicPr>
                  <pic:blipFill>
                    <a:blip r:embed="rId2"/>
                    <a:stretch>
                      <a:fillRect/>
                    </a:stretch>
                  </pic:blipFill>
                  <pic:spPr bwMode="auto">
                    <a:xfrm>
                      <a:off x="0" y="0"/>
                      <a:ext cx="5943600" cy="4457700"/>
                    </a:xfrm>
                    <a:prstGeom prst="rect">
                      <a:avLst/>
                    </a:prstGeom>
                  </pic:spPr>
                </pic:pic>
              </a:graphicData>
            </a:graphic>
          </wp:inline>
        </w:drawing>
      </w:r>
    </w:p>
    <w:p>
      <w:pPr>
        <w:pStyle w:val="TextBody"/>
        <w:rPr/>
      </w:pPr>
      <w:bookmarkStart w:id="3" w:name="docs-internal-guid-6833a6e5-7fff-352d-5c"/>
      <w:bookmarkEnd w:id="3"/>
      <w:r>
        <w:rPr>
          <w:rFonts w:eastAsia="Cambria" w:cs="Times New Roman"/>
          <w:b w:val="false"/>
          <w:bCs w:val="false"/>
          <w:i w:val="false"/>
          <w:caps w:val="false"/>
          <w:smallCaps w:val="false"/>
          <w:strike w:val="false"/>
          <w:dstrike w:val="false"/>
          <w:color w:val="000000"/>
          <w:kern w:val="0"/>
          <w:sz w:val="24"/>
          <w:szCs w:val="24"/>
          <w:u w:val="none"/>
          <w:effect w:val="none"/>
          <w:lang w:val="en-US" w:eastAsia="en-US" w:bidi="ar-SA"/>
        </w:rPr>
        <w:t xml:space="preserve">Supplementary Figure 1. </w:t>
      </w:r>
      <w:r>
        <w:rPr>
          <w:b w:val="false"/>
          <w:i w:val="false"/>
          <w:caps w:val="false"/>
          <w:smallCaps w:val="false"/>
          <w:strike w:val="false"/>
          <w:dstrike w:val="false"/>
          <w:color w:val="000000"/>
          <w:sz w:val="24"/>
          <w:szCs w:val="24"/>
          <w:u w:val="none"/>
          <w:effect w:val="none"/>
        </w:rPr>
        <w:t xml:space="preserve">Length-at-age for each of the four life history types, varying in their longevity and growth rate, either reaching their maximum size at 50% (faster growth) or 90% (slower growth) of their maximum age (short = 30 years, long = 60 years). </w:t>
      </w:r>
    </w:p>
    <w:p>
      <w:pPr>
        <w:pStyle w:val="LOnormal"/>
        <w:rPr/>
      </w:pPr>
      <w: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6208395" cy="517334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6208395" cy="5173345"/>
                    </a:xfrm>
                    <a:prstGeom prst="rect">
                      <a:avLst/>
                    </a:prstGeom>
                  </pic:spPr>
                </pic:pic>
              </a:graphicData>
            </a:graphic>
          </wp:anchor>
        </w:drawing>
      </w:r>
      <w:r>
        <w:rPr>
          <w:rFonts w:ascii="Times New Roman" w:hAnsi="Times New Roman"/>
          <w:b w:val="false"/>
          <w:i w:val="false"/>
          <w:caps w:val="false"/>
          <w:smallCaps w:val="false"/>
          <w:strike w:val="false"/>
          <w:dstrike w:val="false"/>
          <w:color w:val="000000"/>
          <w:sz w:val="24"/>
          <w:szCs w:val="24"/>
          <w:u w:val="none"/>
          <w:effect w:val="none"/>
        </w:rPr>
        <w:t xml:space="preserve">Supplementary </w:t>
      </w:r>
      <w:hyperlink w:anchor="bookmark=id.43ky6rz">
        <w:r>
          <w:rPr>
            <w:rFonts w:ascii="Times New Roman" w:hAnsi="Times New Roman"/>
            <w:b w:val="false"/>
            <w:i w:val="false"/>
            <w:caps w:val="false"/>
            <w:smallCaps w:val="false"/>
            <w:strike w:val="false"/>
            <w:dstrike w:val="false"/>
            <w:color w:val="000000"/>
            <w:sz w:val="24"/>
            <w:szCs w:val="24"/>
            <w:u w:val="none"/>
            <w:effect w:val="none"/>
          </w:rPr>
          <w:t xml:space="preserve">Figure </w:t>
        </w:r>
      </w:hyperlink>
      <w:r>
        <w:rPr>
          <w:rFonts w:ascii="Times New Roman" w:hAnsi="Times New Roman"/>
          <w:b w:val="false"/>
          <w:i w:val="false"/>
          <w:caps w:val="false"/>
          <w:smallCaps w:val="false"/>
          <w:strike w:val="false"/>
          <w:dstrike w:val="false"/>
          <w:color w:val="000000"/>
          <w:sz w:val="24"/>
          <w:szCs w:val="24"/>
          <w:u w:val="none"/>
          <w:effect w:val="none"/>
        </w:rPr>
        <w:t xml:space="preserve">2. Comparison of the </w:t>
      </w:r>
      <w:r>
        <w:rPr>
          <w:rFonts w:ascii="Times New Roman" w:hAnsi="Times New Roman"/>
          <w:b w:val="false"/>
          <w:i/>
          <w:caps w:val="false"/>
          <w:smallCaps w:val="false"/>
          <w:strike w:val="false"/>
          <w:dstrike w:val="false"/>
          <w:color w:val="000000"/>
          <w:sz w:val="24"/>
          <w:szCs w:val="24"/>
          <w:u w:val="none"/>
          <w:effect w:val="none"/>
        </w:rPr>
        <w:t>F</w:t>
      </w:r>
      <w:r>
        <w:rPr>
          <w:rFonts w:ascii="Times New Roman" w:hAnsi="Times New Roman"/>
          <w:b w:val="false"/>
          <w:i w:val="false"/>
          <w:caps w:val="false"/>
          <w:smallCaps w:val="false"/>
          <w:strike w:val="false"/>
          <w:dstrike w:val="false"/>
          <w:color w:val="000000"/>
          <w:sz w:val="24"/>
          <w:szCs w:val="24"/>
          <w:u w:val="none"/>
          <w:effect w:val="none"/>
        </w:rPr>
        <w:t xml:space="preserve"> trajectories for each life history type based on the </w:t>
      </w:r>
      <w:r>
        <w:rPr>
          <w:rFonts w:ascii="Times New Roman" w:hAnsi="Times New Roman"/>
          <w:b w:val="false"/>
          <w:i/>
          <w:caps w:val="false"/>
          <w:smallCaps w:val="false"/>
          <w:strike w:val="false"/>
          <w:dstrike w:val="false"/>
          <w:color w:val="000000"/>
          <w:sz w:val="24"/>
          <w:szCs w:val="24"/>
          <w:u w:val="none"/>
          <w:effect w:val="none"/>
        </w:rPr>
        <w:t>F</w:t>
      </w:r>
      <w:r>
        <w:rPr>
          <w:rFonts w:ascii="Times New Roman" w:hAnsi="Times New Roman"/>
          <w:b w:val="false"/>
          <w:i/>
          <w:caps w:val="false"/>
          <w:smallCaps w:val="false"/>
          <w:strike w:val="false"/>
          <w:dstrike w:val="false"/>
          <w:color w:val="000000"/>
          <w:sz w:val="24"/>
          <w:szCs w:val="24"/>
          <w:u w:val="none"/>
          <w:effect w:val="none"/>
          <w:vertAlign w:val="subscript"/>
        </w:rPr>
        <w:t>MSY</w:t>
      </w:r>
      <w:r>
        <w:rPr>
          <w:rFonts w:ascii="Times New Roman" w:hAnsi="Times New Roman"/>
          <w:b w:val="false"/>
          <w:i/>
          <w:caps w:val="false"/>
          <w:smallCaps w:val="false"/>
          <w:strike w:val="false"/>
          <w:dstrike w:val="false"/>
          <w:color w:val="000000"/>
          <w:sz w:val="24"/>
          <w:szCs w:val="24"/>
          <w:u w:val="none"/>
          <w:effect w:val="none"/>
        </w:rPr>
        <w:t xml:space="preserve"> </w:t>
      </w:r>
      <w:r>
        <w:rPr>
          <w:rFonts w:ascii="Times New Roman" w:hAnsi="Times New Roman"/>
          <w:b w:val="false"/>
          <w:i w:val="false"/>
          <w:caps w:val="false"/>
          <w:smallCaps w:val="false"/>
          <w:strike w:val="false"/>
          <w:dstrike w:val="false"/>
          <w:color w:val="000000"/>
          <w:sz w:val="24"/>
          <w:szCs w:val="24"/>
          <w:u w:val="none"/>
          <w:effect w:val="none"/>
        </w:rPr>
        <w:t>for each life history type (</w:t>
      </w:r>
      <w:hyperlink w:anchor="bookmark=id.28h4qwu">
        <w:r>
          <w:rPr>
            <w:rFonts w:ascii="Times New Roman" w:hAnsi="Times New Roman"/>
            <w:b w:val="false"/>
            <w:i w:val="false"/>
            <w:caps w:val="false"/>
            <w:smallCaps w:val="false"/>
            <w:strike w:val="false"/>
            <w:dstrike w:val="false"/>
            <w:color w:val="000000"/>
            <w:sz w:val="24"/>
            <w:szCs w:val="24"/>
            <w:u w:val="none"/>
            <w:effect w:val="none"/>
          </w:rPr>
          <w:t>Table 1</w:t>
        </w:r>
      </w:hyperlink>
      <w:r>
        <w:rPr>
          <w:rFonts w:ascii="Times New Roman" w:hAnsi="Times New Roman"/>
          <w:b w:val="false"/>
          <w:i w:val="false"/>
          <w:caps w:val="false"/>
          <w:smallCaps w:val="false"/>
          <w:strike w:val="false"/>
          <w:dstrike w:val="false"/>
          <w:color w:val="000000"/>
          <w:sz w:val="24"/>
          <w:szCs w:val="24"/>
          <w:u w:val="none"/>
          <w:effect w:val="none"/>
        </w:rPr>
        <w:t xml:space="preserve">) and a shared pattern of </w:t>
      </w:r>
      <w:r>
        <w:rPr>
          <w:rFonts w:ascii="Times New Roman" w:hAnsi="Times New Roman"/>
          <w:b w:val="false"/>
          <w:i/>
          <w:caps w:val="false"/>
          <w:smallCaps w:val="false"/>
          <w:strike w:val="false"/>
          <w:dstrike w:val="false"/>
          <w:color w:val="000000"/>
          <w:sz w:val="24"/>
          <w:szCs w:val="24"/>
          <w:u w:val="none"/>
          <w:effect w:val="none"/>
        </w:rPr>
        <w:t>F/F</w:t>
      </w:r>
      <w:r>
        <w:rPr>
          <w:rFonts w:ascii="Times New Roman" w:hAnsi="Times New Roman"/>
          <w:b w:val="false"/>
          <w:i/>
          <w:caps w:val="false"/>
          <w:smallCaps w:val="false"/>
          <w:strike w:val="false"/>
          <w:dstrike w:val="false"/>
          <w:color w:val="000000"/>
          <w:sz w:val="24"/>
          <w:szCs w:val="24"/>
          <w:u w:val="none"/>
          <w:effect w:val="none"/>
          <w:vertAlign w:val="subscript"/>
        </w:rPr>
        <w:t>MSY</w:t>
      </w:r>
      <w:r>
        <w:rPr>
          <w:rFonts w:ascii="Times New Roman" w:hAnsi="Times New Roman"/>
          <w:b w:val="false"/>
          <w:i w:val="false"/>
          <w:caps w:val="false"/>
          <w:smallCaps w:val="false"/>
          <w:strike w:val="false"/>
          <w:dstrike w:val="false"/>
          <w:color w:val="000000"/>
          <w:sz w:val="24"/>
          <w:szCs w:val="24"/>
          <w:u w:val="none"/>
          <w:effect w:val="none"/>
        </w:rPr>
        <w:t xml:space="preserve"> for each recruitment scenario. </w:t>
      </w:r>
      <w:r>
        <w:rPr>
          <w:rFonts w:eastAsia="Calibri" w:cs="" w:ascii="Times New Roman" w:hAnsi="Times New Roman"/>
          <w:b w:val="false"/>
          <w:i w:val="false"/>
          <w:caps w:val="false"/>
          <w:smallCaps w:val="false"/>
          <w:strike w:val="false"/>
          <w:dstrike w:val="false"/>
          <w:color w:val="000000"/>
          <w:kern w:val="0"/>
          <w:sz w:val="24"/>
          <w:szCs w:val="24"/>
          <w:u w:val="none"/>
          <w:effect w:val="none"/>
          <w:lang w:val="en-US" w:eastAsia="en-US" w:bidi="ar-SA"/>
        </w:rPr>
        <w:t xml:space="preserve">For the shorter-lived, slower-growing life history type there is some variation in the input </w:t>
      </w:r>
      <w:r>
        <w:rPr>
          <w:rFonts w:eastAsia="Calibri" w:cs="" w:ascii="Times New Roman" w:hAnsi="Times New Roman"/>
          <w:b w:val="false"/>
          <w:i/>
          <w:iCs/>
          <w:caps w:val="false"/>
          <w:smallCaps w:val="false"/>
          <w:strike w:val="false"/>
          <w:dstrike w:val="false"/>
          <w:color w:val="000000"/>
          <w:kern w:val="0"/>
          <w:sz w:val="24"/>
          <w:szCs w:val="24"/>
          <w:u w:val="none"/>
          <w:effect w:val="none"/>
          <w:lang w:val="en-US" w:eastAsia="en-US" w:bidi="ar-SA"/>
        </w:rPr>
        <w:t>F</w:t>
      </w:r>
      <w:r>
        <w:rPr>
          <w:rFonts w:eastAsia="Calibri" w:cs="" w:ascii="Times New Roman" w:hAnsi="Times New Roman"/>
          <w:b w:val="false"/>
          <w:i w:val="false"/>
          <w:iCs w:val="false"/>
          <w:caps w:val="false"/>
          <w:smallCaps w:val="false"/>
          <w:strike w:val="false"/>
          <w:dstrike w:val="false"/>
          <w:color w:val="000000"/>
          <w:kern w:val="0"/>
          <w:sz w:val="24"/>
          <w:szCs w:val="24"/>
          <w:u w:val="none"/>
          <w:effect w:val="none"/>
          <w:lang w:val="en-US" w:eastAsia="en-US" w:bidi="ar-SA"/>
        </w:rPr>
        <w:t xml:space="preserve"> at its highest point for some simulation replicates where the full catch could not be taken – this is shown as the 90</w:t>
      </w:r>
      <w:r>
        <w:rPr>
          <w:rFonts w:eastAsia="Calibri" w:cs="" w:ascii="Times New Roman" w:hAnsi="Times New Roman"/>
          <w:b w:val="false"/>
          <w:i w:val="false"/>
          <w:iCs w:val="false"/>
          <w:caps w:val="false"/>
          <w:smallCaps w:val="false"/>
          <w:strike w:val="false"/>
          <w:dstrike w:val="false"/>
          <w:color w:val="000000"/>
          <w:kern w:val="0"/>
          <w:sz w:val="24"/>
          <w:szCs w:val="24"/>
          <w:u w:val="none"/>
          <w:effect w:val="none"/>
          <w:vertAlign w:val="superscript"/>
          <w:lang w:val="en-US" w:eastAsia="en-US" w:bidi="ar-SA"/>
        </w:rPr>
        <w:t>th</w:t>
      </w:r>
      <w:r>
        <w:rPr>
          <w:rFonts w:eastAsia="Calibri" w:cs="" w:ascii="Times New Roman" w:hAnsi="Times New Roman"/>
          <w:b w:val="false"/>
          <w:i w:val="false"/>
          <w:iCs w:val="false"/>
          <w:caps w:val="false"/>
          <w:smallCaps w:val="false"/>
          <w:strike w:val="false"/>
          <w:dstrike w:val="false"/>
          <w:color w:val="000000"/>
          <w:kern w:val="0"/>
          <w:sz w:val="24"/>
          <w:szCs w:val="24"/>
          <w:u w:val="none"/>
          <w:effect w:val="none"/>
          <w:lang w:val="en-US" w:eastAsia="en-US" w:bidi="ar-SA"/>
        </w:rPr>
        <w:t xml:space="preserve"> percentiles via shading. </w:t>
      </w:r>
    </w:p>
    <w:p>
      <w:pPr>
        <w:pStyle w:val="LOnormal"/>
        <w:rPr/>
      </w:pPr>
      <w:r>
        <w:drawing>
          <wp:anchor behindDoc="0" distT="0" distB="0" distL="0" distR="0" simplePos="0" locked="0" layoutInCell="0" allowOverlap="1" relativeHeight="82">
            <wp:simplePos x="0" y="0"/>
            <wp:positionH relativeFrom="column">
              <wp:align>center</wp:align>
            </wp:positionH>
            <wp:positionV relativeFrom="paragraph">
              <wp:posOffset>635</wp:posOffset>
            </wp:positionV>
            <wp:extent cx="6208395" cy="517334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6208395" cy="5173345"/>
                    </a:xfrm>
                    <a:prstGeom prst="rect">
                      <a:avLst/>
                    </a:prstGeom>
                  </pic:spPr>
                </pic:pic>
              </a:graphicData>
            </a:graphic>
          </wp:anchor>
        </w:drawing>
      </w:r>
      <w:r>
        <w:rPr>
          <w:rFonts w:ascii="Times New Roman" w:hAnsi="Times New Roman"/>
          <w:b w:val="false"/>
          <w:i w:val="false"/>
          <w:caps w:val="false"/>
          <w:smallCaps w:val="false"/>
          <w:strike w:val="false"/>
          <w:dstrike w:val="false"/>
          <w:color w:val="000000"/>
          <w:sz w:val="24"/>
          <w:szCs w:val="24"/>
          <w:u w:val="none"/>
          <w:effect w:val="none"/>
        </w:rPr>
        <w:t xml:space="preserve">Supplementary </w:t>
      </w:r>
      <w:hyperlink w:anchor="bookmark=id.2iq8gzs">
        <w:r>
          <w:rPr>
            <w:rFonts w:ascii="Times New Roman" w:hAnsi="Times New Roman"/>
            <w:b w:val="false"/>
            <w:i w:val="false"/>
            <w:caps w:val="false"/>
            <w:smallCaps w:val="false"/>
            <w:strike w:val="false"/>
            <w:dstrike w:val="false"/>
            <w:color w:val="000000"/>
            <w:sz w:val="24"/>
            <w:szCs w:val="24"/>
            <w:u w:val="none"/>
            <w:effect w:val="none"/>
          </w:rPr>
          <w:t xml:space="preserve">Figure </w:t>
        </w:r>
      </w:hyperlink>
      <w:r>
        <w:rPr>
          <w:rFonts w:ascii="Times New Roman" w:hAnsi="Times New Roman"/>
          <w:b w:val="false"/>
          <w:i w:val="false"/>
          <w:caps w:val="false"/>
          <w:smallCaps w:val="false"/>
          <w:strike w:val="false"/>
          <w:dstrike w:val="false"/>
          <w:color w:val="000000"/>
          <w:sz w:val="24"/>
          <w:szCs w:val="24"/>
          <w:u w:val="none"/>
          <w:effect w:val="none"/>
        </w:rPr>
        <w:t xml:space="preserve">3. Comparison of the median, 50th quantiles, and 90th quantiles of recruitment with sigma R = 0.4 vs. 0.8 across 100 simulation replicates for each life history scenario. The single black lines show a single simulation replicate of recruitment. </w:t>
      </w:r>
    </w:p>
    <w:p>
      <w:pPr>
        <w:pStyle w:val="LOnormal"/>
        <w:rPr/>
      </w:pPr>
      <w:r>
        <w:drawing>
          <wp:anchor behindDoc="0" distT="0" distB="0" distL="0" distR="0" simplePos="0" locked="0" layoutInCell="0" allowOverlap="1" relativeHeight="83">
            <wp:simplePos x="0" y="0"/>
            <wp:positionH relativeFrom="column">
              <wp:align>center</wp:align>
            </wp:positionH>
            <wp:positionV relativeFrom="paragraph">
              <wp:posOffset>635</wp:posOffset>
            </wp:positionV>
            <wp:extent cx="6208395" cy="5173345"/>
            <wp:effectExtent l="0" t="0" r="0" b="0"/>
            <wp:wrapSquare wrapText="largest"/>
            <wp:docPr id="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 descr=""/>
                    <pic:cNvPicPr>
                      <a:picLocks noChangeAspect="1" noChangeArrowheads="1"/>
                    </pic:cNvPicPr>
                  </pic:nvPicPr>
                  <pic:blipFill>
                    <a:blip r:embed="rId5"/>
                    <a:stretch>
                      <a:fillRect/>
                    </a:stretch>
                  </pic:blipFill>
                  <pic:spPr bwMode="auto">
                    <a:xfrm>
                      <a:off x="0" y="0"/>
                      <a:ext cx="6208395" cy="5173345"/>
                    </a:xfrm>
                    <a:prstGeom prst="rect">
                      <a:avLst/>
                    </a:prstGeom>
                  </pic:spPr>
                </pic:pic>
              </a:graphicData>
            </a:graphic>
          </wp:anchor>
        </w:drawing>
      </w:r>
      <w:r>
        <w:rPr>
          <w:rFonts w:ascii="Times New Roman" w:hAnsi="Times New Roman"/>
          <w:b w:val="false"/>
          <w:i w:val="false"/>
          <w:caps w:val="false"/>
          <w:smallCaps w:val="false"/>
          <w:strike w:val="false"/>
          <w:dstrike w:val="false"/>
          <w:color w:val="000000"/>
          <w:sz w:val="24"/>
          <w:szCs w:val="24"/>
          <w:u w:val="none"/>
          <w:effect w:val="none"/>
        </w:rPr>
        <w:t xml:space="preserve">Supplementary </w:t>
      </w:r>
      <w:hyperlink w:anchor="bookmark=id.xvir7l">
        <w:r>
          <w:rPr>
            <w:rFonts w:ascii="Times New Roman" w:hAnsi="Times New Roman"/>
            <w:b w:val="false"/>
            <w:i w:val="false"/>
            <w:caps w:val="false"/>
            <w:smallCaps w:val="false"/>
            <w:strike w:val="false"/>
            <w:dstrike w:val="false"/>
            <w:color w:val="000000"/>
            <w:sz w:val="24"/>
            <w:szCs w:val="24"/>
            <w:u w:val="none"/>
            <w:effect w:val="none"/>
          </w:rPr>
          <w:t xml:space="preserve">Figure </w:t>
        </w:r>
      </w:hyperlink>
      <w:r>
        <w:rPr>
          <w:rFonts w:ascii="Times New Roman" w:hAnsi="Times New Roman"/>
          <w:b w:val="false"/>
          <w:i w:val="false"/>
          <w:caps w:val="false"/>
          <w:smallCaps w:val="false"/>
          <w:strike w:val="false"/>
          <w:dstrike w:val="false"/>
          <w:color w:val="000000"/>
          <w:sz w:val="24"/>
          <w:szCs w:val="24"/>
          <w:u w:val="none"/>
          <w:effect w:val="none"/>
        </w:rPr>
        <w:t xml:space="preserve">4.  Comparison of the median, 50th quantiles, and 90th quantiles of fraction unfished </w:t>
      </w:r>
      <w:r>
        <w:rPr>
          <w:rFonts w:eastAsia="Calibri" w:cs="" w:ascii="Times New Roman" w:hAnsi="Times New Roman"/>
          <w:b w:val="false"/>
          <w:i w:val="false"/>
          <w:caps w:val="false"/>
          <w:smallCaps w:val="false"/>
          <w:strike w:val="false"/>
          <w:dstrike w:val="false"/>
          <w:color w:val="000000"/>
          <w:kern w:val="0"/>
          <w:sz w:val="24"/>
          <w:szCs w:val="24"/>
          <w:u w:val="none"/>
          <w:effect w:val="none"/>
          <w:lang w:val="en-US" w:eastAsia="en-US" w:bidi="ar-SA"/>
        </w:rPr>
        <w:t>spawning output</w:t>
      </w:r>
      <w:r>
        <w:rPr>
          <w:rFonts w:ascii="Times New Roman" w:hAnsi="Times New Roman"/>
          <w:b w:val="false"/>
          <w:i w:val="false"/>
          <w:caps w:val="false"/>
          <w:smallCaps w:val="false"/>
          <w:strike w:val="false"/>
          <w:dstrike w:val="false"/>
          <w:color w:val="000000"/>
          <w:sz w:val="24"/>
          <w:szCs w:val="24"/>
          <w:u w:val="none"/>
          <w:effect w:val="none"/>
        </w:rPr>
        <w:t xml:space="preserve"> with sigma R = 0.4 vs. 0.8 across 100 simulation replicates for each life history scenario. The single black lines show a single simulation replicate of the fraction unfished. </w:t>
      </w:r>
    </w:p>
    <w:p>
      <w:pPr>
        <w:pStyle w:val="TextBody"/>
        <w:rPr/>
      </w:pPr>
      <w:r>
        <w:drawing>
          <wp:anchor behindDoc="0" distT="0" distB="0" distL="0" distR="0" simplePos="0" locked="0" layoutInCell="0" allowOverlap="1" relativeHeight="80">
            <wp:simplePos x="0" y="0"/>
            <wp:positionH relativeFrom="column">
              <wp:align>center</wp:align>
            </wp:positionH>
            <wp:positionV relativeFrom="paragraph">
              <wp:posOffset>635</wp:posOffset>
            </wp:positionV>
            <wp:extent cx="6208395" cy="4138930"/>
            <wp:effectExtent l="0" t="0" r="0" b="0"/>
            <wp:wrapSquare wrapText="largest"/>
            <wp:docPr id="5"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2" descr=""/>
                    <pic:cNvPicPr>
                      <a:picLocks noChangeAspect="1" noChangeArrowheads="1"/>
                    </pic:cNvPicPr>
                  </pic:nvPicPr>
                  <pic:blipFill>
                    <a:blip r:embed="rId6"/>
                    <a:stretch>
                      <a:fillRect/>
                    </a:stretch>
                  </pic:blipFill>
                  <pic:spPr bwMode="auto">
                    <a:xfrm>
                      <a:off x="0" y="0"/>
                      <a:ext cx="6208395" cy="4138930"/>
                    </a:xfrm>
                    <a:prstGeom prst="rect">
                      <a:avLst/>
                    </a:prstGeom>
                  </pic:spPr>
                </pic:pic>
              </a:graphicData>
            </a:graphic>
          </wp:anchor>
        </w:drawing>
      </w:r>
      <w:r>
        <w:rPr>
          <w:rFonts w:eastAsia="Calibri" w:cs=""/>
          <w:b w:val="false"/>
          <w:i w:val="false"/>
          <w:caps w:val="false"/>
          <w:smallCaps w:val="false"/>
          <w:strike w:val="false"/>
          <w:dstrike w:val="false"/>
          <w:color w:val="000000"/>
          <w:kern w:val="0"/>
          <w:sz w:val="24"/>
          <w:szCs w:val="24"/>
          <w:u w:val="none"/>
          <w:effect w:val="none"/>
          <w:lang w:val="en-US" w:eastAsia="en-US" w:bidi="ar-SA"/>
        </w:rPr>
        <w:t xml:space="preserve">Supplementary Figure 5. </w:t>
      </w:r>
      <w:r>
        <w:rPr>
          <w:b w:val="false"/>
          <w:i w:val="false"/>
          <w:caps w:val="false"/>
          <w:smallCaps w:val="false"/>
          <w:strike w:val="false"/>
          <w:dstrike w:val="false"/>
          <w:color w:val="000000"/>
          <w:sz w:val="24"/>
          <w:szCs w:val="24"/>
          <w:u w:val="none"/>
          <w:effect w:val="none"/>
        </w:rPr>
        <w:t>Median relative error (MRE, i.e. bias) with increasing simulation replicates (i.e. iteration), where 100 simulation replicates would be the final estimated bias in the simulation study, across life history, recruitment variability, sample size (Nsamp), and number of years of length data (Lyears) scenarios. The MRE generally asymptotes by 100 simulation replicates, indicating that 100 simulation replicates was enough to accurately represent bias.</w:t>
      </w:r>
    </w:p>
    <w:p>
      <w:pPr>
        <w:pStyle w:val="TextBody"/>
        <w:bidi w:val="0"/>
        <w:spacing w:lineRule="auto" w:line="240" w:before="156" w:after="156"/>
        <w:jc w:val="both"/>
        <w:rPr>
          <w:rFonts w:ascii="Times New Roman" w:hAnsi="Times New Roman"/>
          <w:sz w:val="24"/>
          <w:szCs w:val="24"/>
        </w:rPr>
      </w:pPr>
      <w:r>
        <w:rPr>
          <w:sz w:val="24"/>
          <w:szCs w:val="24"/>
        </w:rPr>
      </w:r>
      <w:bookmarkStart w:id="4" w:name="docs-internal-guid-a2620a31-7fff-90b9-97"/>
      <w:bookmarkStart w:id="5" w:name="docs-internal-guid-a2620a31-7fff-90b9-97"/>
      <w:bookmarkEnd w:id="5"/>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pic:cNvPicPr>
                      <a:picLocks noChangeAspect="1" noChangeArrowheads="1"/>
                    </pic:cNvPicPr>
                  </pic:nvPicPr>
                  <pic:blipFill>
                    <a:blip r:embed="rId7"/>
                    <a:stretch>
                      <a:fillRect/>
                    </a:stretch>
                  </pic:blipFill>
                  <pic:spPr bwMode="auto">
                    <a:xfrm>
                      <a:off x="0" y="0"/>
                      <a:ext cx="5943600" cy="4572000"/>
                    </a:xfrm>
                    <a:prstGeom prst="rect">
                      <a:avLst/>
                    </a:prstGeom>
                  </pic:spPr>
                </pic:pic>
              </a:graphicData>
            </a:graphic>
          </wp:inline>
        </w:drawing>
      </w:r>
    </w:p>
    <w:p>
      <w:pPr>
        <w:pStyle w:val="TextBody"/>
        <w:rPr>
          <w:rFonts w:ascii="Times New Roman" w:hAnsi="Times New Roman"/>
          <w:sz w:val="24"/>
          <w:szCs w:val="24"/>
        </w:rPr>
      </w:pPr>
      <w:r>
        <w:rPr>
          <w:sz w:val="24"/>
          <w:szCs w:val="24"/>
        </w:rPr>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6</w:t>
      </w:r>
      <w:r>
        <w:rPr>
          <w:b w:val="false"/>
          <w:i w:val="false"/>
          <w:caps w:val="false"/>
          <w:smallCaps w:val="false"/>
          <w:strike w:val="false"/>
          <w:dstrike w:val="false"/>
          <w:color w:val="000000"/>
          <w:sz w:val="24"/>
          <w:szCs w:val="24"/>
          <w:u w:val="none"/>
          <w:effect w:val="none"/>
        </w:rPr>
        <w:t>. Summary of the data type, length of data time series, and quantity for China rockfish (North).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8"/>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rFonts w:ascii="Times New Roman" w:hAnsi="Times New Roman"/>
          <w:sz w:val="24"/>
          <w:szCs w:val="24"/>
        </w:rPr>
      </w:pPr>
      <w:r>
        <w:rPr>
          <w:b w:val="false"/>
          <w:i w:val="false"/>
          <w:caps w:val="false"/>
          <w:smallCaps w:val="false"/>
          <w:strike w:val="false"/>
          <w:dstrike w:val="false"/>
          <w:color w:val="000000"/>
          <w:sz w:val="24"/>
          <w:szCs w:val="24"/>
          <w:u w:val="none"/>
          <w:effect w:val="none"/>
        </w:rPr>
        <w:t xml:space="preserve">Supplementary Figure 7.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(not estimated in the model) relative to the reference model (black) for China rockfish.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pPr>
      <w:r>
        <w:rPr/>
        <w:drawing>
          <wp:inline distT="0" distB="0" distL="0" distR="0">
            <wp:extent cx="5943600" cy="4572000"/>
            <wp:effectExtent l="0" t="0" r="0" b="0"/>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9"/>
                    <a:stretch>
                      <a:fillRect/>
                    </a:stretch>
                  </pic:blipFill>
                  <pic:spPr bwMode="auto">
                    <a:xfrm>
                      <a:off x="0" y="0"/>
                      <a:ext cx="5943600" cy="4572000"/>
                    </a:xfrm>
                    <a:prstGeom prst="rect">
                      <a:avLst/>
                    </a:prstGeom>
                  </pic:spPr>
                </pic:pic>
              </a:graphicData>
            </a:graphic>
          </wp:inline>
        </w:drawing>
      </w:r>
      <w:r>
        <w:rPr>
          <w:b w:val="false"/>
          <w:i w:val="false"/>
          <w:caps w:val="false"/>
          <w:smallCaps w:val="false"/>
          <w:strike w:val="false"/>
          <w:dstrike w:val="false"/>
          <w:color w:val="000000"/>
          <w:sz w:val="24"/>
          <w:szCs w:val="24"/>
          <w:u w:val="none"/>
          <w:effect w:val="none"/>
        </w:rPr>
        <w:t>Fig</w:t>
      </w: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8</w:t>
      </w:r>
      <w:r>
        <w:rPr>
          <w:b w:val="false"/>
          <w:i w:val="false"/>
          <w:caps w:val="false"/>
          <w:smallCaps w:val="false"/>
          <w:strike w:val="false"/>
          <w:dstrike w:val="false"/>
          <w:color w:val="000000"/>
          <w:sz w:val="24"/>
          <w:szCs w:val="24"/>
          <w:u w:val="none"/>
          <w:effect w:val="none"/>
        </w:rPr>
        <w:t>. Summary of the data type, length of data time series, and quantity for black rockfish (WA).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0"/>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9</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black rockfish.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11"/>
                    <a:stretch>
                      <a:fillRect/>
                    </a:stretch>
                  </pic:blipFill>
                  <pic:spPr bwMode="auto">
                    <a:xfrm>
                      <a:off x="0" y="0"/>
                      <a:ext cx="5943600" cy="45720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10</w:t>
      </w:r>
      <w:r>
        <w:rPr>
          <w:b w:val="false"/>
          <w:i w:val="false"/>
          <w:caps w:val="false"/>
          <w:smallCaps w:val="false"/>
          <w:strike w:val="false"/>
          <w:dstrike w:val="false"/>
          <w:color w:val="000000"/>
          <w:sz w:val="24"/>
          <w:szCs w:val="24"/>
          <w:u w:val="none"/>
          <w:effect w:val="none"/>
        </w:rPr>
        <w:t>. Summary of the data type, length of data time series, and quantity for yelloweye rockfish.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12"/>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11</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yelloweye rockfish.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1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descr=""/>
                    <pic:cNvPicPr>
                      <a:picLocks noChangeAspect="1" noChangeArrowheads="1"/>
                    </pic:cNvPicPr>
                  </pic:nvPicPr>
                  <pic:blipFill>
                    <a:blip r:embed="rId13"/>
                    <a:stretch>
                      <a:fillRect/>
                    </a:stretch>
                  </pic:blipFill>
                  <pic:spPr bwMode="auto">
                    <a:xfrm>
                      <a:off x="0" y="0"/>
                      <a:ext cx="5943600" cy="45720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12</w:t>
      </w:r>
      <w:r>
        <w:rPr>
          <w:b w:val="false"/>
          <w:i w:val="false"/>
          <w:caps w:val="false"/>
          <w:smallCaps w:val="false"/>
          <w:strike w:val="false"/>
          <w:dstrike w:val="false"/>
          <w:color w:val="000000"/>
          <w:sz w:val="24"/>
          <w:szCs w:val="24"/>
          <w:u w:val="none"/>
          <w:effect w:val="none"/>
        </w:rPr>
        <w:t>. Summary of the data type, length of data time series, and quantity for longspine thornyhead.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1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 descr=""/>
                    <pic:cNvPicPr>
                      <a:picLocks noChangeAspect="1" noChangeArrowheads="1"/>
                    </pic:cNvPicPr>
                  </pic:nvPicPr>
                  <pic:blipFill>
                    <a:blip r:embed="rId14"/>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13</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longspine thornyhead. The top row are comparisons between the reference model and when all indices (blue) or all lengths (green)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1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
                    <pic:cNvPicPr>
                      <a:picLocks noChangeAspect="1" noChangeArrowheads="1"/>
                    </pic:cNvPicPr>
                  </pic:nvPicPr>
                  <pic:blipFill>
                    <a:blip r:embed="rId15"/>
                    <a:stretch>
                      <a:fillRect/>
                    </a:stretch>
                  </pic:blipFill>
                  <pic:spPr bwMode="auto">
                    <a:xfrm>
                      <a:off x="0" y="0"/>
                      <a:ext cx="5943600" cy="4572000"/>
                    </a:xfrm>
                    <a:prstGeom prst="rect">
                      <a:avLst/>
                    </a:prstGeom>
                  </pic:spPr>
                </pic:pic>
              </a:graphicData>
            </a:graphic>
          </wp:inline>
        </w:drawing>
      </w:r>
    </w:p>
    <w:p>
      <w:pPr>
        <w:pStyle w:val="TextBody"/>
        <w:bidi w:val="0"/>
        <w:spacing w:lineRule="auto" w:line="331" w:before="0" w:after="0"/>
        <w:jc w:val="both"/>
        <w:rPr>
          <w:rFonts w:ascii="Times New Roman" w:hAnsi="Times New Roman"/>
          <w:sz w:val="24"/>
          <w:szCs w:val="24"/>
        </w:rPr>
      </w:pPr>
      <w:r>
        <w:rPr>
          <w:b w:val="false"/>
          <w:i w:val="false"/>
          <w:caps w:val="false"/>
          <w:smallCaps w:val="false"/>
          <w:strike w:val="false"/>
          <w:dstrike w:val="false"/>
          <w:color w:val="000000"/>
          <w:sz w:val="24"/>
          <w:szCs w:val="24"/>
          <w:u w:val="none"/>
          <w:effect w:val="none"/>
        </w:rPr>
        <w:t>Supplementary Figure 14. Summary of the data type, length of data time series, and quantity for cabezon (NCS).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15"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 descr=""/>
                    <pic:cNvPicPr>
                      <a:picLocks noChangeAspect="1" noChangeArrowheads="1"/>
                    </pic:cNvPicPr>
                  </pic:nvPicPr>
                  <pic:blipFill>
                    <a:blip r:embed="rId16"/>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15</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cabezon (NCS).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w:t>
      </w:r>
    </w:p>
    <w:p>
      <w:pPr>
        <w:pStyle w:val="TextBody"/>
        <w:bidi w:val="0"/>
        <w:spacing w:lineRule="auto" w:line="331" w:before="0" w:after="0"/>
        <w:jc w:val="both"/>
        <w:rPr>
          <w:rFonts w:ascii="Times New Roman" w:hAnsi="Times New Roman"/>
          <w:sz w:val="24"/>
          <w:szCs w:val="24"/>
        </w:rPr>
      </w:pPr>
      <w:r>
        <w:rPr>
          <w:caps w:val="false"/>
          <w:smallCaps w:val="false"/>
          <w:strike w:val="false"/>
          <w:dstrike w:val="false"/>
          <w:color w:val="000000"/>
          <w:sz w:val="24"/>
          <w:szCs w:val="24"/>
          <w:u w:val="none"/>
          <w:effect w:val="none"/>
        </w:rPr>
        <w:t>  </w:t>
      </w:r>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16"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 descr=""/>
                    <pic:cNvPicPr>
                      <a:picLocks noChangeAspect="1" noChangeArrowheads="1"/>
                    </pic:cNvPicPr>
                  </pic:nvPicPr>
                  <pic:blipFill>
                    <a:blip r:embed="rId17"/>
                    <a:stretch>
                      <a:fillRect/>
                    </a:stretch>
                  </pic:blipFill>
                  <pic:spPr bwMode="auto">
                    <a:xfrm>
                      <a:off x="0" y="0"/>
                      <a:ext cx="5943600" cy="4572000"/>
                    </a:xfrm>
                    <a:prstGeom prst="rect">
                      <a:avLst/>
                    </a:prstGeom>
                  </pic:spPr>
                </pic:pic>
              </a:graphicData>
            </a:graphic>
          </wp:inline>
        </w:drawing>
      </w:r>
    </w:p>
    <w:p>
      <w:pPr>
        <w:pStyle w:val="TextBody"/>
        <w:rPr>
          <w:rFonts w:ascii="Times New Roman" w:hAnsi="Times New Roman"/>
          <w:sz w:val="24"/>
          <w:szCs w:val="24"/>
        </w:rPr>
      </w:pPr>
      <w:r>
        <w:rPr>
          <w:sz w:val="24"/>
          <w:szCs w:val="24"/>
        </w:rPr>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16</w:t>
      </w:r>
      <w:r>
        <w:rPr>
          <w:b w:val="false"/>
          <w:i w:val="false"/>
          <w:caps w:val="false"/>
          <w:smallCaps w:val="false"/>
          <w:strike w:val="false"/>
          <w:dstrike w:val="false"/>
          <w:color w:val="000000"/>
          <w:sz w:val="24"/>
          <w:szCs w:val="24"/>
          <w:u w:val="none"/>
          <w:effect w:val="none"/>
        </w:rPr>
        <w:t>. Summary of the data type, length of data time series, and quantity for kelp greenling.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b w:val="false"/>
          <w:sz w:val="24"/>
          <w:szCs w:val="24"/>
        </w:rPr>
        <w:b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17"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 descr=""/>
                    <pic:cNvPicPr>
                      <a:picLocks noChangeAspect="1" noChangeArrowheads="1"/>
                    </pic:cNvPicPr>
                  </pic:nvPicPr>
                  <pic:blipFill>
                    <a:blip r:embed="rId18"/>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17</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kelp greenling.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4572000"/>
            <wp:effectExtent l="0" t="0" r="0" b="0"/>
            <wp:docPr id="1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descr=""/>
                    <pic:cNvPicPr>
                      <a:picLocks noChangeAspect="1" noChangeArrowheads="1"/>
                    </pic:cNvPicPr>
                  </pic:nvPicPr>
                  <pic:blipFill>
                    <a:blip r:embed="rId19"/>
                    <a:stretch>
                      <a:fillRect/>
                    </a:stretch>
                  </pic:blipFill>
                  <pic:spPr bwMode="auto">
                    <a:xfrm>
                      <a:off x="0" y="0"/>
                      <a:ext cx="5943600" cy="4572000"/>
                    </a:xfrm>
                    <a:prstGeom prst="rect">
                      <a:avLst/>
                    </a:prstGeom>
                  </pic:spPr>
                </pic:pic>
              </a:graphicData>
            </a:graphic>
          </wp:inline>
        </w:drawing>
      </w:r>
    </w:p>
    <w:p>
      <w:pPr>
        <w:pStyle w:val="TextBody"/>
        <w:rPr>
          <w:rFonts w:ascii="Times New Roman" w:hAnsi="Times New Roman"/>
          <w:sz w:val="24"/>
          <w:szCs w:val="24"/>
        </w:rPr>
      </w:pPr>
      <w:r>
        <w:rPr>
          <w:sz w:val="24"/>
          <w:szCs w:val="24"/>
        </w:rPr>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w:t>
      </w:r>
      <w:r>
        <w:rPr>
          <w:rFonts w:eastAsia="Calibri" w:cs=""/>
          <w:b w:val="false"/>
          <w:i w:val="false"/>
          <w:caps w:val="false"/>
          <w:smallCaps w:val="false"/>
          <w:strike w:val="false"/>
          <w:dstrike w:val="false"/>
          <w:color w:val="000000"/>
          <w:kern w:val="0"/>
          <w:sz w:val="24"/>
          <w:szCs w:val="24"/>
          <w:u w:val="none"/>
          <w:effect w:val="none"/>
          <w:lang w:val="en-US" w:eastAsia="en-US" w:bidi="ar-SA"/>
        </w:rPr>
        <w:t>8</w:t>
      </w:r>
      <w:r>
        <w:rPr>
          <w:b w:val="false"/>
          <w:i w:val="false"/>
          <w:caps w:val="false"/>
          <w:smallCaps w:val="false"/>
          <w:strike w:val="false"/>
          <w:dstrike w:val="false"/>
          <w:color w:val="000000"/>
          <w:sz w:val="24"/>
          <w:szCs w:val="24"/>
          <w:u w:val="none"/>
          <w:effect w:val="none"/>
        </w:rPr>
        <w:t>. Summary of the data type, length of data time series, and quantity for lingcod (North).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19"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6" descr=""/>
                    <pic:cNvPicPr>
                      <a:picLocks noChangeAspect="1" noChangeArrowheads="1"/>
                    </pic:cNvPicPr>
                  </pic:nvPicPr>
                  <pic:blipFill>
                    <a:blip r:embed="rId20"/>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1</w:t>
      </w:r>
      <w:r>
        <w:rPr>
          <w:rFonts w:eastAsia="Calibri" w:cs=""/>
          <w:b w:val="false"/>
          <w:i w:val="false"/>
          <w:caps w:val="false"/>
          <w:smallCaps w:val="false"/>
          <w:strike w:val="false"/>
          <w:dstrike w:val="false"/>
          <w:color w:val="000000"/>
          <w:kern w:val="0"/>
          <w:sz w:val="24"/>
          <w:szCs w:val="24"/>
          <w:u w:val="none"/>
          <w:effect w:val="none"/>
          <w:lang w:val="en-US" w:eastAsia="en-US" w:bidi="ar-SA"/>
        </w:rPr>
        <w:t>9</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lingcod (North).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w:t>
      </w:r>
    </w:p>
    <w:p>
      <w:pPr>
        <w:pStyle w:val="TextBody"/>
        <w:rPr>
          <w:rFonts w:ascii="Times New Roman" w:hAnsi="Times New Roman"/>
          <w:sz w:val="24"/>
          <w:szCs w:val="24"/>
        </w:rPr>
      </w:pPr>
      <w:r>
        <w:rPr>
          <w:b w:val="false"/>
          <w:sz w:val="24"/>
          <w:szCs w:val="24"/>
        </w:rPr>
        <w:br/>
      </w:r>
    </w:p>
    <w:p>
      <w:pPr>
        <w:pStyle w:val="TextBody"/>
        <w:bidi w:val="0"/>
        <w:spacing w:lineRule="auto" w:line="331" w:before="0" w:after="0"/>
        <w:jc w:val="center"/>
        <w:rPr>
          <w:rFonts w:ascii="Times New Roman" w:hAnsi="Times New Roman"/>
          <w:sz w:val="24"/>
          <w:szCs w:val="24"/>
        </w:rPr>
      </w:pPr>
      <w:r>
        <w:rPr/>
        <w:drawing>
          <wp:inline distT="0" distB="0" distL="0" distR="0">
            <wp:extent cx="5562600" cy="4286250"/>
            <wp:effectExtent l="0" t="0" r="0" b="0"/>
            <wp:docPr id="2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 descr=""/>
                    <pic:cNvPicPr>
                      <a:picLocks noChangeAspect="1" noChangeArrowheads="1"/>
                    </pic:cNvPicPr>
                  </pic:nvPicPr>
                  <pic:blipFill>
                    <a:blip r:embed="rId21"/>
                    <a:stretch>
                      <a:fillRect/>
                    </a:stretch>
                  </pic:blipFill>
                  <pic:spPr bwMode="auto">
                    <a:xfrm>
                      <a:off x="0" y="0"/>
                      <a:ext cx="5562600" cy="428625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20</w:t>
      </w:r>
      <w:r>
        <w:rPr>
          <w:b w:val="false"/>
          <w:i w:val="false"/>
          <w:caps w:val="false"/>
          <w:smallCaps w:val="false"/>
          <w:strike w:val="false"/>
          <w:dstrike w:val="false"/>
          <w:color w:val="000000"/>
          <w:sz w:val="24"/>
          <w:szCs w:val="24"/>
          <w:u w:val="none"/>
          <w:effect w:val="none"/>
        </w:rPr>
        <w:t>. Summary of the data type, length of data time series, and quantity for Dover sole.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22"/>
                    <a:stretch>
                      <a:fillRect/>
                    </a:stretch>
                  </pic:blipFill>
                  <pic:spPr bwMode="auto">
                    <a:xfrm>
                      <a:off x="0" y="0"/>
                      <a:ext cx="5943600" cy="3467100"/>
                    </a:xfrm>
                    <a:prstGeom prst="rect">
                      <a:avLst/>
                    </a:prstGeom>
                  </pic:spPr>
                </pic:pic>
              </a:graphicData>
            </a:graphic>
          </wp:inline>
        </w:drawing>
      </w:r>
    </w:p>
    <w:p>
      <w:pPr>
        <w:pStyle w:val="TextBody"/>
        <w:rPr>
          <w:rFonts w:ascii="Times New Roman" w:hAnsi="Times New Roman"/>
          <w:sz w:val="24"/>
          <w:szCs w:val="24"/>
        </w:rPr>
      </w:pPr>
      <w:r>
        <w:rPr>
          <w:sz w:val="24"/>
          <w:szCs w:val="24"/>
        </w:rPr>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21</w:t>
      </w:r>
      <w:r>
        <w:rPr>
          <w:b w:val="false"/>
          <w:i w:val="false"/>
          <w:caps w:val="false"/>
          <w:smallCaps w:val="false"/>
          <w:strike w:val="false"/>
          <w:dstrike w:val="false"/>
          <w:color w:val="000000"/>
          <w:sz w:val="24"/>
          <w:szCs w:val="24"/>
          <w:u w:val="none"/>
          <w:effect w:val="none"/>
        </w:rPr>
        <w:t xml:space="preserve">.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the fraction unfished spawning output, and annual recruitment deviations relative to the reference model (black) for Dover sole.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r>
    </w:p>
    <w:p>
      <w:pPr>
        <w:pStyle w:val="TextBody"/>
        <w:bidi w:val="0"/>
        <w:spacing w:lineRule="auto" w:line="331" w:before="0" w:after="0"/>
        <w:jc w:val="center"/>
        <w:rPr>
          <w:rFonts w:ascii="Times New Roman" w:hAnsi="Times New Roman"/>
          <w:sz w:val="24"/>
          <w:szCs w:val="24"/>
        </w:rPr>
      </w:pPr>
      <w:r>
        <w:rPr/>
        <w:drawing>
          <wp:inline distT="0" distB="0" distL="0" distR="0">
            <wp:extent cx="5943600" cy="4572000"/>
            <wp:effectExtent l="0" t="0" r="0" b="0"/>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23"/>
                    <a:stretch>
                      <a:fillRect/>
                    </a:stretch>
                  </pic:blipFill>
                  <pic:spPr bwMode="auto">
                    <a:xfrm>
                      <a:off x="0" y="0"/>
                      <a:ext cx="5943600" cy="4572000"/>
                    </a:xfrm>
                    <a:prstGeom prst="rect">
                      <a:avLst/>
                    </a:prstGeom>
                  </pic:spPr>
                </pic:pic>
              </a:graphicData>
            </a:graphic>
          </wp:inline>
        </w:drawing>
      </w:r>
    </w:p>
    <w:p>
      <w:pPr>
        <w:pStyle w:val="TextBody"/>
        <w:bidi w:val="0"/>
        <w:spacing w:lineRule="auto" w:line="331" w:before="0" w:after="0"/>
        <w:jc w:val="both"/>
        <w:rPr/>
      </w:pPr>
      <w:r>
        <w:rPr>
          <w:rFonts w:eastAsia="Calibri" w:cs=""/>
          <w:b w:val="false"/>
          <w:i w:val="false"/>
          <w:caps w:val="false"/>
          <w:smallCaps w:val="false"/>
          <w:strike w:val="false"/>
          <w:dstrike w:val="false"/>
          <w:color w:val="000000"/>
          <w:kern w:val="0"/>
          <w:sz w:val="24"/>
          <w:szCs w:val="24"/>
          <w:u w:val="none"/>
          <w:effect w:val="none"/>
          <w:lang w:val="en-US" w:eastAsia="en-US" w:bidi="ar-SA"/>
        </w:rPr>
        <w:t>Supplementary Figure 22.</w:t>
      </w:r>
      <w:r>
        <w:rPr>
          <w:b w:val="false"/>
          <w:i w:val="false"/>
          <w:caps w:val="false"/>
          <w:smallCaps w:val="false"/>
          <w:strike w:val="false"/>
          <w:dstrike w:val="false"/>
          <w:color w:val="000000"/>
          <w:sz w:val="24"/>
          <w:szCs w:val="24"/>
          <w:u w:val="none"/>
          <w:effect w:val="none"/>
        </w:rPr>
        <w:t xml:space="preserve"> Summary of the data type, length of data time series, and quantity for big skate.  The size of the bubble by year is based on the sample size (e.g., larger bubbles indicate higher sample sizes).  The bubble size for the indices is equal to the inverse of the mean standard error for the survey.</w:t>
      </w:r>
    </w:p>
    <w:p>
      <w:pPr>
        <w:pStyle w:val="TextBody"/>
        <w:rPr>
          <w:rFonts w:ascii="Times New Roman" w:hAnsi="Times New Roman"/>
          <w:sz w:val="24"/>
          <w:szCs w:val="24"/>
        </w:rPr>
      </w:pPr>
      <w:r>
        <w:rPr>
          <w:sz w:val="24"/>
          <w:szCs w:val="24"/>
        </w:rPr>
      </w:r>
    </w:p>
    <w:p>
      <w:pPr>
        <w:pStyle w:val="TextBody"/>
        <w:bidi w:val="0"/>
        <w:spacing w:lineRule="auto" w:line="331" w:before="0" w:after="0"/>
        <w:jc w:val="both"/>
        <w:rPr>
          <w:rFonts w:ascii="Times New Roman" w:hAnsi="Times New Roman"/>
          <w:sz w:val="24"/>
          <w:szCs w:val="24"/>
        </w:rPr>
      </w:pPr>
      <w:r>
        <w:rPr/>
        <w:drawing>
          <wp:inline distT="0" distB="0" distL="0" distR="0">
            <wp:extent cx="5943600" cy="3467100"/>
            <wp:effectExtent l="0" t="0" r="0" b="0"/>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24"/>
                    <a:stretch>
                      <a:fillRect/>
                    </a:stretch>
                  </pic:blipFill>
                  <pic:spPr bwMode="auto">
                    <a:xfrm>
                      <a:off x="0" y="0"/>
                      <a:ext cx="5943600" cy="3467100"/>
                    </a:xfrm>
                    <a:prstGeom prst="rect">
                      <a:avLst/>
                    </a:prstGeom>
                  </pic:spPr>
                </pic:pic>
              </a:graphicData>
            </a:graphic>
          </wp:inline>
        </w:drawing>
      </w:r>
    </w:p>
    <w:p>
      <w:pPr>
        <w:pStyle w:val="TextBody"/>
        <w:bidi w:val="0"/>
        <w:spacing w:lineRule="auto" w:line="331" w:before="0" w:after="0"/>
        <w:jc w:val="both"/>
        <w:rPr>
          <w:rFonts w:ascii="Times New Roman" w:hAnsi="Times New Roman"/>
          <w:sz w:val="24"/>
          <w:szCs w:val="24"/>
        </w:rPr>
      </w:pPr>
      <w:r>
        <w:rPr>
          <w:b w:val="false"/>
          <w:i w:val="false"/>
          <w:caps w:val="false"/>
          <w:smallCaps w:val="false"/>
          <w:strike w:val="false"/>
          <w:dstrike w:val="false"/>
          <w:color w:val="000000"/>
          <w:sz w:val="24"/>
          <w:szCs w:val="24"/>
          <w:u w:val="none"/>
          <w:effect w:val="none"/>
        </w:rPr>
        <w:t xml:space="preserve">Supplementary Figure 23. Comparison of model estimates of spawning </w:t>
      </w:r>
      <w:r>
        <w:rPr>
          <w:rFonts w:eastAsia="Calibri" w:cs=""/>
          <w:b w:val="false"/>
          <w:i w:val="false"/>
          <w:caps w:val="false"/>
          <w:smallCaps w:val="false"/>
          <w:strike w:val="false"/>
          <w:dstrike w:val="false"/>
          <w:color w:val="000000"/>
          <w:kern w:val="0"/>
          <w:sz w:val="24"/>
          <w:szCs w:val="24"/>
          <w:u w:val="none"/>
          <w:effect w:val="none"/>
          <w:lang w:val="en-US" w:eastAsia="en-US" w:bidi="ar-SA"/>
        </w:rPr>
        <w:t>output</w:t>
      </w:r>
      <w:r>
        <w:rPr>
          <w:b w:val="false"/>
          <w:i w:val="false"/>
          <w:caps w:val="false"/>
          <w:smallCaps w:val="false"/>
          <w:strike w:val="false"/>
          <w:dstrike w:val="false"/>
          <w:color w:val="000000"/>
          <w:sz w:val="24"/>
          <w:szCs w:val="24"/>
          <w:u w:val="none"/>
          <w:effect w:val="none"/>
        </w:rPr>
        <w:t xml:space="preserve">, the fraction unfished spawning output, and annual recruitment deviations (not estimated in the model) relative to the reference model (black) for big skate. The top row are comparisons between the reference model and when all indices (blue), all lengths (green), or all ages (yellow) are removed.  The bottom row are comparisons between the reference model and when only catches and all lengths (blue), 20 years of lengths (green), 10 years of length (yellow), or only 1 year of lengths (red) are used in the model.  </w:t>
      </w:r>
    </w:p>
    <w:p>
      <w:pPr>
        <w:pStyle w:val="TextBody"/>
        <w:rPr>
          <w:rFonts w:ascii="Times New Roman" w:hAnsi="Times New Roman"/>
          <w:sz w:val="24"/>
          <w:szCs w:val="24"/>
        </w:rPr>
      </w:pPr>
      <w:r>
        <w:rPr>
          <w:sz w:val="24"/>
          <w:szCs w:val="24"/>
        </w:rPr>
        <w:tab/>
      </w:r>
    </w:p>
    <w:p>
      <w:pPr>
        <w:pStyle w:val="Heading1"/>
        <w:widowControl/>
        <w:numPr>
          <w:ilvl w:val="0"/>
          <w:numId w:val="0"/>
        </w:numPr>
        <w:suppressAutoHyphens w:val="true"/>
        <w:spacing w:lineRule="auto" w:line="240"/>
        <w:ind w:left="0" w:hanging="0"/>
        <w:jc w:val="left"/>
        <w:outlineLvl w:val="0"/>
        <w:rPr>
          <w:rFonts w:eastAsia="Cambria" w:cs="Times New Roman"/>
          <w:b/>
          <w:b/>
          <w:color w:val="auto"/>
          <w:kern w:val="0"/>
          <w:lang w:val="en-US" w:eastAsia="en-US" w:bidi="ar-SA"/>
        </w:rPr>
      </w:pPr>
      <w:r>
        <w:rPr>
          <w:rFonts w:eastAsia="Cambria" w:cs="Times New Roman"/>
          <w:b/>
          <w:color w:val="auto"/>
          <w:kern w:val="0"/>
          <w:lang w:val="en-US" w:eastAsia="en-US" w:bidi="ar-SA"/>
        </w:rPr>
      </w:r>
      <w:r>
        <w:br w:type="page"/>
      </w:r>
    </w:p>
    <w:p>
      <w:pPr>
        <w:pStyle w:val="Heading1"/>
        <w:numPr>
          <w:ilvl w:val="0"/>
          <w:numId w:val="2"/>
        </w:numPr>
        <w:rPr>
          <w:rFonts w:ascii="Times New Roman" w:hAnsi="Times New Roman"/>
          <w:sz w:val="24"/>
          <w:szCs w:val="24"/>
        </w:rPr>
      </w:pPr>
      <w:r>
        <w:rPr>
          <w:rFonts w:eastAsia="Cambria" w:cs="Times New Roman"/>
          <w:b/>
          <w:color w:val="auto"/>
          <w:kern w:val="0"/>
          <w:sz w:val="24"/>
          <w:szCs w:val="24"/>
          <w:lang w:val="en-US" w:eastAsia="en-US" w:bidi="ar-SA"/>
        </w:rPr>
        <w:t>Flow chart for SS-CL</w:t>
      </w:r>
    </w:p>
    <w:p>
      <w:pPr>
        <w:pStyle w:val="ListParagraph"/>
        <w:numPr>
          <w:ilvl w:val="0"/>
          <w:numId w:val="3"/>
        </w:numPr>
        <w:spacing w:lineRule="auto" w:line="240" w:before="0" w:after="0"/>
        <w:ind w:left="0" w:hanging="360"/>
        <w:contextualSpacing/>
        <w:rPr>
          <w:rFonts w:ascii="Times New Roman" w:hAnsi="Times New Roman"/>
          <w:sz w:val="24"/>
          <w:szCs w:val="24"/>
        </w:rPr>
      </w:pPr>
      <w:r>
        <w:rPr>
          <w:rFonts w:cs="Times New Roman"/>
          <w:b/>
          <w:sz w:val="24"/>
          <w:szCs w:val="24"/>
        </w:rPr>
        <w:t>Prepare catch data</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Catch treated as known. Use total mortality (landings + dead discards).</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Prepare length composition</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Determine length bins and frequency within bins across years. More than 10 years of data (with reasonable sample sizes) is recommended. Otherwise it is a category 3 assessment.</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This can be done for as many fleets as needed, but use the parsimony principle to define fleets, as model convergence may be more difficult with more fleets.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Female, male and unknown data can be used.</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Determine effective sample sizes following standard protocol.</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Combine length data from landings and discards (or reasonable assumptions for the latter if no data) appropriately.</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Define life history parameters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Natural Mortality: define using estimators (e.g., Hamel method (must include as a sensitivity at least, if an estimate of longevity/maximum age is available), Natural Mortality Tool). Fix to central tendency (median value) and retain uncertainty for sensitivity analyses.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 xml:space="preserve">Growth parameters. Externally fit the von Bertalanffy growth function and use point estimates to fix in model. Choose a fixed valued for CV at length. Retain uncertainty for sensitivity analyses. </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Steepness defined either through meta-analysis or expert opinion. Retain uncertainty for sensitivity analyses.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Recruitment variability also defined through meta-analysis or expert opinion. Retain uncertainty for sensitivity analyses.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Life history parameters will generally be pre-specified but consideration could be given to estimating these parameters (see Section 1.5.3).</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 xml:space="preserve">Parameter estimation </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 xml:space="preserve">Estimate </w:t>
      </w:r>
      <w:r>
        <w:rPr>
          <w:rFonts w:cs="Times New Roman"/>
          <w:i/>
          <w:iCs/>
          <w:sz w:val="24"/>
          <w:szCs w:val="24"/>
        </w:rPr>
        <w:t>R</w:t>
      </w:r>
      <w:r>
        <w:rPr>
          <w:rFonts w:cs="Times New Roman"/>
          <w:sz w:val="24"/>
          <w:szCs w:val="24"/>
          <w:vertAlign w:val="subscript"/>
        </w:rPr>
        <w:t>0</w:t>
      </w:r>
      <w:r>
        <w:rPr>
          <w:rFonts w:cs="Times New Roman"/>
          <w:sz w:val="24"/>
          <w:szCs w:val="24"/>
        </w:rPr>
        <w:t>, recruitment deviations and selectivity parameters.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Selectivity can be logistic, dome-shaped, or whatever form in chosen in SS.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Bias correction to recruitment deviations can subsequently be applied.</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Model weighting</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Consider weighting the length compositions if multiple fleets.</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Model convergence</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Length-only models may take additional jittering to find convergence and avoid local likelihood minima.</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Check model fits to length compositions.</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Determine whether selectivity shapes make sense.</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Review other parameters estimates for bounds and poor estimation (and whether they are reasonable).</w:t>
      </w:r>
    </w:p>
    <w:p>
      <w:pPr>
        <w:pStyle w:val="ListParagraph"/>
        <w:numPr>
          <w:ilvl w:val="0"/>
          <w:numId w:val="3"/>
        </w:numPr>
        <w:spacing w:lineRule="auto" w:line="240" w:before="0" w:after="0"/>
        <w:ind w:left="0" w:hanging="360"/>
        <w:contextualSpacing/>
        <w:jc w:val="both"/>
        <w:rPr>
          <w:rFonts w:ascii="Times New Roman" w:hAnsi="Times New Roman"/>
          <w:sz w:val="24"/>
          <w:szCs w:val="24"/>
        </w:rPr>
      </w:pPr>
      <w:r>
        <w:rPr>
          <w:rFonts w:cs="Times New Roman"/>
          <w:b/>
          <w:sz w:val="24"/>
          <w:szCs w:val="24"/>
        </w:rPr>
        <w:t>Characterize uncertainty</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 xml:space="preserve">Likelihood profile over, at minimum, </w:t>
      </w:r>
      <w:r>
        <w:rPr>
          <w:rFonts w:cs="Times New Roman"/>
          <w:i/>
          <w:sz w:val="24"/>
          <w:szCs w:val="24"/>
        </w:rPr>
        <w:t>M</w:t>
      </w:r>
      <w:r>
        <w:rPr>
          <w:rFonts w:cs="Times New Roman"/>
          <w:sz w:val="24"/>
          <w:szCs w:val="24"/>
        </w:rPr>
        <w:t xml:space="preserve">, </w:t>
      </w:r>
      <w:r>
        <w:rPr>
          <w:rFonts w:cs="Times New Roman"/>
          <w:i/>
          <w:sz w:val="24"/>
          <w:szCs w:val="24"/>
        </w:rPr>
        <w:t>L</w:t>
      </w:r>
      <w:r>
        <w:rPr>
          <w:rFonts w:cs="Times New Roman"/>
          <w:i/>
          <w:sz w:val="24"/>
          <w:szCs w:val="24"/>
          <w:vertAlign w:val="subscript"/>
        </w:rPr>
        <w:t>2</w:t>
      </w:r>
      <w:r>
        <w:rPr>
          <w:rFonts w:cs="Times New Roman"/>
          <w:sz w:val="24"/>
          <w:szCs w:val="24"/>
        </w:rPr>
        <w:t xml:space="preserve"> (preferably parameterized as </w:t>
      </w:r>
      <w:r>
        <w:rPr>
          <w:rFonts w:cs="Times New Roman"/>
          <w:i/>
          <w:sz w:val="24"/>
          <w:szCs w:val="24"/>
        </w:rPr>
        <w:t>L</w:t>
      </w:r>
      <w:r>
        <w:rPr>
          <w:rFonts w:cs="Times New Roman"/>
          <w:i/>
          <w:sz w:val="24"/>
          <w:szCs w:val="24"/>
          <w:vertAlign w:val="subscript"/>
        </w:rPr>
        <w:t>∞</w:t>
      </w:r>
      <w:r>
        <w:rPr>
          <w:rFonts w:cs="Times New Roman"/>
          <w:sz w:val="24"/>
          <w:szCs w:val="24"/>
        </w:rPr>
        <w:t xml:space="preserve">, though can also make the transformation for reporting) and </w:t>
      </w:r>
      <w:r>
        <w:rPr>
          <w:rFonts w:cs="Times New Roman"/>
          <w:i/>
          <w:sz w:val="24"/>
          <w:szCs w:val="24"/>
        </w:rPr>
        <w:t xml:space="preserve">k </w:t>
      </w:r>
      <w:r>
        <w:rPr>
          <w:rFonts w:cs="Times New Roman"/>
          <w:sz w:val="24"/>
          <w:szCs w:val="24"/>
        </w:rPr>
        <w:t xml:space="preserve">(retain correlation structure if possible), CV at length, and </w:t>
      </w:r>
      <w:r>
        <w:rPr>
          <w:rFonts w:cs="Times New Roman"/>
          <w:i/>
          <w:sz w:val="24"/>
          <w:szCs w:val="24"/>
        </w:rPr>
        <w:t>h</w:t>
      </w:r>
      <w:r>
        <w:rPr>
          <w:rFonts w:cs="Times New Roman"/>
          <w:sz w:val="24"/>
          <w:szCs w:val="24"/>
        </w:rPr>
        <w:t xml:space="preserve">. </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Sensitivity analysis should be conducted, either based on likelihood profile information or identified model specification.</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cs="Times New Roman"/>
          <w:sz w:val="24"/>
          <w:szCs w:val="24"/>
        </w:rPr>
        <w:t>Ensemble modeling to quantify model specification error would be useful. This would need further discussion on how best to approach it.</w:t>
      </w:r>
    </w:p>
    <w:p>
      <w:pPr>
        <w:pStyle w:val="ListParagraph"/>
        <w:numPr>
          <w:ilvl w:val="1"/>
          <w:numId w:val="3"/>
        </w:numPr>
        <w:spacing w:lineRule="auto" w:line="240" w:before="0" w:after="0"/>
        <w:ind w:left="357" w:hanging="357"/>
        <w:contextualSpacing/>
        <w:jc w:val="both"/>
        <w:rPr>
          <w:rFonts w:ascii="Times New Roman" w:hAnsi="Times New Roman"/>
          <w:sz w:val="24"/>
          <w:szCs w:val="24"/>
        </w:rPr>
      </w:pPr>
      <w:r>
        <w:rPr>
          <w:rFonts w:eastAsia="Cambria" w:cs="Times New Roman"/>
          <w:color w:val="auto"/>
          <w:kern w:val="0"/>
          <w:sz w:val="24"/>
          <w:szCs w:val="24"/>
          <w:lang w:val="en-US" w:eastAsia="en-US" w:bidi="ar-SA"/>
        </w:rPr>
        <w:t>Calculate the Hessian matrix for</w:t>
      </w:r>
      <w:r>
        <w:rPr>
          <w:rFonts w:cs="Times New Roman"/>
          <w:sz w:val="24"/>
          <w:szCs w:val="24"/>
        </w:rPr>
        <w:t xml:space="preserve"> standard deviations (frequentist inference) or run MCMC (Bayesian inference) to quantify characterize parameter uncertainty. </w:t>
      </w:r>
    </w:p>
    <w:p>
      <w:pPr>
        <w:pStyle w:val="ListParagraph"/>
        <w:numPr>
          <w:ilvl w:val="0"/>
          <w:numId w:val="3"/>
        </w:numPr>
        <w:spacing w:lineRule="auto" w:line="240" w:before="0" w:after="0"/>
        <w:ind w:left="0" w:hanging="360"/>
        <w:contextualSpacing/>
        <w:jc w:val="both"/>
        <w:rPr>
          <w:rFonts w:ascii="Times New Roman" w:hAnsi="Times New Roman" w:eastAsia="Cambria" w:cs="Times New Roman"/>
          <w:b/>
          <w:b/>
          <w:color w:val="auto"/>
          <w:kern w:val="0"/>
          <w:sz w:val="24"/>
          <w:szCs w:val="24"/>
          <w:lang w:val="en-US" w:eastAsia="en-US" w:bidi="ar-SA"/>
        </w:rPr>
      </w:pPr>
      <w:r>
        <w:rPr>
          <w:rFonts w:eastAsia="Cambria" w:cs="Times New Roman"/>
          <w:b/>
          <w:color w:val="auto"/>
          <w:kern w:val="0"/>
          <w:sz w:val="24"/>
          <w:szCs w:val="24"/>
          <w:lang w:val="en-US" w:eastAsia="en-US" w:bidi="ar-SA"/>
        </w:rPr>
        <w:t>Model diagnostics</w:t>
      </w:r>
    </w:p>
    <w:p>
      <w:pPr>
        <w:pStyle w:val="ListParagraph"/>
        <w:numPr>
          <w:ilvl w:val="1"/>
          <w:numId w:val="3"/>
        </w:numPr>
        <w:spacing w:lineRule="auto" w:line="240" w:before="0" w:after="0"/>
        <w:ind w:left="357" w:hanging="357"/>
        <w:contextualSpacing/>
        <w:jc w:val="both"/>
        <w:rPr>
          <w:rFonts w:ascii="Times New Roman" w:hAnsi="Times New Roman" w:eastAsia="Cambria" w:cs="Times New Roman"/>
          <w:b w:val="false"/>
          <w:b w:val="false"/>
          <w:bCs w:val="false"/>
          <w:color w:val="auto"/>
          <w:kern w:val="0"/>
          <w:sz w:val="24"/>
          <w:szCs w:val="24"/>
          <w:lang w:val="en-US" w:eastAsia="en-US" w:bidi="ar-SA"/>
        </w:rPr>
      </w:pPr>
      <w:r>
        <w:rPr>
          <w:rFonts w:eastAsia="Cambria" w:cs="Times New Roman"/>
          <w:b w:val="false"/>
          <w:bCs w:val="false"/>
          <w:color w:val="auto"/>
          <w:kern w:val="0"/>
          <w:sz w:val="24"/>
          <w:szCs w:val="24"/>
          <w:lang w:val="en-US" w:eastAsia="en-US" w:bidi="ar-SA"/>
        </w:rPr>
        <w:t>Examine model fits to data, visually and using residual patterns</w:t>
      </w:r>
    </w:p>
    <w:p>
      <w:pPr>
        <w:pStyle w:val="ListParagraph"/>
        <w:numPr>
          <w:ilvl w:val="1"/>
          <w:numId w:val="3"/>
        </w:numPr>
        <w:spacing w:lineRule="auto" w:line="240" w:before="0" w:after="0"/>
        <w:ind w:left="357" w:hanging="357"/>
        <w:contextualSpacing/>
        <w:jc w:val="both"/>
        <w:rPr>
          <w:rFonts w:ascii="Times New Roman" w:hAnsi="Times New Roman" w:eastAsia="Cambria" w:cs="Times New Roman"/>
          <w:b w:val="false"/>
          <w:b w:val="false"/>
          <w:bCs w:val="false"/>
          <w:color w:val="auto"/>
          <w:kern w:val="0"/>
          <w:sz w:val="24"/>
          <w:szCs w:val="24"/>
          <w:lang w:val="en-US" w:eastAsia="en-US" w:bidi="ar-SA"/>
        </w:rPr>
      </w:pPr>
      <w:r>
        <w:rPr>
          <w:rFonts w:eastAsia="Cambria" w:cs="Times New Roman"/>
          <w:b w:val="false"/>
          <w:bCs w:val="false"/>
          <w:color w:val="auto"/>
          <w:kern w:val="0"/>
          <w:sz w:val="24"/>
          <w:szCs w:val="24"/>
          <w:lang w:val="en-US" w:eastAsia="en-US" w:bidi="ar-SA"/>
        </w:rPr>
        <w:t>Likelihood profiling over key parameters such as R</w:t>
      </w:r>
      <w:r>
        <w:rPr>
          <w:rFonts w:eastAsia="Cambria" w:cs="Times New Roman"/>
          <w:b w:val="false"/>
          <w:bCs w:val="false"/>
          <w:color w:val="auto"/>
          <w:kern w:val="0"/>
          <w:sz w:val="24"/>
          <w:szCs w:val="24"/>
          <w:vertAlign w:val="subscript"/>
          <w:lang w:val="en-US" w:eastAsia="en-US" w:bidi="ar-SA"/>
        </w:rPr>
        <w:t>0</w:t>
      </w:r>
    </w:p>
    <w:p>
      <w:pPr>
        <w:pStyle w:val="ListParagraph"/>
        <w:numPr>
          <w:ilvl w:val="1"/>
          <w:numId w:val="3"/>
        </w:numPr>
        <w:spacing w:lineRule="auto" w:line="240" w:before="0" w:after="0"/>
        <w:ind w:left="357" w:hanging="357"/>
        <w:contextualSpacing/>
        <w:jc w:val="both"/>
        <w:rPr>
          <w:rFonts w:ascii="Times New Roman" w:hAnsi="Times New Roman" w:eastAsia="Cambria" w:cs="Times New Roman"/>
          <w:b w:val="false"/>
          <w:b w:val="false"/>
          <w:bCs w:val="false"/>
          <w:color w:val="auto"/>
          <w:kern w:val="0"/>
          <w:sz w:val="24"/>
          <w:szCs w:val="24"/>
          <w:lang w:val="en-US" w:eastAsia="en-US" w:bidi="ar-SA"/>
        </w:rPr>
      </w:pPr>
      <w:r>
        <w:rPr>
          <w:rFonts w:eastAsia="Cambria" w:cs="Times New Roman"/>
          <w:b w:val="false"/>
          <w:bCs w:val="false"/>
          <w:color w:val="auto"/>
          <w:kern w:val="0"/>
          <w:position w:val="0"/>
          <w:sz w:val="24"/>
          <w:sz w:val="24"/>
          <w:szCs w:val="24"/>
          <w:vertAlign w:val="baseline"/>
          <w:lang w:val="en-US" w:eastAsia="en-US" w:bidi="ar-SA"/>
        </w:rPr>
        <w:t>Retrospective analysis</w:t>
      </w:r>
    </w:p>
    <w:sectPr>
      <w:headerReference w:type="even" r:id="rId25"/>
      <w:headerReference w:type="default" r:id="rId26"/>
      <w:headerReference w:type="first" r:id="rId27"/>
      <w:footerReference w:type="even" r:id="rId28"/>
      <w:footerReference w:type="default" r:id="rId29"/>
      <w:type w:val="nextPage"/>
      <w:pgSz w:w="12240" w:h="15840"/>
      <w:pgMar w:left="1282" w:right="1181" w:header="720" w:top="1138" w:footer="720" w:bottom="1138"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color w:val="C00000"/>
        <w:szCs w:val="24"/>
      </w:rPr>
    </w:pPr>
    <w:r>
      <w:rPr>
        <w:color w:val="C00000"/>
        <w:szCs w:val="24"/>
      </w:rPr>
      <mc:AlternateContent>
        <mc:Choice Requires="wps">
          <w:drawing>
            <wp:anchor behindDoc="1" distT="3175" distB="3175" distL="3175" distR="3175" simplePos="0" locked="0" layoutInCell="0" allowOverlap="1" relativeHeight="78" wp14:anchorId="382EAD14">
              <wp:simplePos x="0" y="0"/>
              <wp:positionH relativeFrom="margin">
                <wp:align>right</wp:align>
              </wp:positionH>
              <wp:positionV relativeFrom="paragraph">
                <wp:posOffset>635</wp:posOffset>
              </wp:positionV>
              <wp:extent cx="1513840" cy="342265"/>
              <wp:effectExtent l="0" t="0" r="0" b="0"/>
              <wp:wrapNone/>
              <wp:docPr id="25" name="Text Box 1"/>
              <a:graphic xmlns:a="http://schemas.openxmlformats.org/drawingml/2006/main">
                <a:graphicData uri="http://schemas.microsoft.com/office/word/2010/wordprocessingShape">
                  <wps:wsp>
                    <wps:cNvSpPr/>
                    <wps:spPr>
                      <a:xfrm>
                        <a:off x="0" y="0"/>
                        <a:ext cx="1513080" cy="34164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26</w:t>
                          </w:r>
                          <w:r>
                            <w:rPr>
                              <w:szCs w:val="40"/>
                              <w:color w:val="000000"/>
                            </w:rPr>
                            <w:fldChar w:fldCharType="end"/>
                          </w:r>
                        </w:p>
                      </w:txbxContent>
                    </wps:txbx>
                    <wps:bodyPr>
                      <a:spAutoFit/>
                    </wps:bodyPr>
                  </wps:wsp>
                </a:graphicData>
              </a:graphic>
            </wp:anchor>
          </w:drawing>
        </mc:Choice>
        <mc:Fallback>
          <w:pict>
            <v:rect id="shape_0" ID="Text Box 1" path="m0,0l-2147483645,0l-2147483645,-2147483646l0,-2147483646xe" stroked="f" style="position:absolute;margin-left:369.65pt;margin-top:0.05pt;width:119.1pt;height:26.85pt;mso-wrap-style:square;v-text-anchor:top;mso-position-horizontal:right;mso-position-horizontal-relative:margin" wp14:anchorId="382EAD14">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26</w:t>
                    </w:r>
                    <w:r>
                      <w:rPr>
                        <w:szCs w:val="40"/>
                        <w:color w:val="000000"/>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b/>
        <w:b/>
        <w:sz w:val="20"/>
        <w:szCs w:val="24"/>
      </w:rPr>
    </w:pPr>
    <w:r>
      <w:rPr>
        <w:b/>
        <w:sz w:val="20"/>
        <w:szCs w:val="24"/>
      </w:rPr>
      <mc:AlternateContent>
        <mc:Choice Requires="wps">
          <w:drawing>
            <wp:anchor behindDoc="1" distT="3175" distB="3175" distL="3175" distR="3175" simplePos="0" locked="0" layoutInCell="0" allowOverlap="1" relativeHeight="49" wp14:anchorId="70F9F55F">
              <wp:simplePos x="0" y="0"/>
              <wp:positionH relativeFrom="margin">
                <wp:align>right</wp:align>
              </wp:positionH>
              <wp:positionV relativeFrom="paragraph">
                <wp:posOffset>635</wp:posOffset>
              </wp:positionV>
              <wp:extent cx="1513840" cy="342265"/>
              <wp:effectExtent l="0" t="0" r="0" b="0"/>
              <wp:wrapNone/>
              <wp:docPr id="27" name="Text Box 56"/>
              <a:graphic xmlns:a="http://schemas.openxmlformats.org/drawingml/2006/main">
                <a:graphicData uri="http://schemas.microsoft.com/office/word/2010/wordprocessingShape">
                  <wps:wsp>
                    <wps:cNvSpPr/>
                    <wps:spPr>
                      <a:xfrm>
                        <a:off x="0" y="0"/>
                        <a:ext cx="1513080" cy="341640"/>
                      </a:xfrm>
                      <a:prstGeom prst="rect">
                        <a:avLst/>
                      </a:prstGeom>
                      <a:noFill/>
                      <a:ln w="6480">
                        <a:noFill/>
                      </a:ln>
                    </wps:spPr>
                    <wps:style>
                      <a:lnRef idx="0"/>
                      <a:fillRef idx="0"/>
                      <a:effectRef idx="0"/>
                      <a:fontRef idx="minor"/>
                    </wps:style>
                    <wps:txb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25</w:t>
                          </w:r>
                          <w:r>
                            <w:rPr>
                              <w:szCs w:val="40"/>
                              <w:color w:val="000000"/>
                            </w:rPr>
                            <w:fldChar w:fldCharType="end"/>
                          </w:r>
                        </w:p>
                      </w:txbxContent>
                    </wps:txbx>
                    <wps:bodyPr>
                      <a:spAutoFit/>
                    </wps:bodyPr>
                  </wps:wsp>
                </a:graphicData>
              </a:graphic>
            </wp:anchor>
          </w:drawing>
        </mc:Choice>
        <mc:Fallback>
          <w:pict>
            <v:rect id="shape_0" ID="Text Box 56" path="m0,0l-2147483645,0l-2147483645,-2147483646l0,-2147483646xe" stroked="f" style="position:absolute;margin-left:369.65pt;margin-top:0.05pt;width:119.1pt;height:26.85pt;mso-wrap-style:square;v-text-anchor:top;mso-position-horizontal:right;mso-position-horizontal-relative:margin" wp14:anchorId="70F9F55F">
              <v:fill o:detectmouseclick="t" on="false"/>
              <v:stroke color="#3465a4" weight="6480" joinstyle="round" endcap="flat"/>
              <v:textbox>
                <w:txbxContent>
                  <w:p>
                    <w:pPr>
                      <w:pStyle w:val="FrameContents"/>
                      <w:spacing w:before="120" w:after="240"/>
                      <w:jc w:val="right"/>
                      <w:rPr>
                        <w:color w:val="000000" w:themeColor="text1"/>
                        <w:szCs w:val="40"/>
                      </w:rPr>
                    </w:pPr>
                    <w:r>
                      <w:rPr>
                        <w:color w:val="000000"/>
                        <w:szCs w:val="40"/>
                      </w:rPr>
                      <w:fldChar w:fldCharType="begin"/>
                    </w:r>
                    <w:r>
                      <w:rPr>
                        <w:szCs w:val="40"/>
                        <w:color w:val="000000"/>
                      </w:rPr>
                      <w:instrText> PAGE </w:instrText>
                    </w:r>
                    <w:r>
                      <w:rPr>
                        <w:szCs w:val="40"/>
                        <w:color w:val="000000"/>
                      </w:rPr>
                      <w:fldChar w:fldCharType="separate"/>
                    </w:r>
                    <w:r>
                      <w:rPr>
                        <w:szCs w:val="40"/>
                        <w:color w:val="000000"/>
                      </w:rPr>
                      <w:t>25</w:t>
                    </w:r>
                    <w:r>
                      <w:rPr>
                        <w:szCs w:val="40"/>
                        <w:color w:val="000000"/>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120" w:after="240"/>
      <w:rPr>
        <w:rFonts w:cs="Times New Roman"/>
      </w:rPr>
    </w:pPr>
    <w:r>
      <w:rPr>
        <w:rFonts w:cs="Times New Roman"/>
      </w:rPr>
      <w:tab/>
      <w:tab/>
      <w:t>Supplementary Material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before="120" w:after="24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spacing w:lineRule="auto" w:line="240" w:before="120" w:after="240"/>
      <w:jc w:val="left"/>
      <w:rPr/>
    </w:pPr>
    <w:r>
      <w:rPr/>
      <w:drawing>
        <wp:inline distT="0" distB="0" distL="0" distR="0">
          <wp:extent cx="1382395" cy="497205"/>
          <wp:effectExtent l="0" t="0" r="0" b="0"/>
          <wp:docPr id="24"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567"/>
        </w:tabs>
        <w:ind w:left="567" w:hanging="567"/>
      </w:pPr>
    </w:lvl>
    <w:lvl w:ilvl="1">
      <w:start w:val="1"/>
      <w:pStyle w:val="Heading2"/>
      <w:numFmt w:val="decimal"/>
      <w:lvlText w:val="%1.%2"/>
      <w:lvlJc w:val="left"/>
      <w:pPr>
        <w:tabs>
          <w:tab w:val="num" w:pos="567"/>
        </w:tabs>
        <w:ind w:left="567" w:hanging="567"/>
      </w:pPr>
    </w:lvl>
    <w:lvl w:ilvl="2">
      <w:start w:val="1"/>
      <w:pStyle w:val="Heading3"/>
      <w:numFmt w:val="decimal"/>
      <w:lvlText w:val="%1.%2.%3"/>
      <w:lvlJc w:val="left"/>
      <w:pPr>
        <w:tabs>
          <w:tab w:val="num" w:pos="567"/>
        </w:tabs>
        <w:ind w:left="567" w:hanging="567"/>
      </w:pPr>
    </w:lvl>
    <w:lvl w:ilvl="3">
      <w:start w:val="1"/>
      <w:pStyle w:val="Heading4"/>
      <w:numFmt w:val="decimal"/>
      <w:lvlText w:val="%1.%2.%3.%4"/>
      <w:lvlJc w:val="left"/>
      <w:pPr>
        <w:tabs>
          <w:tab w:val="num" w:pos="567"/>
        </w:tabs>
        <w:ind w:left="567" w:hanging="567"/>
      </w:pPr>
    </w:lvl>
    <w:lvl w:ilvl="4">
      <w:start w:val="1"/>
      <w:pStyle w:val="Heading5"/>
      <w:numFmt w:val="decimal"/>
      <w:lvlText w:val="%1.%2.%3.%4.%5"/>
      <w:lvlJc w:val="left"/>
      <w:pPr>
        <w:tabs>
          <w:tab w:val="num" w:pos="567"/>
        </w:tabs>
        <w:ind w:left="567" w:hanging="567"/>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1"/>
  <w:revisionView w:insDel="0" w:formatting="0"/>
  <w:defaultTabStop w:val="408"/>
  <w:autoHyphenation w:val="true"/>
  <w:evenAndOddHeaders/>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2" w:qFormat="1"/>
    <w:lsdException w:name="heading 2" w:uiPriority="2" w:semiHidden="1" w:unhideWhenUsed="1" w:qFormat="1"/>
    <w:lsdException w:name="heading 3" w:uiPriority="2" w:semiHidden="1" w:unhideWhenUsed="1" w:qFormat="1"/>
    <w:lsdException w:name="heading 4" w:uiPriority="2" w:semiHidden="1" w:unhideWhenUsed="1" w:qFormat="1"/>
    <w:lsdException w:name="heading 5" w:uiPriority="2"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b6715"/>
    <w:pPr>
      <w:widowControl/>
      <w:suppressAutoHyphens w:val="true"/>
      <w:bidi w:val="0"/>
      <w:spacing w:lineRule="auto" w:line="240" w:before="120" w:after="240"/>
      <w:jc w:val="left"/>
    </w:pPr>
    <w:rPr>
      <w:rFonts w:ascii="Times New Roman" w:hAnsi="Times New Roman" w:eastAsia="Calibri" w:cs="" w:cstheme="minorBidi" w:eastAsiaTheme="minorHAnsi"/>
      <w:color w:val="auto"/>
      <w:kern w:val="0"/>
      <w:sz w:val="24"/>
      <w:szCs w:val="22"/>
      <w:lang w:val="en-US" w:eastAsia="en-US" w:bidi="ar-SA"/>
    </w:rPr>
  </w:style>
  <w:style w:type="paragraph" w:styleId="Heading1">
    <w:name w:val="Heading 1"/>
    <w:basedOn w:val="ListParagraph"/>
    <w:next w:val="Normal"/>
    <w:link w:val="Heading1Char"/>
    <w:uiPriority w:val="2"/>
    <w:qFormat/>
    <w:rsid w:val="00ab6715"/>
    <w:pPr>
      <w:numPr>
        <w:ilvl w:val="0"/>
        <w:numId w:val="1"/>
      </w:numPr>
      <w:spacing w:before="240" w:after="120"/>
      <w:outlineLvl w:val="0"/>
    </w:pPr>
    <w:rPr>
      <w:b/>
    </w:rPr>
  </w:style>
  <w:style w:type="paragraph" w:styleId="Heading2">
    <w:name w:val="Heading 2"/>
    <w:basedOn w:val="Heading1"/>
    <w:next w:val="Normal"/>
    <w:link w:val="Heading2Char"/>
    <w:uiPriority w:val="2"/>
    <w:qFormat/>
    <w:rsid w:val="00ab6715"/>
    <w:pPr>
      <w:numPr>
        <w:ilvl w:val="1"/>
        <w:numId w:val="1"/>
      </w:numPr>
      <w:spacing w:before="240" w:after="200"/>
      <w:outlineLvl w:val="1"/>
    </w:pPr>
    <w:rPr/>
  </w:style>
  <w:style w:type="paragraph" w:styleId="Heading3">
    <w:name w:val="Heading 3"/>
    <w:basedOn w:val="Normal"/>
    <w:next w:val="Normal"/>
    <w:link w:val="Heading3Char"/>
    <w:uiPriority w:val="2"/>
    <w:qFormat/>
    <w:rsid w:val="00ab6715"/>
    <w:pPr>
      <w:keepNext w:val="true"/>
      <w:keepLines/>
      <w:numPr>
        <w:ilvl w:val="2"/>
        <w:numId w:val="1"/>
      </w:numPr>
      <w:spacing w:before="40" w:after="120"/>
      <w:outlineLvl w:val="2"/>
    </w:pPr>
    <w:rPr>
      <w:rFonts w:eastAsia="" w:cs="" w:cstheme="majorBidi" w:eastAsiaTheme="majorEastAsia"/>
      <w:b/>
      <w:szCs w:val="24"/>
    </w:rPr>
  </w:style>
  <w:style w:type="paragraph" w:styleId="Heading4">
    <w:name w:val="Heading 4"/>
    <w:basedOn w:val="Heading3"/>
    <w:next w:val="Normal"/>
    <w:link w:val="Heading4Char"/>
    <w:uiPriority w:val="2"/>
    <w:qFormat/>
    <w:rsid w:val="00ab6715"/>
    <w:pPr>
      <w:numPr>
        <w:ilvl w:val="3"/>
        <w:numId w:val="1"/>
      </w:numPr>
      <w:outlineLvl w:val="3"/>
    </w:pPr>
    <w:rPr>
      <w:iCs/>
    </w:rPr>
  </w:style>
  <w:style w:type="paragraph" w:styleId="Heading5">
    <w:name w:val="Heading 5"/>
    <w:basedOn w:val="Heading4"/>
    <w:next w:val="Normal"/>
    <w:link w:val="Heading5Char"/>
    <w:uiPriority w:val="2"/>
    <w:qFormat/>
    <w:rsid w:val="00ab6715"/>
    <w:pPr>
      <w:numPr>
        <w:ilvl w:val="4"/>
        <w:numId w:val="1"/>
      </w:numPr>
      <w:outlineLvl w:val="4"/>
    </w:pPr>
    <w:rPr/>
  </w:style>
  <w:style w:type="paragraph" w:styleId="Heading6">
    <w:name w:val="Heading 6"/>
    <w:basedOn w:val="Heading"/>
    <w:next w:val="TextBody"/>
    <w:qFormat/>
    <w:pPr>
      <w:numPr>
        <w:ilvl w:val="5"/>
        <w:numId w:val="1"/>
      </w:numPr>
      <w:spacing w:before="60" w:after="60"/>
      <w:outlineLvl w:val="5"/>
    </w:pPr>
    <w:rPr>
      <w:b/>
      <w:bCs/>
      <w:i/>
      <w:iCs/>
      <w:sz w:val="24"/>
      <w:szCs w:val="24"/>
    </w:rPr>
  </w:style>
  <w:style w:type="paragraph" w:styleId="Heading7">
    <w:name w:val="Heading 7"/>
    <w:basedOn w:val="Heading"/>
    <w:next w:val="TextBody"/>
    <w:qFormat/>
    <w:pPr>
      <w:numPr>
        <w:ilvl w:val="6"/>
        <w:numId w:val="1"/>
      </w:numPr>
      <w:spacing w:before="60" w:after="60"/>
      <w:outlineLvl w:val="6"/>
    </w:pPr>
    <w:rPr>
      <w:b/>
      <w:bCs/>
      <w:sz w:val="22"/>
      <w:szCs w:val="22"/>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2"/>
    <w:qFormat/>
    <w:rsid w:val="00ab6715"/>
    <w:rPr>
      <w:rFonts w:ascii="Times New Roman" w:hAnsi="Times New Roman" w:eastAsia="Cambria" w:cs="Times New Roman"/>
      <w:b/>
      <w:sz w:val="24"/>
      <w:szCs w:val="24"/>
    </w:rPr>
  </w:style>
  <w:style w:type="character" w:styleId="Heading2Char" w:customStyle="1">
    <w:name w:val="Heading 2 Char"/>
    <w:basedOn w:val="DefaultParagraphFont"/>
    <w:link w:val="Heading2"/>
    <w:uiPriority w:val="2"/>
    <w:qFormat/>
    <w:rsid w:val="00ab6715"/>
    <w:rPr>
      <w:rFonts w:ascii="Times New Roman" w:hAnsi="Times New Roman" w:eastAsia="Cambria" w:cs="Times New Roman"/>
      <w:b/>
      <w:sz w:val="24"/>
      <w:szCs w:val="24"/>
    </w:rPr>
  </w:style>
  <w:style w:type="character" w:styleId="SubtitleChar" w:customStyle="1">
    <w:name w:val="Subtitle Char"/>
    <w:basedOn w:val="DefaultParagraphFont"/>
    <w:link w:val="Subtitle"/>
    <w:uiPriority w:val="99"/>
    <w:qFormat/>
    <w:rsid w:val="00ab6715"/>
    <w:rPr>
      <w:rFonts w:ascii="Times New Roman" w:hAnsi="Times New Roman" w:cs="Times New Roman"/>
      <w:b/>
      <w:sz w:val="24"/>
      <w:szCs w:val="24"/>
    </w:rPr>
  </w:style>
  <w:style w:type="character" w:styleId="BalloonTextChar" w:customStyle="1">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Annotationreference">
    <w:name w:val="annotation reference"/>
    <w:basedOn w:val="DefaultParagraphFont"/>
    <w:uiPriority w:val="99"/>
    <w:semiHidden/>
    <w:unhideWhenUsed/>
    <w:qFormat/>
    <w:rsid w:val="00ab6715"/>
    <w:rPr>
      <w:sz w:val="16"/>
      <w:szCs w:val="16"/>
    </w:rPr>
  </w:style>
  <w:style w:type="character" w:styleId="CommentTextChar" w:customStyle="1">
    <w:name w:val="Comment Text Char"/>
    <w:basedOn w:val="DefaultParagraphFont"/>
    <w:link w:val="CommentText"/>
    <w:uiPriority w:val="99"/>
    <w:semiHidden/>
    <w:qFormat/>
    <w:rsid w:val="00ab6715"/>
    <w:rPr>
      <w:rFonts w:ascii="Times New Roman" w:hAnsi="Times New Roman"/>
      <w:sz w:val="20"/>
      <w:szCs w:val="20"/>
    </w:rPr>
  </w:style>
  <w:style w:type="character" w:styleId="CommentSubjectChar" w:customStyle="1">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Characters">
    <w:name w:val="Endnote Characters"/>
    <w:basedOn w:val="DefaultParagraphFont"/>
    <w:uiPriority w:val="99"/>
    <w:semiHidden/>
    <w:unhideWhenUsed/>
    <w:qFormat/>
    <w:rsid w:val="00ab6715"/>
    <w:rPr>
      <w:vertAlign w:val="superscript"/>
    </w:rPr>
  </w:style>
  <w:style w:type="character" w:styleId="EndnoteAnchor">
    <w:name w:val="Endnote Anchor"/>
    <w:rPr>
      <w:vertAlign w:val="superscript"/>
    </w:rPr>
  </w:style>
  <w:style w:type="character" w:styleId="EndnoteTextChar" w:customStyle="1">
    <w:name w:val="Endnote Text Char"/>
    <w:basedOn w:val="DefaultParagraphFont"/>
    <w:link w:val="EndnoteText"/>
    <w:uiPriority w:val="99"/>
    <w:semiHidden/>
    <w:qFormat/>
    <w:rsid w:val="00ab6715"/>
    <w:rPr>
      <w:rFonts w:ascii="Times New Roman" w:hAnsi="Times New Roman"/>
      <w:sz w:val="20"/>
      <w:szCs w:val="20"/>
    </w:rPr>
  </w:style>
  <w:style w:type="character" w:styleId="VisitedInternetLink">
    <w:name w:val="FollowedHyperlink"/>
    <w:basedOn w:val="DefaultParagraphFont"/>
    <w:uiPriority w:val="99"/>
    <w:semiHidden/>
    <w:unhideWhenUsed/>
    <w:rsid w:val="00ab6715"/>
    <w:rPr>
      <w:color w:val="800080" w:themeColor="followedHyperlink"/>
      <w:u w:val="single"/>
    </w:rPr>
  </w:style>
  <w:style w:type="character" w:styleId="FooterChar" w:customStyle="1">
    <w:name w:val="Footer Char"/>
    <w:basedOn w:val="DefaultParagraphFont"/>
    <w:link w:val="Footer"/>
    <w:uiPriority w:val="99"/>
    <w:qFormat/>
    <w:rsid w:val="00ab6715"/>
    <w:rPr>
      <w:rFonts w:ascii="Times New Roman" w:hAnsi="Times New Roman"/>
      <w:sz w:val="24"/>
    </w:rPr>
  </w:style>
  <w:style w:type="character" w:styleId="FootnoteCharacters">
    <w:name w:val="Footnote Characters"/>
    <w:basedOn w:val="DefaultParagraphFont"/>
    <w:uiPriority w:val="99"/>
    <w:semiHidden/>
    <w:unhideWhenUsed/>
    <w:qFormat/>
    <w:rsid w:val="00ab6715"/>
    <w:rPr>
      <w:vertAlign w:val="superscript"/>
    </w:rPr>
  </w:style>
  <w:style w:type="character" w:styleId="FootnoteAnchor">
    <w:name w:val="Footnote Anchor"/>
    <w:rPr>
      <w:vertAlign w:val="superscript"/>
    </w:rPr>
  </w:style>
  <w:style w:type="character" w:styleId="FootnoteTextChar" w:customStyle="1">
    <w:name w:val="Footnote Text Char"/>
    <w:basedOn w:val="DefaultParagraphFont"/>
    <w:link w:val="FootnoteText"/>
    <w:uiPriority w:val="99"/>
    <w:semiHidden/>
    <w:qFormat/>
    <w:rsid w:val="00ab6715"/>
    <w:rPr>
      <w:rFonts w:ascii="Times New Roman" w:hAnsi="Times New Roman"/>
      <w:sz w:val="20"/>
      <w:szCs w:val="20"/>
    </w:rPr>
  </w:style>
  <w:style w:type="character" w:styleId="HeaderChar" w:customStyle="1">
    <w:name w:val="Header Char"/>
    <w:basedOn w:val="DefaultParagraphFont"/>
    <w:link w:val="Header"/>
    <w:uiPriority w:val="99"/>
    <w:qFormat/>
    <w:rsid w:val="00ab6715"/>
    <w:rPr>
      <w:rFonts w:ascii="Times New Roman" w:hAnsi="Times New Roman"/>
      <w:b/>
      <w:sz w:val="24"/>
    </w:rPr>
  </w:style>
  <w:style w:type="character" w:styleId="Internet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rPr/>
  </w:style>
  <w:style w:type="character" w:styleId="Heading3Char" w:customStyle="1">
    <w:name w:val="Heading 3 Char"/>
    <w:basedOn w:val="DefaultParagraphFont"/>
    <w:link w:val="Heading3"/>
    <w:uiPriority w:val="2"/>
    <w:qFormat/>
    <w:rsid w:val="00ab6715"/>
    <w:rPr>
      <w:rFonts w:ascii="Times New Roman" w:hAnsi="Times New Roman" w:eastAsia="" w:cs="" w:cstheme="majorBidi" w:eastAsiaTheme="majorEastAsia"/>
      <w:b/>
      <w:sz w:val="24"/>
      <w:szCs w:val="24"/>
    </w:rPr>
  </w:style>
  <w:style w:type="character" w:styleId="Heading4Char" w:customStyle="1">
    <w:name w:val="Heading 4 Char"/>
    <w:basedOn w:val="DefaultParagraphFont"/>
    <w:link w:val="Heading4"/>
    <w:uiPriority w:val="2"/>
    <w:qFormat/>
    <w:rsid w:val="00ab6715"/>
    <w:rPr>
      <w:rFonts w:ascii="Times New Roman" w:hAnsi="Times New Roman" w:eastAsia="" w:cs="" w:cstheme="majorBidi" w:eastAsiaTheme="majorEastAsia"/>
      <w:b/>
      <w:iCs/>
      <w:sz w:val="24"/>
      <w:szCs w:val="24"/>
    </w:rPr>
  </w:style>
  <w:style w:type="character" w:styleId="Heading5Char" w:customStyle="1">
    <w:name w:val="Heading 5 Char"/>
    <w:basedOn w:val="DefaultParagraphFont"/>
    <w:link w:val="Heading5"/>
    <w:uiPriority w:val="2"/>
    <w:qFormat/>
    <w:rsid w:val="00ab6715"/>
    <w:rPr>
      <w:rFonts w:ascii="Times New Roman" w:hAnsi="Times New Roman" w:eastAsia="" w:cs="" w:cstheme="majorBidi" w:eastAsiaTheme="majorEastAsia"/>
      <w:b/>
      <w:iCs/>
      <w:sz w:val="24"/>
      <w:szCs w:val="24"/>
    </w:rPr>
  </w:style>
  <w:style w:type="character" w:styleId="QuoteChar" w:customStyle="1">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styleId="TitleChar" w:customStyle="1">
    <w:name w:val="Title Char"/>
    <w:basedOn w:val="DefaultParagraphFont"/>
    <w:link w:val="Title"/>
    <w:qFormat/>
    <w:rsid w:val="00ab6715"/>
    <w:rPr>
      <w:rFonts w:ascii="Times New Roman" w:hAnsi="Times New Roman" w:cs="Times New Roman"/>
      <w:b/>
      <w:sz w:val="32"/>
      <w:szCs w:val="32"/>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Bullets">
    <w:name w:val="Bullets"/>
    <w:qFormat/>
    <w:rPr>
      <w:rFonts w:ascii="OpenSymbol" w:hAnsi="OpenSymbol" w:eastAsia="OpenSymbol" w:cs="OpenSymbol"/>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Subtitle">
    <w:name w:val="Subtitle"/>
    <w:basedOn w:val="Normal"/>
    <w:next w:val="Normal"/>
    <w:link w:val="SubtitleChar"/>
    <w:uiPriority w:val="99"/>
    <w:unhideWhenUsed/>
    <w:qFormat/>
    <w:rsid w:val="00ab6715"/>
    <w:pPr>
      <w:spacing w:before="240" w:after="240"/>
    </w:pPr>
    <w:rPr>
      <w:rFonts w:cs="Times New Roman"/>
      <w:b/>
      <w:szCs w:val="24"/>
    </w:rPr>
  </w:style>
  <w:style w:type="paragraph" w:styleId="AuthorList" w:customStyle="1">
    <w:name w:val="Author List"/>
    <w:basedOn w:val="Subtitle"/>
    <w:next w:val="Normal"/>
    <w:uiPriority w:val="1"/>
    <w:qFormat/>
    <w:rsid w:val="00ab6715"/>
    <w:pPr/>
    <w:rPr/>
  </w:style>
  <w:style w:type="paragraph" w:styleId="BalloonText">
    <w:name w:val="Balloon Text"/>
    <w:basedOn w:val="Normal"/>
    <w:link w:val="BalloonTextChar"/>
    <w:uiPriority w:val="99"/>
    <w:semiHidden/>
    <w:unhideWhenUsed/>
    <w:qFormat/>
    <w:rsid w:val="00ab6715"/>
    <w:pPr>
      <w:spacing w:before="120" w:after="0"/>
    </w:pPr>
    <w:rPr>
      <w:rFonts w:ascii="Tahoma" w:hAnsi="Tahoma" w:cs="Tahoma"/>
      <w:sz w:val="16"/>
      <w:szCs w:val="16"/>
    </w:rPr>
  </w:style>
  <w:style w:type="paragraph" w:styleId="Caption1">
    <w:name w:val="caption"/>
    <w:basedOn w:val="Normal"/>
    <w:next w:val="NoSpacing"/>
    <w:uiPriority w:val="35"/>
    <w:unhideWhenUsed/>
    <w:qFormat/>
    <w:rsid w:val="00ab6715"/>
    <w:pPr>
      <w:keepNext w:val="true"/>
    </w:pPr>
    <w:rPr>
      <w:rFonts w:cs="Times New Roman"/>
      <w:b/>
      <w:bCs/>
      <w:szCs w:val="24"/>
    </w:rPr>
  </w:style>
  <w:style w:type="paragraph" w:styleId="NoSpacing">
    <w:name w:val="No Spacing"/>
    <w:uiPriority w:val="99"/>
    <w:unhideWhenUsed/>
    <w:qFormat/>
    <w:rsid w:val="00ab6715"/>
    <w:pPr>
      <w:widowControl/>
      <w:suppressAutoHyphens w:val="true"/>
      <w:bidi w:val="0"/>
      <w:spacing w:lineRule="auto" w:line="240" w:before="0" w:after="0"/>
      <w:jc w:val="left"/>
    </w:pPr>
    <w:rPr>
      <w:rFonts w:ascii="Times New Roman" w:hAnsi="Times New Roman" w:eastAsia="Calibri" w:cs="" w:cstheme="minorBidi" w:eastAsiaTheme="minorHAnsi"/>
      <w:color w:val="auto"/>
      <w:kern w:val="0"/>
      <w:sz w:val="24"/>
      <w:szCs w:val="22"/>
      <w:lang w:val="en-US" w:eastAsia="en-US" w:bidi="ar-SA"/>
    </w:rPr>
  </w:style>
  <w:style w:type="paragraph" w:styleId="Annotationtext">
    <w:name w:val="annotation text"/>
    <w:basedOn w:val="Normal"/>
    <w:link w:val="CommentTextChar"/>
    <w:uiPriority w:val="99"/>
    <w:semiHidden/>
    <w:unhideWhenUsed/>
    <w:qFormat/>
    <w:rsid w:val="00ab6715"/>
    <w:pPr/>
    <w:rPr>
      <w:sz w:val="20"/>
      <w:szCs w:val="20"/>
    </w:rPr>
  </w:style>
  <w:style w:type="paragraph" w:styleId="Annotationsubject">
    <w:name w:val="annotation subject"/>
    <w:basedOn w:val="Annotationtext"/>
    <w:next w:val="Annotationtext"/>
    <w:link w:val="CommentSubjectChar"/>
    <w:uiPriority w:val="99"/>
    <w:semiHidden/>
    <w:unhideWhenUsed/>
    <w:qFormat/>
    <w:rsid w:val="00ab6715"/>
    <w:pPr/>
    <w:rPr>
      <w:b/>
      <w:bCs/>
    </w:rPr>
  </w:style>
  <w:style w:type="paragraph" w:styleId="Endnote">
    <w:name w:val="Endnote Text"/>
    <w:basedOn w:val="Normal"/>
    <w:link w:val="EndnoteTextChar"/>
    <w:uiPriority w:val="99"/>
    <w:semiHidden/>
    <w:unhideWhenUsed/>
    <w:rsid w:val="00ab6715"/>
    <w:pPr>
      <w:spacing w:before="120" w:after="0"/>
    </w:pPr>
    <w:rPr>
      <w:sz w:val="20"/>
      <w:szCs w:val="20"/>
    </w:rPr>
  </w:style>
  <w:style w:type="paragraph" w:styleId="HeaderandFooter">
    <w:name w:val="Header and Footer"/>
    <w:basedOn w:val="Normal"/>
    <w:qFormat/>
    <w:pPr/>
    <w:rPr/>
  </w:style>
  <w:style w:type="paragraph" w:styleId="Footer">
    <w:name w:val="Footer"/>
    <w:basedOn w:val="Normal"/>
    <w:link w:val="FooterChar"/>
    <w:uiPriority w:val="99"/>
    <w:unhideWhenUsed/>
    <w:rsid w:val="00ab6715"/>
    <w:pPr>
      <w:tabs>
        <w:tab w:val="clear" w:pos="408"/>
        <w:tab w:val="center" w:pos="4844" w:leader="none"/>
        <w:tab w:val="right" w:pos="9689" w:leader="none"/>
      </w:tabs>
      <w:spacing w:before="120" w:after="0"/>
    </w:pPr>
    <w:rPr/>
  </w:style>
  <w:style w:type="paragraph" w:styleId="Footnote">
    <w:name w:val="Footnote Text"/>
    <w:basedOn w:val="Normal"/>
    <w:link w:val="FootnoteTextChar"/>
    <w:uiPriority w:val="99"/>
    <w:semiHidden/>
    <w:unhideWhenUsed/>
    <w:rsid w:val="00ab6715"/>
    <w:pPr>
      <w:spacing w:before="120" w:after="0"/>
    </w:pPr>
    <w:rPr>
      <w:sz w:val="20"/>
      <w:szCs w:val="20"/>
    </w:rPr>
  </w:style>
  <w:style w:type="paragraph" w:styleId="Header">
    <w:name w:val="Header"/>
    <w:basedOn w:val="Normal"/>
    <w:link w:val="HeaderChar"/>
    <w:uiPriority w:val="99"/>
    <w:unhideWhenUsed/>
    <w:rsid w:val="00ab6715"/>
    <w:pPr>
      <w:tabs>
        <w:tab w:val="clear" w:pos="408"/>
        <w:tab w:val="center" w:pos="4844" w:leader="none"/>
        <w:tab w:val="right" w:pos="9689" w:leader="none"/>
      </w:tabs>
    </w:pPr>
    <w:rPr>
      <w:b/>
    </w:rPr>
  </w:style>
  <w:style w:type="paragraph" w:styleId="ListParagraph">
    <w:name w:val="List Paragraph"/>
    <w:basedOn w:val="Normal"/>
    <w:uiPriority w:val="3"/>
    <w:qFormat/>
    <w:rsid w:val="00ab6715"/>
    <w:pPr>
      <w:spacing w:before="120" w:after="240"/>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hanging="0"/>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styleId="SupplementaryMaterial" w:customStyle="1">
    <w:name w:val="Supplementary Material"/>
    <w:basedOn w:val="Title"/>
    <w:next w:val="Title"/>
    <w:qFormat/>
    <w:rsid w:val="0001436a"/>
    <w:pPr>
      <w:spacing w:before="240" w:after="120"/>
    </w:pPr>
    <w:rPr>
      <w:i/>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LOnormal">
    <w:name w:val="LO-normal"/>
    <w:qFormat/>
    <w:pPr>
      <w:widowControl/>
      <w:suppressAutoHyphens w:val="true"/>
      <w:bidi w:val="0"/>
      <w:spacing w:lineRule="auto" w:line="276" w:before="0" w:after="0"/>
      <w:jc w:val="both"/>
    </w:pPr>
    <w:rPr>
      <w:rFonts w:ascii="Calibri" w:hAnsi="Calibri" w:eastAsia="Calibri" w:cs="" w:asciiTheme="minorHAnsi" w:cstheme="minorBidi" w:eastAsiaTheme="minorHAnsi" w:hAnsiTheme="minorHAnsi"/>
      <w:color w:val="auto"/>
      <w:kern w:val="0"/>
      <w:sz w:val="24"/>
      <w:szCs w:val="22"/>
      <w:lang w:val="en-US" w:eastAsia="en-US" w:bidi="ar-SA"/>
    </w:rPr>
  </w:style>
  <w:style w:type="numbering" w:styleId="NoList" w:default="1">
    <w:name w:val="No List"/>
    <w:uiPriority w:val="99"/>
    <w:semiHidden/>
    <w:unhideWhenUsed/>
    <w:qFormat/>
  </w:style>
  <w:style w:type="numbering" w:styleId="Headings" w:customStyle="1">
    <w:name w:val="Headings"/>
    <w:uiPriority w:val="99"/>
    <w:qFormat/>
    <w:rsid w:val="00ab6715"/>
  </w:style>
  <w:style w:type="numbering" w:styleId="WW8Num7">
    <w:name w:val="WW8Num7"/>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ab6715"/>
    <w:pPr>
      <w:spacing w:after="0" w:line="240" w:lineRule="auto"/>
    </w:pPr>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2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329</TotalTime>
  <Application>LibreOffice/7.1.4.2$Linux_X86_64 LibreOffice_project/10$Build-2</Application>
  <AppVersion>15.0000</AppVersion>
  <Pages>31</Pages>
  <Words>3245</Words>
  <Characters>16239</Characters>
  <CharactersWithSpaces>18804</CharactersWithSpaces>
  <Paragraphs>737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2018-11-23T08:58:00Z</dcterms:created>
  <dc:creator>Frontiers Media SA</dc:creator>
  <dc:description/>
  <dc:language>en-US</dc:language>
  <cp:lastModifiedBy>Merrill Rudd</cp:lastModifiedBy>
  <cp:lastPrinted>2013-10-03T12:51:00Z</cp:lastPrinted>
  <dcterms:modified xsi:type="dcterms:W3CDTF">2021-07-30T20:19:59Z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