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CE891" w14:textId="77777777" w:rsidR="00C54C55" w:rsidRPr="00277A1D" w:rsidRDefault="00C54C55" w:rsidP="00277A1D">
      <w:pPr>
        <w:spacing w:line="240" w:lineRule="auto"/>
        <w:rPr>
          <w:rFonts w:ascii="Times New Roman" w:hAnsi="Times New Roman" w:cs="Times New Roman"/>
        </w:rPr>
      </w:pPr>
    </w:p>
    <w:p w14:paraId="73FAA5A7" w14:textId="652C9809" w:rsidR="005F1DEC" w:rsidRDefault="006A36F5" w:rsidP="006A36F5">
      <w:pPr>
        <w:spacing w:line="240" w:lineRule="auto"/>
        <w:jc w:val="center"/>
        <w:rPr>
          <w:rFonts w:ascii="Times New Roman" w:hAnsi="Times New Roman" w:cs="Times New Roman"/>
          <w:b/>
          <w:bCs/>
        </w:rPr>
      </w:pPr>
      <w:r w:rsidRPr="00DC4BF0">
        <w:rPr>
          <w:rFonts w:ascii="Times New Roman" w:hAnsi="Times New Roman" w:cs="Times New Roman"/>
          <w:b/>
          <w:bCs/>
        </w:rPr>
        <w:t>SUPPLEMENTARY MATERIALS</w:t>
      </w:r>
    </w:p>
    <w:p w14:paraId="7AD17020" w14:textId="77777777" w:rsidR="006A36F5" w:rsidRPr="00DC4BF0" w:rsidRDefault="006A36F5" w:rsidP="006A36F5">
      <w:pPr>
        <w:spacing w:line="240" w:lineRule="auto"/>
        <w:jc w:val="center"/>
        <w:rPr>
          <w:rFonts w:ascii="Times New Roman" w:hAnsi="Times New Roman" w:cs="Times New Roman"/>
          <w:b/>
          <w:bCs/>
        </w:rPr>
      </w:pPr>
    </w:p>
    <w:p w14:paraId="10F593C3" w14:textId="746F7C26" w:rsidR="00ED5D02" w:rsidRPr="006A36F5" w:rsidRDefault="00ED5D02" w:rsidP="00277A1D">
      <w:pPr>
        <w:spacing w:line="240" w:lineRule="auto"/>
        <w:rPr>
          <w:rFonts w:ascii="Times New Roman" w:hAnsi="Times New Roman" w:cs="Times New Roman"/>
          <w:b/>
          <w:bCs/>
        </w:rPr>
      </w:pPr>
      <w:r w:rsidRPr="006A36F5">
        <w:rPr>
          <w:rFonts w:ascii="Times New Roman" w:hAnsi="Times New Roman" w:cs="Times New Roman"/>
          <w:b/>
          <w:bCs/>
        </w:rPr>
        <w:t>APPENDIX A: Figures</w:t>
      </w:r>
    </w:p>
    <w:p w14:paraId="38324BD3" w14:textId="0F0949A8" w:rsidR="00ED5D02" w:rsidRPr="00277A1D" w:rsidRDefault="00ED5D02" w:rsidP="00277A1D">
      <w:pPr>
        <w:spacing w:line="240" w:lineRule="auto"/>
        <w:rPr>
          <w:rFonts w:ascii="Times New Roman" w:hAnsi="Times New Roman" w:cs="Times New Roman"/>
        </w:rPr>
      </w:pPr>
    </w:p>
    <w:p w14:paraId="47C86768" w14:textId="014CE167" w:rsidR="00ED5D02" w:rsidRPr="00277A1D" w:rsidRDefault="00745659" w:rsidP="00277A1D">
      <w:pPr>
        <w:spacing w:line="240" w:lineRule="auto"/>
        <w:rPr>
          <w:rFonts w:ascii="Times New Roman" w:hAnsi="Times New Roman" w:cs="Times New Roman"/>
        </w:rPr>
      </w:pPr>
      <w:r w:rsidRPr="00277A1D">
        <w:rPr>
          <w:rFonts w:ascii="Times New Roman" w:hAnsi="Times New Roman" w:cs="Times New Roman"/>
          <w:noProof/>
        </w:rPr>
        <w:drawing>
          <wp:inline distT="0" distB="0" distL="0" distR="0" wp14:anchorId="65E40D9A" wp14:editId="3EF289EA">
            <wp:extent cx="5943600" cy="5620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I_ET.png"/>
                    <pic:cNvPicPr/>
                  </pic:nvPicPr>
                  <pic:blipFill>
                    <a:blip r:embed="rId6">
                      <a:extLst>
                        <a:ext uri="{28A0092B-C50C-407E-A947-70E740481C1C}">
                          <a14:useLocalDpi xmlns:a14="http://schemas.microsoft.com/office/drawing/2010/main" val="0"/>
                        </a:ext>
                      </a:extLst>
                    </a:blip>
                    <a:stretch>
                      <a:fillRect/>
                    </a:stretch>
                  </pic:blipFill>
                  <pic:spPr>
                    <a:xfrm>
                      <a:off x="0" y="0"/>
                      <a:ext cx="5943600" cy="5620385"/>
                    </a:xfrm>
                    <a:prstGeom prst="rect">
                      <a:avLst/>
                    </a:prstGeom>
                  </pic:spPr>
                </pic:pic>
              </a:graphicData>
            </a:graphic>
          </wp:inline>
        </w:drawing>
      </w:r>
    </w:p>
    <w:p w14:paraId="46D65269" w14:textId="38EA2B89" w:rsidR="00745659" w:rsidRPr="00277A1D" w:rsidRDefault="00745659" w:rsidP="00277A1D">
      <w:pPr>
        <w:pStyle w:val="Caption"/>
        <w:rPr>
          <w:rFonts w:ascii="Times New Roman" w:hAnsi="Times New Roman" w:cs="Times New Roman"/>
          <w:i w:val="0"/>
          <w:color w:val="auto"/>
          <w:sz w:val="20"/>
          <w:szCs w:val="20"/>
        </w:rPr>
      </w:pPr>
      <w:r w:rsidRPr="00277A1D">
        <w:rPr>
          <w:rFonts w:ascii="Times New Roman" w:hAnsi="Times New Roman" w:cs="Times New Roman"/>
          <w:i w:val="0"/>
          <w:color w:val="auto"/>
          <w:sz w:val="20"/>
          <w:szCs w:val="20"/>
        </w:rPr>
        <w:t>Fig</w:t>
      </w:r>
      <w:r w:rsidR="002E2992">
        <w:rPr>
          <w:rFonts w:ascii="Times New Roman" w:hAnsi="Times New Roman" w:cs="Times New Roman"/>
          <w:i w:val="0"/>
          <w:color w:val="auto"/>
          <w:sz w:val="20"/>
          <w:szCs w:val="20"/>
        </w:rPr>
        <w:t>ure</w:t>
      </w:r>
      <w:r w:rsidRPr="00277A1D">
        <w:rPr>
          <w:rFonts w:ascii="Times New Roman" w:hAnsi="Times New Roman" w:cs="Times New Roman"/>
          <w:i w:val="0"/>
          <w:color w:val="auto"/>
          <w:sz w:val="20"/>
          <w:szCs w:val="20"/>
        </w:rPr>
        <w:t xml:space="preserve"> S</w:t>
      </w:r>
      <w:r w:rsidR="00C249E1">
        <w:rPr>
          <w:rFonts w:ascii="Times New Roman" w:hAnsi="Times New Roman" w:cs="Times New Roman"/>
          <w:i w:val="0"/>
          <w:color w:val="auto"/>
          <w:sz w:val="20"/>
          <w:szCs w:val="20"/>
        </w:rPr>
        <w:t>1</w:t>
      </w:r>
      <w:r w:rsidRPr="00277A1D">
        <w:rPr>
          <w:rFonts w:ascii="Times New Roman" w:hAnsi="Times New Roman" w:cs="Times New Roman"/>
          <w:i w:val="0"/>
          <w:color w:val="auto"/>
          <w:sz w:val="20"/>
          <w:szCs w:val="20"/>
        </w:rPr>
        <w:t xml:space="preserve">. </w:t>
      </w:r>
      <w:bookmarkStart w:id="0" w:name="_Hlk46407218"/>
      <w:r w:rsidRPr="00277A1D">
        <w:rPr>
          <w:rFonts w:ascii="Times New Roman" w:hAnsi="Times New Roman" w:cs="Times New Roman"/>
          <w:i w:val="0"/>
          <w:color w:val="auto"/>
          <w:sz w:val="20"/>
          <w:szCs w:val="20"/>
        </w:rPr>
        <w:t>Simulated ET and LAI for loblolly and slash pine versus MODIS estimates at Upatoi Creek watershed (Figures A to D) and Upper Santa Fe River watershed (Figures E to H) under M</w:t>
      </w:r>
      <w:r w:rsidRPr="00277A1D">
        <w:rPr>
          <w:rFonts w:ascii="Times New Roman" w:hAnsi="Times New Roman" w:cs="Times New Roman"/>
          <w:i w:val="0"/>
          <w:color w:val="auto"/>
          <w:sz w:val="20"/>
          <w:szCs w:val="20"/>
          <w:vertAlign w:val="subscript"/>
        </w:rPr>
        <w:t xml:space="preserve">0 and </w:t>
      </w:r>
      <w:r w:rsidRPr="00277A1D">
        <w:rPr>
          <w:rFonts w:ascii="Times New Roman" w:hAnsi="Times New Roman" w:cs="Times New Roman"/>
          <w:i w:val="0"/>
          <w:color w:val="auto"/>
          <w:sz w:val="20"/>
          <w:szCs w:val="20"/>
        </w:rPr>
        <w:t>M</w:t>
      </w:r>
      <w:r w:rsidRPr="00277A1D">
        <w:rPr>
          <w:rFonts w:ascii="Times New Roman" w:hAnsi="Times New Roman" w:cs="Times New Roman"/>
          <w:i w:val="0"/>
          <w:color w:val="auto"/>
          <w:sz w:val="20"/>
          <w:szCs w:val="20"/>
          <w:vertAlign w:val="subscript"/>
        </w:rPr>
        <w:t xml:space="preserve">LAI+BM+ET model </w:t>
      </w:r>
      <w:r w:rsidRPr="00277A1D">
        <w:rPr>
          <w:rFonts w:ascii="Times New Roman" w:hAnsi="Times New Roman" w:cs="Times New Roman"/>
          <w:i w:val="0"/>
          <w:color w:val="auto"/>
          <w:sz w:val="20"/>
          <w:szCs w:val="20"/>
        </w:rPr>
        <w:t>configurations.</w:t>
      </w:r>
      <w:bookmarkEnd w:id="0"/>
    </w:p>
    <w:p w14:paraId="7D6FD89F" w14:textId="77777777" w:rsidR="00745659" w:rsidRPr="00277A1D" w:rsidRDefault="00745659" w:rsidP="00277A1D">
      <w:pPr>
        <w:spacing w:line="240" w:lineRule="auto"/>
        <w:rPr>
          <w:rFonts w:ascii="Times New Roman" w:hAnsi="Times New Roman" w:cs="Times New Roman"/>
        </w:rPr>
      </w:pPr>
    </w:p>
    <w:p w14:paraId="6E33CFFA" w14:textId="08D79500" w:rsidR="00ED5D02" w:rsidRPr="00277A1D" w:rsidRDefault="00745659" w:rsidP="00277A1D">
      <w:pPr>
        <w:spacing w:line="240" w:lineRule="auto"/>
        <w:rPr>
          <w:rFonts w:ascii="Times New Roman" w:hAnsi="Times New Roman" w:cs="Times New Roman"/>
        </w:rPr>
      </w:pPr>
      <w:r w:rsidRPr="00277A1D">
        <w:rPr>
          <w:rFonts w:ascii="Times New Roman" w:hAnsi="Times New Roman" w:cs="Times New Roman"/>
          <w:noProof/>
        </w:rPr>
        <w:lastRenderedPageBreak/>
        <w:drawing>
          <wp:inline distT="0" distB="0" distL="0" distR="0" wp14:anchorId="2EAF3326" wp14:editId="1670075F">
            <wp:extent cx="5943600" cy="51269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omas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126990"/>
                    </a:xfrm>
                    <a:prstGeom prst="rect">
                      <a:avLst/>
                    </a:prstGeom>
                  </pic:spPr>
                </pic:pic>
              </a:graphicData>
            </a:graphic>
          </wp:inline>
        </w:drawing>
      </w:r>
    </w:p>
    <w:p w14:paraId="187EBEE0" w14:textId="0FBE43EF" w:rsidR="00745659" w:rsidRPr="00277A1D" w:rsidRDefault="00745659" w:rsidP="00277A1D">
      <w:pPr>
        <w:spacing w:line="240" w:lineRule="auto"/>
        <w:rPr>
          <w:rFonts w:ascii="Times New Roman" w:hAnsi="Times New Roman" w:cs="Times New Roman"/>
          <w:sz w:val="20"/>
          <w:szCs w:val="20"/>
        </w:rPr>
      </w:pPr>
      <w:r w:rsidRPr="00277A1D">
        <w:rPr>
          <w:rFonts w:ascii="Times New Roman" w:hAnsi="Times New Roman" w:cs="Times New Roman"/>
          <w:sz w:val="20"/>
          <w:szCs w:val="20"/>
        </w:rPr>
        <w:t>Fig</w:t>
      </w:r>
      <w:r w:rsidR="002E2992">
        <w:rPr>
          <w:rFonts w:ascii="Times New Roman" w:hAnsi="Times New Roman" w:cs="Times New Roman"/>
          <w:sz w:val="20"/>
          <w:szCs w:val="20"/>
        </w:rPr>
        <w:t>ure</w:t>
      </w:r>
      <w:r w:rsidRPr="00277A1D">
        <w:rPr>
          <w:rFonts w:ascii="Times New Roman" w:hAnsi="Times New Roman" w:cs="Times New Roman"/>
          <w:sz w:val="20"/>
          <w:szCs w:val="20"/>
        </w:rPr>
        <w:t xml:space="preserve"> S</w:t>
      </w:r>
      <w:r w:rsidR="00C249E1">
        <w:rPr>
          <w:rFonts w:ascii="Times New Roman" w:hAnsi="Times New Roman" w:cs="Times New Roman"/>
          <w:sz w:val="20"/>
          <w:szCs w:val="20"/>
        </w:rPr>
        <w:t>2</w:t>
      </w:r>
      <w:r w:rsidRPr="00277A1D">
        <w:rPr>
          <w:rFonts w:ascii="Times New Roman" w:hAnsi="Times New Roman" w:cs="Times New Roman"/>
          <w:sz w:val="20"/>
          <w:szCs w:val="20"/>
        </w:rPr>
        <w:t xml:space="preserve">. </w:t>
      </w:r>
      <w:bookmarkStart w:id="1" w:name="_Hlk46407237"/>
      <w:r w:rsidRPr="00277A1D">
        <w:rPr>
          <w:rFonts w:ascii="Times New Roman" w:hAnsi="Times New Roman" w:cs="Times New Roman"/>
          <w:sz w:val="20"/>
          <w:szCs w:val="20"/>
        </w:rPr>
        <w:t xml:space="preserve">Simulated total forest biomass versus </w:t>
      </w:r>
      <w:proofErr w:type="gramStart"/>
      <w:r w:rsidRPr="00277A1D">
        <w:rPr>
          <w:rFonts w:ascii="Times New Roman" w:hAnsi="Times New Roman" w:cs="Times New Roman"/>
          <w:sz w:val="20"/>
          <w:szCs w:val="20"/>
        </w:rPr>
        <w:t>USDA Forest Service forest</w:t>
      </w:r>
      <w:proofErr w:type="gramEnd"/>
      <w:r w:rsidRPr="00277A1D">
        <w:rPr>
          <w:rFonts w:ascii="Times New Roman" w:hAnsi="Times New Roman" w:cs="Times New Roman"/>
          <w:sz w:val="20"/>
          <w:szCs w:val="20"/>
        </w:rPr>
        <w:t xml:space="preserve"> biomass product estimates at Upatoi Creek (Figures A to C) and Upper Santa Fe River watershed (Figures D to F) </w:t>
      </w:r>
      <w:r w:rsidRPr="00277A1D">
        <w:rPr>
          <w:rFonts w:ascii="Times New Roman" w:hAnsi="Times New Roman" w:cs="Times New Roman"/>
          <w:iCs/>
          <w:sz w:val="20"/>
          <w:szCs w:val="20"/>
        </w:rPr>
        <w:t>under M</w:t>
      </w:r>
      <w:r w:rsidRPr="00277A1D">
        <w:rPr>
          <w:rFonts w:ascii="Times New Roman" w:hAnsi="Times New Roman" w:cs="Times New Roman"/>
          <w:iCs/>
          <w:sz w:val="20"/>
          <w:szCs w:val="20"/>
          <w:vertAlign w:val="subscript"/>
        </w:rPr>
        <w:t xml:space="preserve">0 and </w:t>
      </w:r>
      <w:r w:rsidRPr="00277A1D">
        <w:rPr>
          <w:rFonts w:ascii="Times New Roman" w:hAnsi="Times New Roman" w:cs="Times New Roman"/>
          <w:iCs/>
          <w:sz w:val="20"/>
          <w:szCs w:val="20"/>
        </w:rPr>
        <w:t>M</w:t>
      </w:r>
      <w:r w:rsidRPr="00277A1D">
        <w:rPr>
          <w:rFonts w:ascii="Times New Roman" w:hAnsi="Times New Roman" w:cs="Times New Roman"/>
          <w:iCs/>
          <w:sz w:val="20"/>
          <w:szCs w:val="20"/>
          <w:vertAlign w:val="subscript"/>
        </w:rPr>
        <w:t xml:space="preserve">LAI+BM+ET model </w:t>
      </w:r>
      <w:r w:rsidRPr="00277A1D">
        <w:rPr>
          <w:rFonts w:ascii="Times New Roman" w:hAnsi="Times New Roman" w:cs="Times New Roman"/>
          <w:iCs/>
          <w:sz w:val="20"/>
          <w:szCs w:val="20"/>
        </w:rPr>
        <w:t>configurations</w:t>
      </w:r>
      <w:r w:rsidRPr="00277A1D">
        <w:rPr>
          <w:rFonts w:ascii="Times New Roman" w:hAnsi="Times New Roman" w:cs="Times New Roman"/>
          <w:sz w:val="20"/>
          <w:szCs w:val="20"/>
        </w:rPr>
        <w:t xml:space="preserve">. (A-D) Biomass simulated by SWAT using default parameters in the plant database, (B-E) Observed biomass for the Upatoi Creek watershed derived from </w:t>
      </w:r>
      <w:proofErr w:type="gramStart"/>
      <w:r w:rsidRPr="00277A1D">
        <w:rPr>
          <w:rFonts w:ascii="Times New Roman" w:hAnsi="Times New Roman" w:cs="Times New Roman"/>
          <w:sz w:val="20"/>
          <w:szCs w:val="20"/>
        </w:rPr>
        <w:t>USDA Forest Service forest</w:t>
      </w:r>
      <w:proofErr w:type="gramEnd"/>
      <w:r w:rsidRPr="00277A1D">
        <w:rPr>
          <w:rFonts w:ascii="Times New Roman" w:hAnsi="Times New Roman" w:cs="Times New Roman"/>
          <w:sz w:val="20"/>
          <w:szCs w:val="20"/>
        </w:rPr>
        <w:t xml:space="preserve"> biomass, (C-F) Biomass simulated by SWAT using calibrated plant-related parameters.</w:t>
      </w:r>
      <w:bookmarkEnd w:id="1"/>
      <w:r w:rsidRPr="00277A1D">
        <w:rPr>
          <w:rFonts w:ascii="Times New Roman" w:hAnsi="Times New Roman" w:cs="Times New Roman"/>
          <w:sz w:val="20"/>
          <w:szCs w:val="20"/>
        </w:rPr>
        <w:t xml:space="preserve"> </w:t>
      </w:r>
    </w:p>
    <w:p w14:paraId="517BE14A" w14:textId="77777777" w:rsidR="00745659" w:rsidRPr="00277A1D" w:rsidRDefault="00745659" w:rsidP="00277A1D">
      <w:pPr>
        <w:spacing w:line="240" w:lineRule="auto"/>
        <w:rPr>
          <w:rFonts w:ascii="Times New Roman" w:hAnsi="Times New Roman" w:cs="Times New Roman"/>
        </w:rPr>
      </w:pPr>
    </w:p>
    <w:p w14:paraId="54BEA9CC" w14:textId="77777777" w:rsidR="00D77A00" w:rsidRPr="00277A1D" w:rsidRDefault="00A31B2C" w:rsidP="00277A1D">
      <w:pPr>
        <w:spacing w:line="240" w:lineRule="auto"/>
        <w:rPr>
          <w:rFonts w:ascii="Times New Roman" w:hAnsi="Times New Roman" w:cs="Times New Roman"/>
        </w:rPr>
      </w:pPr>
      <w:r w:rsidRPr="00277A1D">
        <w:rPr>
          <w:rFonts w:ascii="Times New Roman" w:hAnsi="Times New Roman" w:cs="Times New Roman"/>
          <w:noProof/>
        </w:rPr>
        <w:lastRenderedPageBreak/>
        <w:drawing>
          <wp:inline distT="0" distB="0" distL="0" distR="0" wp14:anchorId="048A91AE" wp14:editId="53036E11">
            <wp:extent cx="2971800" cy="28956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D77A00" w:rsidRPr="00277A1D">
        <w:rPr>
          <w:rFonts w:ascii="Times New Roman" w:hAnsi="Times New Roman" w:cs="Times New Roman"/>
          <w:noProof/>
        </w:rPr>
        <w:drawing>
          <wp:inline distT="0" distB="0" distL="0" distR="0" wp14:anchorId="45A2624F" wp14:editId="01A24C44">
            <wp:extent cx="29718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84DA3E" w14:textId="03998313" w:rsidR="00ED5D02" w:rsidRPr="00277A1D" w:rsidRDefault="00A04F14" w:rsidP="00277A1D">
      <w:pPr>
        <w:pStyle w:val="Caption"/>
        <w:rPr>
          <w:rFonts w:ascii="Times New Roman" w:hAnsi="Times New Roman" w:cs="Times New Roman"/>
          <w:i w:val="0"/>
          <w:color w:val="auto"/>
          <w:sz w:val="20"/>
        </w:rPr>
      </w:pPr>
      <w:r w:rsidRPr="00277A1D">
        <w:rPr>
          <w:rFonts w:ascii="Times New Roman" w:hAnsi="Times New Roman" w:cs="Times New Roman"/>
          <w:i w:val="0"/>
          <w:color w:val="auto"/>
          <w:sz w:val="20"/>
        </w:rPr>
        <w:t>Fig</w:t>
      </w:r>
      <w:r w:rsidR="002E2992">
        <w:rPr>
          <w:rFonts w:ascii="Times New Roman" w:hAnsi="Times New Roman" w:cs="Times New Roman"/>
          <w:i w:val="0"/>
          <w:color w:val="auto"/>
          <w:sz w:val="20"/>
        </w:rPr>
        <w:t>ure</w:t>
      </w:r>
      <w:r w:rsidRPr="00277A1D">
        <w:rPr>
          <w:rFonts w:ascii="Times New Roman" w:hAnsi="Times New Roman" w:cs="Times New Roman"/>
          <w:i w:val="0"/>
          <w:color w:val="auto"/>
          <w:sz w:val="20"/>
        </w:rPr>
        <w:t xml:space="preserve"> S</w:t>
      </w:r>
      <w:r w:rsidR="00C249E1">
        <w:rPr>
          <w:rFonts w:ascii="Times New Roman" w:hAnsi="Times New Roman" w:cs="Times New Roman"/>
          <w:i w:val="0"/>
          <w:color w:val="auto"/>
          <w:sz w:val="20"/>
        </w:rPr>
        <w:t>3</w:t>
      </w:r>
      <w:r w:rsidR="00631425" w:rsidRPr="00277A1D">
        <w:rPr>
          <w:rFonts w:ascii="Times New Roman" w:hAnsi="Times New Roman" w:cs="Times New Roman"/>
          <w:i w:val="0"/>
          <w:color w:val="auto"/>
          <w:sz w:val="20"/>
        </w:rPr>
        <w:t>. Comparison of simulated mean annual baseflow and ET under different model setup configurations against estimated baseflow and ET at Upatoi Creek and Upper Santa Fe River watersheds. Observed baseflow and watershed-wide ET are estimated via baseflow separation tool and MODIS ET data, respectively</w:t>
      </w:r>
    </w:p>
    <w:p w14:paraId="50B53BE9" w14:textId="77777777" w:rsidR="00A04F14" w:rsidRPr="00277A1D" w:rsidRDefault="00A04F14" w:rsidP="00277A1D">
      <w:pPr>
        <w:spacing w:line="240" w:lineRule="auto"/>
        <w:rPr>
          <w:rFonts w:ascii="Times New Roman" w:hAnsi="Times New Roman" w:cs="Times New Roman"/>
        </w:rPr>
      </w:pPr>
    </w:p>
    <w:p w14:paraId="53C84D1C" w14:textId="77777777" w:rsidR="00570553" w:rsidRPr="00277A1D" w:rsidRDefault="00570553" w:rsidP="00277A1D">
      <w:pPr>
        <w:spacing w:line="240" w:lineRule="auto"/>
        <w:rPr>
          <w:rFonts w:ascii="Times New Roman" w:hAnsi="Times New Roman" w:cs="Times New Roman"/>
        </w:rPr>
      </w:pPr>
      <w:r w:rsidRPr="00277A1D">
        <w:rPr>
          <w:rFonts w:ascii="Times New Roman" w:hAnsi="Times New Roman" w:cs="Times New Roman"/>
          <w:noProof/>
        </w:rPr>
        <w:drawing>
          <wp:inline distT="0" distB="0" distL="0" distR="0" wp14:anchorId="4A547ED4" wp14:editId="269278B7">
            <wp:extent cx="5943600" cy="26879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687955"/>
                    </a:xfrm>
                    <a:prstGeom prst="rect">
                      <a:avLst/>
                    </a:prstGeom>
                  </pic:spPr>
                </pic:pic>
              </a:graphicData>
            </a:graphic>
          </wp:inline>
        </w:drawing>
      </w:r>
    </w:p>
    <w:p w14:paraId="4643017D" w14:textId="2E439434" w:rsidR="00570553" w:rsidRDefault="00570553" w:rsidP="00277A1D">
      <w:pPr>
        <w:pStyle w:val="Caption"/>
        <w:rPr>
          <w:rFonts w:ascii="Times New Roman" w:hAnsi="Times New Roman" w:cs="Times New Roman"/>
          <w:i w:val="0"/>
          <w:color w:val="auto"/>
          <w:sz w:val="20"/>
        </w:rPr>
      </w:pPr>
      <w:r w:rsidRPr="00277A1D">
        <w:rPr>
          <w:rFonts w:ascii="Times New Roman" w:hAnsi="Times New Roman" w:cs="Times New Roman"/>
          <w:i w:val="0"/>
          <w:color w:val="auto"/>
          <w:sz w:val="20"/>
        </w:rPr>
        <w:t>Fig</w:t>
      </w:r>
      <w:r w:rsidR="002E2992">
        <w:rPr>
          <w:rFonts w:ascii="Times New Roman" w:hAnsi="Times New Roman" w:cs="Times New Roman"/>
          <w:i w:val="0"/>
          <w:color w:val="auto"/>
          <w:sz w:val="20"/>
        </w:rPr>
        <w:t>ure</w:t>
      </w:r>
      <w:r w:rsidRPr="00277A1D">
        <w:rPr>
          <w:rFonts w:ascii="Times New Roman" w:hAnsi="Times New Roman" w:cs="Times New Roman"/>
          <w:i w:val="0"/>
          <w:color w:val="auto"/>
          <w:sz w:val="20"/>
        </w:rPr>
        <w:t xml:space="preserve"> </w:t>
      </w:r>
      <w:r w:rsidR="00A04F14" w:rsidRPr="00277A1D">
        <w:rPr>
          <w:rFonts w:ascii="Times New Roman" w:hAnsi="Times New Roman" w:cs="Times New Roman"/>
          <w:i w:val="0"/>
          <w:color w:val="auto"/>
          <w:sz w:val="20"/>
        </w:rPr>
        <w:t>S</w:t>
      </w:r>
      <w:r w:rsidR="00C249E1">
        <w:rPr>
          <w:rFonts w:ascii="Times New Roman" w:hAnsi="Times New Roman" w:cs="Times New Roman"/>
          <w:i w:val="0"/>
          <w:color w:val="auto"/>
          <w:sz w:val="20"/>
        </w:rPr>
        <w:t>4</w:t>
      </w:r>
      <w:r w:rsidRPr="00277A1D">
        <w:rPr>
          <w:rFonts w:ascii="Times New Roman" w:hAnsi="Times New Roman" w:cs="Times New Roman"/>
          <w:i w:val="0"/>
          <w:color w:val="auto"/>
          <w:sz w:val="20"/>
        </w:rPr>
        <w:t xml:space="preserve">. Sensitivity of streamflow parameters under traditional and multi-facet calibration schemes at Upatoi Creek and Upper Santa Fe River watersheds. </w:t>
      </w:r>
      <w:r w:rsidRPr="00277A1D">
        <w:rPr>
          <w:rFonts w:ascii="Times New Roman" w:hAnsi="Times New Roman" w:cs="Times New Roman"/>
          <w:iCs w:val="0"/>
          <w:color w:val="auto"/>
          <w:sz w:val="20"/>
        </w:rPr>
        <w:t>P-values</w:t>
      </w:r>
      <w:r w:rsidRPr="00277A1D">
        <w:rPr>
          <w:rFonts w:ascii="Times New Roman" w:hAnsi="Times New Roman" w:cs="Times New Roman"/>
          <w:i w:val="0"/>
          <w:color w:val="auto"/>
          <w:sz w:val="20"/>
        </w:rPr>
        <w:t xml:space="preserve"> &lt; 0.05 denote parameters with high sensitivity</w:t>
      </w:r>
      <w:r w:rsidR="005F1DEC">
        <w:rPr>
          <w:rFonts w:ascii="Times New Roman" w:hAnsi="Times New Roman" w:cs="Times New Roman"/>
          <w:i w:val="0"/>
          <w:color w:val="auto"/>
          <w:sz w:val="20"/>
        </w:rPr>
        <w:t>.</w:t>
      </w:r>
    </w:p>
    <w:p w14:paraId="719954CC" w14:textId="77777777" w:rsidR="005F1DEC" w:rsidRPr="005F1DEC" w:rsidRDefault="005F1DEC" w:rsidP="005F1DEC"/>
    <w:p w14:paraId="01B93315" w14:textId="77777777" w:rsidR="006A36F5" w:rsidRDefault="006A36F5" w:rsidP="00277A1D">
      <w:pPr>
        <w:spacing w:line="240" w:lineRule="auto"/>
        <w:rPr>
          <w:rFonts w:ascii="Times New Roman" w:hAnsi="Times New Roman" w:cs="Times New Roman"/>
          <w:b/>
          <w:bCs/>
        </w:rPr>
      </w:pPr>
    </w:p>
    <w:p w14:paraId="6A2A53B9" w14:textId="77777777" w:rsidR="006A36F5" w:rsidRDefault="006A36F5" w:rsidP="00277A1D">
      <w:pPr>
        <w:spacing w:line="240" w:lineRule="auto"/>
        <w:rPr>
          <w:rFonts w:ascii="Times New Roman" w:hAnsi="Times New Roman" w:cs="Times New Roman"/>
          <w:b/>
          <w:bCs/>
        </w:rPr>
      </w:pPr>
    </w:p>
    <w:p w14:paraId="0C3EC98D" w14:textId="77777777" w:rsidR="006A36F5" w:rsidRDefault="006A36F5" w:rsidP="00277A1D">
      <w:pPr>
        <w:spacing w:line="240" w:lineRule="auto"/>
        <w:rPr>
          <w:rFonts w:ascii="Times New Roman" w:hAnsi="Times New Roman" w:cs="Times New Roman"/>
          <w:b/>
          <w:bCs/>
        </w:rPr>
      </w:pPr>
    </w:p>
    <w:p w14:paraId="6A86FBAA" w14:textId="4FC77A2E" w:rsidR="005F1DEC" w:rsidRDefault="00ED5D02" w:rsidP="00277A1D">
      <w:pPr>
        <w:spacing w:line="240" w:lineRule="auto"/>
        <w:rPr>
          <w:rFonts w:ascii="Times New Roman" w:hAnsi="Times New Roman" w:cs="Times New Roman"/>
          <w:b/>
          <w:bCs/>
        </w:rPr>
      </w:pPr>
      <w:r w:rsidRPr="006A36F5">
        <w:rPr>
          <w:rFonts w:ascii="Times New Roman" w:hAnsi="Times New Roman" w:cs="Times New Roman"/>
          <w:b/>
          <w:bCs/>
        </w:rPr>
        <w:lastRenderedPageBreak/>
        <w:t>APPENDIX B: Tables</w:t>
      </w:r>
    </w:p>
    <w:p w14:paraId="32A7089C" w14:textId="77777777" w:rsidR="006A36F5" w:rsidRPr="006A36F5" w:rsidRDefault="006A36F5" w:rsidP="00277A1D">
      <w:pPr>
        <w:spacing w:line="240" w:lineRule="auto"/>
        <w:rPr>
          <w:rFonts w:ascii="Times New Roman" w:hAnsi="Times New Roman" w:cs="Times New Roman"/>
          <w:b/>
          <w:bCs/>
        </w:rPr>
      </w:pPr>
    </w:p>
    <w:p w14:paraId="2251F6B2" w14:textId="0A316BDC" w:rsidR="007809B3" w:rsidRPr="00277A1D" w:rsidRDefault="007809B3" w:rsidP="00277A1D">
      <w:pPr>
        <w:pStyle w:val="Caption"/>
        <w:keepNext/>
        <w:rPr>
          <w:rFonts w:ascii="Times New Roman" w:hAnsi="Times New Roman" w:cs="Times New Roman"/>
          <w:i w:val="0"/>
          <w:color w:val="auto"/>
          <w:sz w:val="20"/>
        </w:rPr>
      </w:pPr>
      <w:r w:rsidRPr="00277A1D">
        <w:rPr>
          <w:rFonts w:ascii="Times New Roman" w:hAnsi="Times New Roman" w:cs="Times New Roman"/>
          <w:i w:val="0"/>
          <w:color w:val="auto"/>
          <w:sz w:val="20"/>
        </w:rPr>
        <w:t>Table S</w:t>
      </w:r>
      <w:r w:rsidR="005F1DEC">
        <w:rPr>
          <w:rFonts w:ascii="Times New Roman" w:hAnsi="Times New Roman" w:cs="Times New Roman"/>
          <w:i w:val="0"/>
          <w:color w:val="auto"/>
          <w:sz w:val="20"/>
        </w:rPr>
        <w:t>1</w:t>
      </w:r>
      <w:r w:rsidRPr="00277A1D">
        <w:rPr>
          <w:rFonts w:ascii="Times New Roman" w:hAnsi="Times New Roman" w:cs="Times New Roman"/>
          <w:i w:val="0"/>
          <w:color w:val="auto"/>
          <w:sz w:val="20"/>
        </w:rPr>
        <w:t>. Summary of the selected IHA and EFC parameters and their respective ecosystem influences.</w:t>
      </w:r>
    </w:p>
    <w:tbl>
      <w:tblPr>
        <w:tblStyle w:val="FurkanTableStyle"/>
        <w:tblW w:w="9586" w:type="dxa"/>
        <w:tblLook w:val="04A0" w:firstRow="1" w:lastRow="0" w:firstColumn="1" w:lastColumn="0" w:noHBand="0" w:noVBand="1"/>
      </w:tblPr>
      <w:tblGrid>
        <w:gridCol w:w="1998"/>
        <w:gridCol w:w="3420"/>
        <w:gridCol w:w="4168"/>
      </w:tblGrid>
      <w:tr w:rsidR="007809B3" w:rsidRPr="00277A1D" w14:paraId="07900D7A" w14:textId="77777777" w:rsidTr="00445BE1">
        <w:trPr>
          <w:cnfStyle w:val="100000000000" w:firstRow="1" w:lastRow="0" w:firstColumn="0" w:lastColumn="0" w:oddVBand="0" w:evenVBand="0" w:oddHBand="0" w:evenHBand="0" w:firstRowFirstColumn="0" w:firstRowLastColumn="0" w:lastRowFirstColumn="0" w:lastRowLastColumn="0"/>
          <w:trHeight w:hRule="exact" w:val="216"/>
        </w:trPr>
        <w:tc>
          <w:tcPr>
            <w:tcW w:w="1998" w:type="dxa"/>
          </w:tcPr>
          <w:p w14:paraId="3D71C82E" w14:textId="77777777" w:rsidR="007809B3" w:rsidRPr="00277A1D" w:rsidRDefault="007809B3" w:rsidP="00277A1D">
            <w:pPr>
              <w:spacing w:after="120"/>
              <w:rPr>
                <w:bCs/>
                <w:sz w:val="16"/>
                <w:szCs w:val="16"/>
              </w:rPr>
            </w:pPr>
            <w:r w:rsidRPr="00277A1D">
              <w:rPr>
                <w:bCs/>
                <w:sz w:val="16"/>
                <w:szCs w:val="16"/>
              </w:rPr>
              <w:t>IHA Parameter Group</w:t>
            </w:r>
          </w:p>
        </w:tc>
        <w:tc>
          <w:tcPr>
            <w:tcW w:w="3420" w:type="dxa"/>
          </w:tcPr>
          <w:p w14:paraId="51196B6B" w14:textId="77777777" w:rsidR="007809B3" w:rsidRPr="00277A1D" w:rsidRDefault="007809B3" w:rsidP="00277A1D">
            <w:pPr>
              <w:spacing w:after="120"/>
              <w:rPr>
                <w:bCs/>
                <w:sz w:val="16"/>
                <w:szCs w:val="16"/>
              </w:rPr>
            </w:pPr>
            <w:r w:rsidRPr="00277A1D">
              <w:rPr>
                <w:bCs/>
                <w:sz w:val="16"/>
                <w:szCs w:val="16"/>
              </w:rPr>
              <w:t>Hydrologic Parameters</w:t>
            </w:r>
          </w:p>
        </w:tc>
        <w:tc>
          <w:tcPr>
            <w:tcW w:w="4168" w:type="dxa"/>
          </w:tcPr>
          <w:p w14:paraId="573AD87D" w14:textId="77777777" w:rsidR="007809B3" w:rsidRPr="00277A1D" w:rsidRDefault="007809B3" w:rsidP="00277A1D">
            <w:pPr>
              <w:spacing w:after="120"/>
              <w:rPr>
                <w:bCs/>
                <w:sz w:val="16"/>
                <w:szCs w:val="16"/>
              </w:rPr>
            </w:pPr>
            <w:r w:rsidRPr="00277A1D">
              <w:rPr>
                <w:bCs/>
                <w:sz w:val="16"/>
                <w:szCs w:val="16"/>
              </w:rPr>
              <w:t>Ecosystem Influences</w:t>
            </w:r>
          </w:p>
        </w:tc>
      </w:tr>
      <w:tr w:rsidR="007809B3" w:rsidRPr="00277A1D" w14:paraId="3471ABA7" w14:textId="77777777" w:rsidTr="00B77D33">
        <w:tc>
          <w:tcPr>
            <w:tcW w:w="1998" w:type="dxa"/>
          </w:tcPr>
          <w:p w14:paraId="619ED1AE" w14:textId="6739B43D" w:rsidR="007809B3" w:rsidRPr="00277A1D" w:rsidRDefault="00B77D33" w:rsidP="00B77D33">
            <w:pPr>
              <w:spacing w:after="120"/>
              <w:jc w:val="center"/>
              <w:rPr>
                <w:bCs/>
                <w:sz w:val="16"/>
                <w:szCs w:val="16"/>
              </w:rPr>
            </w:pPr>
            <w:r>
              <w:rPr>
                <w:bCs/>
                <w:sz w:val="16"/>
                <w:szCs w:val="16"/>
              </w:rPr>
              <w:t>1</w:t>
            </w:r>
            <w:r w:rsidR="007809B3" w:rsidRPr="00277A1D">
              <w:rPr>
                <w:bCs/>
                <w:sz w:val="16"/>
                <w:szCs w:val="16"/>
              </w:rPr>
              <w:t>. Magnitude and duration of annual extreme water conditions</w:t>
            </w:r>
          </w:p>
          <w:p w14:paraId="24DEE5BE" w14:textId="76F0F321" w:rsidR="007809B3" w:rsidRPr="00277A1D" w:rsidRDefault="007809B3" w:rsidP="00B77D33">
            <w:pPr>
              <w:spacing w:after="120"/>
              <w:jc w:val="center"/>
              <w:rPr>
                <w:b/>
                <w:bCs/>
                <w:sz w:val="16"/>
                <w:szCs w:val="16"/>
              </w:rPr>
            </w:pPr>
            <w:r w:rsidRPr="00277A1D">
              <w:rPr>
                <w:b/>
                <w:i/>
                <w:sz w:val="16"/>
                <w:szCs w:val="16"/>
              </w:rPr>
              <w:t>(1</w:t>
            </w:r>
            <w:r w:rsidR="00B77D33">
              <w:rPr>
                <w:b/>
                <w:i/>
                <w:sz w:val="16"/>
                <w:szCs w:val="16"/>
              </w:rPr>
              <w:t>0</w:t>
            </w:r>
            <w:r w:rsidRPr="00277A1D">
              <w:rPr>
                <w:b/>
                <w:i/>
                <w:sz w:val="16"/>
                <w:szCs w:val="16"/>
              </w:rPr>
              <w:t xml:space="preserve"> parameters)</w:t>
            </w:r>
          </w:p>
        </w:tc>
        <w:tc>
          <w:tcPr>
            <w:tcW w:w="3420" w:type="dxa"/>
          </w:tcPr>
          <w:p w14:paraId="16206239" w14:textId="4CBE927F" w:rsidR="007809B3" w:rsidRPr="00277A1D" w:rsidRDefault="007809B3" w:rsidP="00B77D33">
            <w:pPr>
              <w:spacing w:after="120"/>
              <w:jc w:val="center"/>
              <w:rPr>
                <w:color w:val="FF0000"/>
                <w:sz w:val="16"/>
                <w:szCs w:val="16"/>
              </w:rPr>
            </w:pPr>
            <w:r w:rsidRPr="00277A1D">
              <w:rPr>
                <w:sz w:val="16"/>
                <w:szCs w:val="16"/>
              </w:rPr>
              <w:t>Annual minima, 1-day mean; Annual minima, 3-day means; Annual minima, 7-day means; Annual minima, 30-day means; Annual minima, 90-day means; Annual maxima, 1-day mean; Annual maxima, 3-day means; Annual maxima, 7-day means; Annual maxima, 30-day means; Annual maxima, 90-day means</w:t>
            </w:r>
          </w:p>
          <w:p w14:paraId="7364E106" w14:textId="77777777" w:rsidR="007809B3" w:rsidRPr="00277A1D" w:rsidRDefault="007809B3" w:rsidP="00B77D33">
            <w:pPr>
              <w:spacing w:after="120"/>
              <w:jc w:val="center"/>
              <w:rPr>
                <w:sz w:val="16"/>
                <w:szCs w:val="16"/>
              </w:rPr>
            </w:pPr>
          </w:p>
          <w:p w14:paraId="0019857D" w14:textId="77777777" w:rsidR="007809B3" w:rsidRPr="00277A1D" w:rsidRDefault="007809B3" w:rsidP="00B77D33">
            <w:pPr>
              <w:spacing w:after="120"/>
              <w:jc w:val="center"/>
              <w:rPr>
                <w:sz w:val="16"/>
                <w:szCs w:val="16"/>
              </w:rPr>
            </w:pPr>
          </w:p>
          <w:p w14:paraId="6E22CBDF" w14:textId="77777777" w:rsidR="007809B3" w:rsidRPr="00277A1D" w:rsidRDefault="007809B3" w:rsidP="00B77D33">
            <w:pPr>
              <w:spacing w:after="120"/>
              <w:jc w:val="center"/>
              <w:rPr>
                <w:sz w:val="16"/>
                <w:szCs w:val="16"/>
              </w:rPr>
            </w:pPr>
          </w:p>
          <w:p w14:paraId="47F42472" w14:textId="77777777" w:rsidR="007809B3" w:rsidRPr="00277A1D" w:rsidRDefault="007809B3" w:rsidP="00B77D33">
            <w:pPr>
              <w:spacing w:after="120"/>
              <w:jc w:val="center"/>
              <w:rPr>
                <w:sz w:val="16"/>
                <w:szCs w:val="16"/>
              </w:rPr>
            </w:pPr>
          </w:p>
          <w:p w14:paraId="7C270965" w14:textId="77777777" w:rsidR="007809B3" w:rsidRPr="00277A1D" w:rsidRDefault="007809B3" w:rsidP="00B77D33">
            <w:pPr>
              <w:spacing w:after="120"/>
              <w:jc w:val="center"/>
              <w:rPr>
                <w:i/>
                <w:sz w:val="16"/>
                <w:szCs w:val="16"/>
                <w:u w:val="single"/>
              </w:rPr>
            </w:pPr>
          </w:p>
        </w:tc>
        <w:tc>
          <w:tcPr>
            <w:tcW w:w="4168" w:type="dxa"/>
          </w:tcPr>
          <w:p w14:paraId="00A05BAF" w14:textId="77777777" w:rsidR="007809B3" w:rsidRPr="00277A1D" w:rsidRDefault="007809B3" w:rsidP="00277A1D">
            <w:pPr>
              <w:numPr>
                <w:ilvl w:val="0"/>
                <w:numId w:val="2"/>
              </w:numPr>
              <w:ind w:left="224" w:hanging="180"/>
              <w:contextualSpacing/>
              <w:rPr>
                <w:sz w:val="16"/>
                <w:szCs w:val="16"/>
              </w:rPr>
            </w:pPr>
            <w:r w:rsidRPr="00277A1D">
              <w:rPr>
                <w:sz w:val="16"/>
                <w:szCs w:val="16"/>
              </w:rPr>
              <w:t>Balance of competitive, ruderal, and stress- tolerant organisms</w:t>
            </w:r>
          </w:p>
          <w:p w14:paraId="22EA02F2" w14:textId="77777777" w:rsidR="007809B3" w:rsidRPr="00277A1D" w:rsidRDefault="007809B3" w:rsidP="00277A1D">
            <w:pPr>
              <w:numPr>
                <w:ilvl w:val="0"/>
                <w:numId w:val="2"/>
              </w:numPr>
              <w:ind w:left="224" w:hanging="180"/>
              <w:contextualSpacing/>
              <w:rPr>
                <w:sz w:val="16"/>
                <w:szCs w:val="16"/>
              </w:rPr>
            </w:pPr>
            <w:r w:rsidRPr="00277A1D">
              <w:rPr>
                <w:sz w:val="16"/>
                <w:szCs w:val="16"/>
              </w:rPr>
              <w:t>Creation of sites for plant colonization</w:t>
            </w:r>
          </w:p>
          <w:p w14:paraId="067FC480" w14:textId="77777777" w:rsidR="007809B3" w:rsidRPr="00277A1D" w:rsidRDefault="007809B3" w:rsidP="00277A1D">
            <w:pPr>
              <w:numPr>
                <w:ilvl w:val="0"/>
                <w:numId w:val="2"/>
              </w:numPr>
              <w:ind w:left="224" w:hanging="180"/>
              <w:contextualSpacing/>
              <w:rPr>
                <w:sz w:val="16"/>
                <w:szCs w:val="16"/>
              </w:rPr>
            </w:pPr>
            <w:r w:rsidRPr="00277A1D">
              <w:rPr>
                <w:sz w:val="16"/>
                <w:szCs w:val="16"/>
              </w:rPr>
              <w:t>Structuring of aquatic ecosystems by abiotic vs. biotic factors</w:t>
            </w:r>
          </w:p>
          <w:p w14:paraId="6EA22585" w14:textId="77777777" w:rsidR="007809B3" w:rsidRPr="00277A1D" w:rsidRDefault="007809B3" w:rsidP="00277A1D">
            <w:pPr>
              <w:numPr>
                <w:ilvl w:val="0"/>
                <w:numId w:val="2"/>
              </w:numPr>
              <w:ind w:left="224" w:hanging="180"/>
              <w:contextualSpacing/>
              <w:rPr>
                <w:sz w:val="16"/>
                <w:szCs w:val="16"/>
              </w:rPr>
            </w:pPr>
            <w:r w:rsidRPr="00277A1D">
              <w:rPr>
                <w:sz w:val="16"/>
                <w:szCs w:val="16"/>
              </w:rPr>
              <w:t xml:space="preserve">Structuring of river channel morphology and physical habitat conditions </w:t>
            </w:r>
          </w:p>
          <w:p w14:paraId="5D865EA8" w14:textId="77777777" w:rsidR="007809B3" w:rsidRPr="00277A1D" w:rsidRDefault="007809B3" w:rsidP="00277A1D">
            <w:pPr>
              <w:numPr>
                <w:ilvl w:val="0"/>
                <w:numId w:val="2"/>
              </w:numPr>
              <w:ind w:left="224" w:hanging="180"/>
              <w:contextualSpacing/>
              <w:rPr>
                <w:sz w:val="16"/>
                <w:szCs w:val="16"/>
              </w:rPr>
            </w:pPr>
            <w:r w:rsidRPr="00277A1D">
              <w:rPr>
                <w:sz w:val="16"/>
                <w:szCs w:val="16"/>
              </w:rPr>
              <w:t>Soil moisture stress in plants Dehydration in animals</w:t>
            </w:r>
          </w:p>
          <w:p w14:paraId="06EA3484" w14:textId="77777777" w:rsidR="007809B3" w:rsidRPr="00277A1D" w:rsidRDefault="007809B3" w:rsidP="00277A1D">
            <w:pPr>
              <w:numPr>
                <w:ilvl w:val="0"/>
                <w:numId w:val="2"/>
              </w:numPr>
              <w:ind w:left="224" w:hanging="180"/>
              <w:contextualSpacing/>
              <w:rPr>
                <w:sz w:val="16"/>
                <w:szCs w:val="16"/>
              </w:rPr>
            </w:pPr>
            <w:r w:rsidRPr="00277A1D">
              <w:rPr>
                <w:sz w:val="16"/>
                <w:szCs w:val="16"/>
              </w:rPr>
              <w:t>Anaerobic stress in plants</w:t>
            </w:r>
          </w:p>
          <w:p w14:paraId="61ED6B7E" w14:textId="77777777" w:rsidR="007809B3" w:rsidRPr="00277A1D" w:rsidRDefault="007809B3" w:rsidP="00277A1D">
            <w:pPr>
              <w:numPr>
                <w:ilvl w:val="0"/>
                <w:numId w:val="2"/>
              </w:numPr>
              <w:ind w:left="224" w:hanging="180"/>
              <w:contextualSpacing/>
              <w:rPr>
                <w:sz w:val="16"/>
                <w:szCs w:val="16"/>
              </w:rPr>
            </w:pPr>
            <w:r w:rsidRPr="00277A1D">
              <w:rPr>
                <w:sz w:val="16"/>
                <w:szCs w:val="16"/>
              </w:rPr>
              <w:t>Volume of nutrient exchanges between rivers and floodplains</w:t>
            </w:r>
          </w:p>
          <w:p w14:paraId="6C419BCF" w14:textId="77777777" w:rsidR="007809B3" w:rsidRPr="00277A1D" w:rsidRDefault="007809B3" w:rsidP="00277A1D">
            <w:pPr>
              <w:numPr>
                <w:ilvl w:val="0"/>
                <w:numId w:val="2"/>
              </w:numPr>
              <w:ind w:left="224" w:hanging="180"/>
              <w:contextualSpacing/>
              <w:rPr>
                <w:sz w:val="16"/>
                <w:szCs w:val="16"/>
              </w:rPr>
            </w:pPr>
            <w:r w:rsidRPr="00277A1D">
              <w:rPr>
                <w:sz w:val="16"/>
                <w:szCs w:val="16"/>
              </w:rPr>
              <w:t>Duration of stressful conditions such as low oxygen and concentrated chemicals in aquatic environments</w:t>
            </w:r>
          </w:p>
          <w:p w14:paraId="2C0348A4" w14:textId="77777777" w:rsidR="007809B3" w:rsidRPr="00277A1D" w:rsidRDefault="007809B3" w:rsidP="00277A1D">
            <w:pPr>
              <w:numPr>
                <w:ilvl w:val="0"/>
                <w:numId w:val="2"/>
              </w:numPr>
              <w:ind w:left="224" w:hanging="180"/>
              <w:contextualSpacing/>
              <w:rPr>
                <w:sz w:val="16"/>
                <w:szCs w:val="16"/>
              </w:rPr>
            </w:pPr>
            <w:r w:rsidRPr="00277A1D">
              <w:rPr>
                <w:sz w:val="16"/>
                <w:szCs w:val="16"/>
              </w:rPr>
              <w:t>Distribution of plant communities in lakes, ponds, floodplains</w:t>
            </w:r>
          </w:p>
          <w:p w14:paraId="1506798C" w14:textId="77777777" w:rsidR="007809B3" w:rsidRPr="00277A1D" w:rsidRDefault="007809B3" w:rsidP="00277A1D">
            <w:pPr>
              <w:numPr>
                <w:ilvl w:val="0"/>
                <w:numId w:val="2"/>
              </w:numPr>
              <w:ind w:left="224" w:hanging="180"/>
              <w:contextualSpacing/>
              <w:rPr>
                <w:sz w:val="16"/>
                <w:szCs w:val="16"/>
              </w:rPr>
            </w:pPr>
            <w:r w:rsidRPr="00277A1D">
              <w:rPr>
                <w:sz w:val="16"/>
                <w:szCs w:val="16"/>
              </w:rPr>
              <w:t>Duration of high flows for waste disposal, aeration of spawning beds in channel sediments</w:t>
            </w:r>
          </w:p>
        </w:tc>
      </w:tr>
      <w:tr w:rsidR="007809B3" w:rsidRPr="00277A1D" w14:paraId="4138CBBD" w14:textId="77777777" w:rsidTr="00B77D33">
        <w:trPr>
          <w:trHeight w:val="1710"/>
        </w:trPr>
        <w:tc>
          <w:tcPr>
            <w:tcW w:w="1998" w:type="dxa"/>
          </w:tcPr>
          <w:p w14:paraId="564F24B0" w14:textId="2A2F51CF" w:rsidR="007809B3" w:rsidRPr="00277A1D" w:rsidRDefault="00B77D33" w:rsidP="00B77D33">
            <w:pPr>
              <w:spacing w:after="120"/>
              <w:jc w:val="center"/>
              <w:rPr>
                <w:sz w:val="16"/>
                <w:szCs w:val="16"/>
              </w:rPr>
            </w:pPr>
            <w:r>
              <w:rPr>
                <w:sz w:val="16"/>
                <w:szCs w:val="16"/>
              </w:rPr>
              <w:t>2</w:t>
            </w:r>
            <w:r w:rsidR="007809B3" w:rsidRPr="00277A1D">
              <w:rPr>
                <w:sz w:val="16"/>
                <w:szCs w:val="16"/>
              </w:rPr>
              <w:t>. Environmental Flow Components (EFCs) Parameters – Monthly low flows</w:t>
            </w:r>
          </w:p>
          <w:p w14:paraId="353F6A40" w14:textId="77777777" w:rsidR="007809B3" w:rsidRPr="00277A1D" w:rsidRDefault="007809B3" w:rsidP="00B77D33">
            <w:pPr>
              <w:spacing w:after="120"/>
              <w:jc w:val="center"/>
              <w:rPr>
                <w:b/>
                <w:bCs/>
                <w:sz w:val="16"/>
                <w:szCs w:val="16"/>
              </w:rPr>
            </w:pPr>
            <w:r w:rsidRPr="00277A1D">
              <w:rPr>
                <w:b/>
                <w:i/>
                <w:sz w:val="16"/>
                <w:szCs w:val="16"/>
              </w:rPr>
              <w:t>(12 parameters)</w:t>
            </w:r>
          </w:p>
        </w:tc>
        <w:tc>
          <w:tcPr>
            <w:tcW w:w="3420" w:type="dxa"/>
          </w:tcPr>
          <w:p w14:paraId="5CDBEBD2" w14:textId="77777777" w:rsidR="007809B3" w:rsidRPr="00277A1D" w:rsidRDefault="007809B3" w:rsidP="00B77D33">
            <w:pPr>
              <w:spacing w:after="120"/>
              <w:jc w:val="center"/>
              <w:rPr>
                <w:sz w:val="16"/>
                <w:szCs w:val="16"/>
              </w:rPr>
            </w:pPr>
            <w:r w:rsidRPr="00277A1D">
              <w:rPr>
                <w:sz w:val="16"/>
                <w:szCs w:val="16"/>
              </w:rPr>
              <w:t>Mean values of low flows during each calendar month</w:t>
            </w:r>
          </w:p>
          <w:p w14:paraId="7BF2B792" w14:textId="77777777" w:rsidR="007809B3" w:rsidRPr="00277A1D" w:rsidRDefault="007809B3" w:rsidP="00B77D33">
            <w:pPr>
              <w:spacing w:after="120"/>
              <w:jc w:val="center"/>
              <w:rPr>
                <w:sz w:val="16"/>
                <w:szCs w:val="16"/>
              </w:rPr>
            </w:pPr>
          </w:p>
          <w:p w14:paraId="2979458A" w14:textId="77777777" w:rsidR="007809B3" w:rsidRPr="00277A1D" w:rsidRDefault="007809B3" w:rsidP="00B77D33">
            <w:pPr>
              <w:spacing w:after="120"/>
              <w:jc w:val="center"/>
              <w:rPr>
                <w:i/>
                <w:sz w:val="16"/>
                <w:szCs w:val="16"/>
                <w:u w:val="single"/>
              </w:rPr>
            </w:pPr>
          </w:p>
          <w:p w14:paraId="2C6D8F62" w14:textId="77777777" w:rsidR="007809B3" w:rsidRPr="00277A1D" w:rsidRDefault="007809B3" w:rsidP="00B77D33">
            <w:pPr>
              <w:spacing w:after="120"/>
              <w:jc w:val="center"/>
              <w:rPr>
                <w:i/>
                <w:sz w:val="16"/>
                <w:szCs w:val="16"/>
                <w:u w:val="single"/>
              </w:rPr>
            </w:pPr>
          </w:p>
          <w:p w14:paraId="02226AB0" w14:textId="77777777" w:rsidR="007809B3" w:rsidRPr="00277A1D" w:rsidRDefault="007809B3" w:rsidP="00B77D33">
            <w:pPr>
              <w:spacing w:after="120"/>
              <w:jc w:val="center"/>
              <w:rPr>
                <w:i/>
                <w:sz w:val="16"/>
                <w:szCs w:val="16"/>
                <w:u w:val="single"/>
              </w:rPr>
            </w:pPr>
          </w:p>
        </w:tc>
        <w:tc>
          <w:tcPr>
            <w:tcW w:w="4168" w:type="dxa"/>
          </w:tcPr>
          <w:p w14:paraId="7D638B5F" w14:textId="77777777" w:rsidR="007809B3" w:rsidRPr="00277A1D" w:rsidRDefault="007809B3" w:rsidP="00277A1D">
            <w:pPr>
              <w:numPr>
                <w:ilvl w:val="0"/>
                <w:numId w:val="2"/>
              </w:numPr>
              <w:ind w:left="224" w:hanging="180"/>
              <w:contextualSpacing/>
              <w:rPr>
                <w:sz w:val="16"/>
                <w:szCs w:val="16"/>
              </w:rPr>
            </w:pPr>
            <w:r w:rsidRPr="00277A1D">
              <w:rPr>
                <w:sz w:val="16"/>
                <w:szCs w:val="16"/>
              </w:rPr>
              <w:t>Provide adequate habitat for aquatic organisms</w:t>
            </w:r>
          </w:p>
          <w:p w14:paraId="6EE6A682" w14:textId="77777777" w:rsidR="007809B3" w:rsidRPr="00277A1D" w:rsidRDefault="007809B3" w:rsidP="00277A1D">
            <w:pPr>
              <w:numPr>
                <w:ilvl w:val="0"/>
                <w:numId w:val="2"/>
              </w:numPr>
              <w:ind w:left="224" w:hanging="180"/>
              <w:contextualSpacing/>
              <w:rPr>
                <w:sz w:val="16"/>
                <w:szCs w:val="16"/>
              </w:rPr>
            </w:pPr>
            <w:r w:rsidRPr="00277A1D">
              <w:rPr>
                <w:sz w:val="16"/>
                <w:szCs w:val="16"/>
              </w:rPr>
              <w:t>Maintain suitable water temperatures, dissolved oxygen, and water chemistry</w:t>
            </w:r>
          </w:p>
          <w:p w14:paraId="218EC8D5" w14:textId="77777777" w:rsidR="007809B3" w:rsidRPr="00277A1D" w:rsidRDefault="007809B3" w:rsidP="00277A1D">
            <w:pPr>
              <w:numPr>
                <w:ilvl w:val="0"/>
                <w:numId w:val="2"/>
              </w:numPr>
              <w:ind w:left="224" w:hanging="180"/>
              <w:contextualSpacing/>
              <w:rPr>
                <w:sz w:val="16"/>
                <w:szCs w:val="16"/>
              </w:rPr>
            </w:pPr>
            <w:r w:rsidRPr="00277A1D">
              <w:rPr>
                <w:sz w:val="16"/>
                <w:szCs w:val="16"/>
              </w:rPr>
              <w:t>Maintain water table levels in floodplain, soil moisture for plants</w:t>
            </w:r>
          </w:p>
          <w:p w14:paraId="7DBB53BD" w14:textId="77777777" w:rsidR="007809B3" w:rsidRPr="00277A1D" w:rsidRDefault="007809B3" w:rsidP="00277A1D">
            <w:pPr>
              <w:numPr>
                <w:ilvl w:val="0"/>
                <w:numId w:val="2"/>
              </w:numPr>
              <w:ind w:left="224" w:hanging="180"/>
              <w:contextualSpacing/>
              <w:rPr>
                <w:sz w:val="16"/>
                <w:szCs w:val="16"/>
              </w:rPr>
            </w:pPr>
            <w:r w:rsidRPr="00277A1D">
              <w:rPr>
                <w:sz w:val="16"/>
                <w:szCs w:val="16"/>
              </w:rPr>
              <w:t>Provide drinking water for terrestrial animals</w:t>
            </w:r>
          </w:p>
          <w:p w14:paraId="16887AFD" w14:textId="77777777" w:rsidR="007809B3" w:rsidRPr="00277A1D" w:rsidRDefault="007809B3" w:rsidP="00277A1D">
            <w:pPr>
              <w:numPr>
                <w:ilvl w:val="0"/>
                <w:numId w:val="2"/>
              </w:numPr>
              <w:ind w:left="224" w:hanging="180"/>
              <w:contextualSpacing/>
              <w:rPr>
                <w:sz w:val="16"/>
                <w:szCs w:val="16"/>
              </w:rPr>
            </w:pPr>
            <w:r w:rsidRPr="00277A1D">
              <w:rPr>
                <w:sz w:val="16"/>
                <w:szCs w:val="16"/>
              </w:rPr>
              <w:t>Keep fish and amphibian eggs suspended</w:t>
            </w:r>
          </w:p>
          <w:p w14:paraId="0CE3032C" w14:textId="77777777" w:rsidR="007809B3" w:rsidRPr="00277A1D" w:rsidRDefault="007809B3" w:rsidP="00277A1D">
            <w:pPr>
              <w:numPr>
                <w:ilvl w:val="0"/>
                <w:numId w:val="2"/>
              </w:numPr>
              <w:ind w:left="224" w:hanging="180"/>
              <w:contextualSpacing/>
              <w:rPr>
                <w:sz w:val="16"/>
                <w:szCs w:val="16"/>
              </w:rPr>
            </w:pPr>
            <w:r w:rsidRPr="00277A1D">
              <w:rPr>
                <w:sz w:val="16"/>
                <w:szCs w:val="16"/>
              </w:rPr>
              <w:t>Enable fish to move to feeding and spawning areas</w:t>
            </w:r>
          </w:p>
          <w:p w14:paraId="7BFD587E" w14:textId="77777777" w:rsidR="007809B3" w:rsidRPr="00277A1D" w:rsidRDefault="007809B3" w:rsidP="00277A1D">
            <w:pPr>
              <w:numPr>
                <w:ilvl w:val="0"/>
                <w:numId w:val="2"/>
              </w:numPr>
              <w:ind w:left="224" w:hanging="180"/>
              <w:contextualSpacing/>
              <w:rPr>
                <w:sz w:val="16"/>
                <w:szCs w:val="16"/>
              </w:rPr>
            </w:pPr>
            <w:r w:rsidRPr="00277A1D">
              <w:rPr>
                <w:sz w:val="16"/>
                <w:szCs w:val="16"/>
              </w:rPr>
              <w:t>Support hyporheic organisms (living in saturated sediments)</w:t>
            </w:r>
          </w:p>
        </w:tc>
      </w:tr>
    </w:tbl>
    <w:p w14:paraId="5D048663" w14:textId="16F518A8" w:rsidR="007809B3" w:rsidRDefault="007809B3" w:rsidP="00277A1D">
      <w:pPr>
        <w:spacing w:line="240" w:lineRule="auto"/>
        <w:rPr>
          <w:rFonts w:ascii="Times New Roman" w:hAnsi="Times New Roman" w:cs="Times New Roman"/>
        </w:rPr>
      </w:pPr>
    </w:p>
    <w:p w14:paraId="7867439A" w14:textId="77777777" w:rsidR="005F1DEC" w:rsidRPr="00277A1D" w:rsidRDefault="005F1DEC" w:rsidP="005F1DEC">
      <w:pPr>
        <w:spacing w:line="240" w:lineRule="auto"/>
        <w:jc w:val="center"/>
        <w:rPr>
          <w:rFonts w:ascii="Times New Roman" w:hAnsi="Times New Roman" w:cs="Times New Roman"/>
          <w:sz w:val="20"/>
        </w:rPr>
      </w:pPr>
      <w:r w:rsidRPr="00277A1D">
        <w:rPr>
          <w:rFonts w:ascii="Times New Roman" w:hAnsi="Times New Roman" w:cs="Times New Roman"/>
          <w:sz w:val="20"/>
        </w:rPr>
        <w:t xml:space="preserve">Table </w:t>
      </w:r>
      <w:r>
        <w:rPr>
          <w:rFonts w:ascii="Times New Roman" w:hAnsi="Times New Roman" w:cs="Times New Roman"/>
          <w:sz w:val="20"/>
        </w:rPr>
        <w:t>S2</w:t>
      </w:r>
      <w:r w:rsidRPr="00277A1D">
        <w:rPr>
          <w:rFonts w:ascii="Times New Roman" w:hAnsi="Times New Roman" w:cs="Times New Roman"/>
          <w:sz w:val="20"/>
        </w:rPr>
        <w:t>. Model performance before and after calibration of monthly LAI and ET in SWAT. Values between parenthesis () represent model’s performance under its default settings</w:t>
      </w:r>
    </w:p>
    <w:tbl>
      <w:tblPr>
        <w:tblStyle w:val="ListTable6Colorful"/>
        <w:tblW w:w="10504" w:type="dxa"/>
        <w:jc w:val="center"/>
        <w:tblLook w:val="04A0" w:firstRow="1" w:lastRow="0" w:firstColumn="1" w:lastColumn="0" w:noHBand="0" w:noVBand="1"/>
      </w:tblPr>
      <w:tblGrid>
        <w:gridCol w:w="2805"/>
        <w:gridCol w:w="2030"/>
        <w:gridCol w:w="1799"/>
        <w:gridCol w:w="2072"/>
        <w:gridCol w:w="1798"/>
      </w:tblGrid>
      <w:tr w:rsidR="005F1DEC" w:rsidRPr="00277A1D" w14:paraId="065CA451" w14:textId="77777777" w:rsidTr="009452A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2C9967DA" w14:textId="77777777" w:rsidR="005F1DEC" w:rsidRPr="00277A1D" w:rsidRDefault="005F1DEC" w:rsidP="009452AC">
            <w:pPr>
              <w:rPr>
                <w:rFonts w:ascii="Times New Roman" w:eastAsia="Times New Roman" w:hAnsi="Times New Roman" w:cs="Times New Roman"/>
                <w:b w:val="0"/>
                <w:color w:val="000000"/>
                <w:sz w:val="20"/>
                <w:szCs w:val="20"/>
              </w:rPr>
            </w:pPr>
          </w:p>
        </w:tc>
        <w:tc>
          <w:tcPr>
            <w:tcW w:w="3829" w:type="dxa"/>
            <w:gridSpan w:val="2"/>
            <w:shd w:val="clear" w:color="auto" w:fill="auto"/>
            <w:noWrap/>
            <w:vAlign w:val="center"/>
            <w:hideMark/>
          </w:tcPr>
          <w:p w14:paraId="1431E83F" w14:textId="77777777" w:rsidR="005F1DEC" w:rsidRPr="00277A1D" w:rsidRDefault="005F1DEC" w:rsidP="009452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rPr>
            </w:pPr>
            <w:r w:rsidRPr="00277A1D">
              <w:rPr>
                <w:rFonts w:ascii="Times New Roman" w:eastAsia="Times New Roman" w:hAnsi="Times New Roman" w:cs="Times New Roman"/>
                <w:b w:val="0"/>
                <w:color w:val="000000"/>
                <w:sz w:val="20"/>
                <w:szCs w:val="20"/>
              </w:rPr>
              <w:t>Upper Santa Fe</w:t>
            </w:r>
          </w:p>
        </w:tc>
        <w:tc>
          <w:tcPr>
            <w:tcW w:w="3870" w:type="dxa"/>
            <w:gridSpan w:val="2"/>
            <w:shd w:val="clear" w:color="auto" w:fill="auto"/>
            <w:noWrap/>
            <w:vAlign w:val="center"/>
            <w:hideMark/>
          </w:tcPr>
          <w:p w14:paraId="59A76864" w14:textId="77777777" w:rsidR="005F1DEC" w:rsidRPr="00277A1D" w:rsidRDefault="005F1DEC" w:rsidP="009452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0"/>
                <w:szCs w:val="20"/>
              </w:rPr>
            </w:pPr>
            <w:r w:rsidRPr="00277A1D">
              <w:rPr>
                <w:rFonts w:ascii="Times New Roman" w:eastAsia="Times New Roman" w:hAnsi="Times New Roman" w:cs="Times New Roman"/>
                <w:b w:val="0"/>
                <w:color w:val="000000"/>
                <w:sz w:val="20"/>
                <w:szCs w:val="20"/>
              </w:rPr>
              <w:t>Upatoi Creek</w:t>
            </w:r>
          </w:p>
        </w:tc>
      </w:tr>
      <w:tr w:rsidR="005F1DEC" w:rsidRPr="00277A1D" w14:paraId="685DF71C" w14:textId="77777777" w:rsidTr="009452A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2B185EB1" w14:textId="77777777" w:rsidR="005F1DEC" w:rsidRPr="00277A1D" w:rsidRDefault="005F1DEC" w:rsidP="009452AC">
            <w:pPr>
              <w:jc w:val="center"/>
              <w:rPr>
                <w:rFonts w:ascii="Times New Roman" w:eastAsia="Times New Roman" w:hAnsi="Times New Roman" w:cs="Times New Roman"/>
                <w:b w:val="0"/>
                <w:color w:val="000000"/>
                <w:sz w:val="20"/>
                <w:szCs w:val="20"/>
              </w:rPr>
            </w:pPr>
          </w:p>
        </w:tc>
        <w:tc>
          <w:tcPr>
            <w:tcW w:w="2030" w:type="dxa"/>
            <w:shd w:val="clear" w:color="auto" w:fill="auto"/>
            <w:noWrap/>
            <w:vAlign w:val="center"/>
            <w:hideMark/>
          </w:tcPr>
          <w:p w14:paraId="60F566AB"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Loblolly pine</w:t>
            </w:r>
          </w:p>
        </w:tc>
        <w:tc>
          <w:tcPr>
            <w:tcW w:w="1799" w:type="dxa"/>
            <w:shd w:val="clear" w:color="auto" w:fill="auto"/>
            <w:noWrap/>
            <w:vAlign w:val="center"/>
            <w:hideMark/>
          </w:tcPr>
          <w:p w14:paraId="41709B11"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Slash pine</w:t>
            </w:r>
          </w:p>
        </w:tc>
        <w:tc>
          <w:tcPr>
            <w:tcW w:w="2072" w:type="dxa"/>
            <w:shd w:val="clear" w:color="auto" w:fill="auto"/>
            <w:noWrap/>
            <w:vAlign w:val="center"/>
            <w:hideMark/>
          </w:tcPr>
          <w:p w14:paraId="17F9B910"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Loblolly pine</w:t>
            </w:r>
          </w:p>
        </w:tc>
        <w:tc>
          <w:tcPr>
            <w:tcW w:w="1797" w:type="dxa"/>
            <w:shd w:val="clear" w:color="auto" w:fill="auto"/>
            <w:noWrap/>
            <w:vAlign w:val="center"/>
            <w:hideMark/>
          </w:tcPr>
          <w:p w14:paraId="623D6524"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Slash pine</w:t>
            </w:r>
          </w:p>
        </w:tc>
      </w:tr>
      <w:tr w:rsidR="005F1DEC" w:rsidRPr="00277A1D" w14:paraId="4419C53A" w14:textId="77777777" w:rsidTr="009452AC">
        <w:trPr>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77DDCFA0" w14:textId="77777777" w:rsidR="005F1DEC" w:rsidRPr="00277A1D" w:rsidRDefault="005F1DEC" w:rsidP="009452AC">
            <w:pPr>
              <w:jc w:val="center"/>
              <w:rPr>
                <w:rFonts w:ascii="Times New Roman" w:eastAsia="Times New Roman" w:hAnsi="Times New Roman" w:cs="Times New Roman"/>
                <w:b w:val="0"/>
                <w:color w:val="000000"/>
                <w:sz w:val="20"/>
                <w:szCs w:val="20"/>
              </w:rPr>
            </w:pPr>
            <w:r w:rsidRPr="00277A1D">
              <w:rPr>
                <w:rFonts w:ascii="Times New Roman" w:eastAsia="Times New Roman" w:hAnsi="Times New Roman" w:cs="Times New Roman"/>
                <w:b w:val="0"/>
                <w:color w:val="000000"/>
                <w:sz w:val="20"/>
                <w:szCs w:val="20"/>
              </w:rPr>
              <w:t>Monthly LAI</w:t>
            </w:r>
          </w:p>
        </w:tc>
        <w:tc>
          <w:tcPr>
            <w:tcW w:w="2030" w:type="dxa"/>
            <w:shd w:val="clear" w:color="auto" w:fill="auto"/>
            <w:noWrap/>
            <w:vAlign w:val="center"/>
            <w:hideMark/>
          </w:tcPr>
          <w:p w14:paraId="137320E4"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799" w:type="dxa"/>
            <w:shd w:val="clear" w:color="auto" w:fill="auto"/>
            <w:noWrap/>
            <w:vAlign w:val="center"/>
            <w:hideMark/>
          </w:tcPr>
          <w:p w14:paraId="42C196BB"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72" w:type="dxa"/>
            <w:shd w:val="clear" w:color="auto" w:fill="auto"/>
            <w:noWrap/>
            <w:vAlign w:val="center"/>
            <w:hideMark/>
          </w:tcPr>
          <w:p w14:paraId="17C05DDA"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797" w:type="dxa"/>
            <w:shd w:val="clear" w:color="auto" w:fill="auto"/>
            <w:noWrap/>
            <w:vAlign w:val="center"/>
            <w:hideMark/>
          </w:tcPr>
          <w:p w14:paraId="49DD2679"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5F1DEC" w:rsidRPr="00277A1D" w14:paraId="5957B3BF" w14:textId="77777777" w:rsidTr="009452A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2BB010AC" w14:textId="77777777" w:rsidR="005F1DEC" w:rsidRPr="00277A1D" w:rsidRDefault="005F1DEC" w:rsidP="009452AC">
            <w:pPr>
              <w:jc w:val="center"/>
              <w:rPr>
                <w:rFonts w:ascii="Times New Roman" w:eastAsia="Times New Roman" w:hAnsi="Times New Roman" w:cs="Times New Roman"/>
                <w:b w:val="0"/>
                <w:color w:val="000000"/>
                <w:sz w:val="20"/>
                <w:szCs w:val="20"/>
              </w:rPr>
            </w:pPr>
            <w:r w:rsidRPr="00277A1D">
              <w:rPr>
                <w:rFonts w:ascii="Times New Roman" w:eastAsia="Times New Roman" w:hAnsi="Times New Roman" w:cs="Times New Roman"/>
                <w:b w:val="0"/>
                <w:color w:val="000000"/>
                <w:sz w:val="20"/>
                <w:szCs w:val="20"/>
              </w:rPr>
              <w:t>R2</w:t>
            </w:r>
          </w:p>
        </w:tc>
        <w:tc>
          <w:tcPr>
            <w:tcW w:w="2030" w:type="dxa"/>
            <w:shd w:val="clear" w:color="auto" w:fill="auto"/>
            <w:noWrap/>
            <w:vAlign w:val="center"/>
            <w:hideMark/>
          </w:tcPr>
          <w:p w14:paraId="1C7C5EB8"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0.48 (0.29)</w:t>
            </w:r>
          </w:p>
        </w:tc>
        <w:tc>
          <w:tcPr>
            <w:tcW w:w="1799" w:type="dxa"/>
            <w:shd w:val="clear" w:color="auto" w:fill="auto"/>
            <w:noWrap/>
            <w:vAlign w:val="center"/>
            <w:hideMark/>
          </w:tcPr>
          <w:p w14:paraId="6A4A7037"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0.21 (0.25)</w:t>
            </w:r>
          </w:p>
        </w:tc>
        <w:tc>
          <w:tcPr>
            <w:tcW w:w="2072" w:type="dxa"/>
            <w:shd w:val="clear" w:color="auto" w:fill="auto"/>
            <w:noWrap/>
            <w:vAlign w:val="center"/>
            <w:hideMark/>
          </w:tcPr>
          <w:p w14:paraId="44BFD0BC"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0.66 (0.42)</w:t>
            </w:r>
          </w:p>
        </w:tc>
        <w:tc>
          <w:tcPr>
            <w:tcW w:w="1797" w:type="dxa"/>
            <w:shd w:val="clear" w:color="auto" w:fill="auto"/>
            <w:noWrap/>
            <w:vAlign w:val="center"/>
            <w:hideMark/>
          </w:tcPr>
          <w:p w14:paraId="0DB7A593"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0.2 (0.27)</w:t>
            </w:r>
          </w:p>
        </w:tc>
      </w:tr>
      <w:tr w:rsidR="005F1DEC" w:rsidRPr="00277A1D" w14:paraId="34717170" w14:textId="77777777" w:rsidTr="009452AC">
        <w:trPr>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14977AD5" w14:textId="77777777" w:rsidR="005F1DEC" w:rsidRPr="00277A1D" w:rsidRDefault="005F1DEC" w:rsidP="009452AC">
            <w:pPr>
              <w:jc w:val="center"/>
              <w:rPr>
                <w:rFonts w:ascii="Times New Roman" w:eastAsia="Times New Roman" w:hAnsi="Times New Roman" w:cs="Times New Roman"/>
                <w:b w:val="0"/>
                <w:color w:val="000000"/>
                <w:sz w:val="20"/>
                <w:szCs w:val="20"/>
              </w:rPr>
            </w:pPr>
            <w:r w:rsidRPr="00277A1D">
              <w:rPr>
                <w:rFonts w:ascii="Times New Roman" w:eastAsia="Times New Roman" w:hAnsi="Times New Roman" w:cs="Times New Roman"/>
                <w:b w:val="0"/>
                <w:color w:val="000000"/>
                <w:sz w:val="20"/>
                <w:szCs w:val="20"/>
              </w:rPr>
              <w:t>NSE</w:t>
            </w:r>
          </w:p>
        </w:tc>
        <w:tc>
          <w:tcPr>
            <w:tcW w:w="2030" w:type="dxa"/>
            <w:shd w:val="clear" w:color="auto" w:fill="auto"/>
            <w:noWrap/>
            <w:vAlign w:val="center"/>
            <w:hideMark/>
          </w:tcPr>
          <w:p w14:paraId="12500C0F"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0.32 (-5)</w:t>
            </w:r>
          </w:p>
        </w:tc>
        <w:tc>
          <w:tcPr>
            <w:tcW w:w="1799" w:type="dxa"/>
            <w:shd w:val="clear" w:color="auto" w:fill="auto"/>
            <w:noWrap/>
            <w:vAlign w:val="center"/>
            <w:hideMark/>
          </w:tcPr>
          <w:p w14:paraId="23EB444A"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-0.37 (-3)</w:t>
            </w:r>
          </w:p>
        </w:tc>
        <w:tc>
          <w:tcPr>
            <w:tcW w:w="2072" w:type="dxa"/>
            <w:shd w:val="clear" w:color="auto" w:fill="auto"/>
            <w:noWrap/>
            <w:vAlign w:val="center"/>
            <w:hideMark/>
          </w:tcPr>
          <w:p w14:paraId="13A77E23"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0.65 (-0.74)</w:t>
            </w:r>
          </w:p>
        </w:tc>
        <w:tc>
          <w:tcPr>
            <w:tcW w:w="1797" w:type="dxa"/>
            <w:shd w:val="clear" w:color="auto" w:fill="auto"/>
            <w:noWrap/>
            <w:vAlign w:val="center"/>
            <w:hideMark/>
          </w:tcPr>
          <w:p w14:paraId="1B9EC17C"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-3.1 (-0.56)</w:t>
            </w:r>
          </w:p>
        </w:tc>
      </w:tr>
      <w:tr w:rsidR="005F1DEC" w:rsidRPr="00277A1D" w14:paraId="65E9EAA1" w14:textId="77777777" w:rsidTr="009452A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7F19A2C9" w14:textId="77777777" w:rsidR="005F1DEC" w:rsidRPr="00277A1D" w:rsidRDefault="005F1DEC" w:rsidP="009452AC">
            <w:pPr>
              <w:jc w:val="center"/>
              <w:rPr>
                <w:rFonts w:ascii="Times New Roman" w:eastAsia="Times New Roman" w:hAnsi="Times New Roman" w:cs="Times New Roman"/>
                <w:b w:val="0"/>
                <w:color w:val="000000"/>
                <w:sz w:val="20"/>
                <w:szCs w:val="20"/>
              </w:rPr>
            </w:pPr>
            <w:r w:rsidRPr="00277A1D">
              <w:rPr>
                <w:rFonts w:ascii="Times New Roman" w:eastAsia="Times New Roman" w:hAnsi="Times New Roman" w:cs="Times New Roman"/>
                <w:b w:val="0"/>
                <w:color w:val="000000"/>
                <w:sz w:val="20"/>
                <w:szCs w:val="20"/>
              </w:rPr>
              <w:t>PBIAS %</w:t>
            </w:r>
          </w:p>
        </w:tc>
        <w:tc>
          <w:tcPr>
            <w:tcW w:w="2030" w:type="dxa"/>
            <w:shd w:val="clear" w:color="auto" w:fill="auto"/>
            <w:noWrap/>
            <w:vAlign w:val="center"/>
            <w:hideMark/>
          </w:tcPr>
          <w:p w14:paraId="1586F5B4"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7 (-38)</w:t>
            </w:r>
          </w:p>
        </w:tc>
        <w:tc>
          <w:tcPr>
            <w:tcW w:w="1799" w:type="dxa"/>
            <w:shd w:val="clear" w:color="auto" w:fill="auto"/>
            <w:noWrap/>
            <w:vAlign w:val="center"/>
            <w:hideMark/>
          </w:tcPr>
          <w:p w14:paraId="758CB774"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-16 (33)</w:t>
            </w:r>
          </w:p>
        </w:tc>
        <w:tc>
          <w:tcPr>
            <w:tcW w:w="2072" w:type="dxa"/>
            <w:shd w:val="clear" w:color="auto" w:fill="auto"/>
            <w:noWrap/>
            <w:vAlign w:val="center"/>
            <w:hideMark/>
          </w:tcPr>
          <w:p w14:paraId="3266DEC5"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3.9 (-38)</w:t>
            </w:r>
          </w:p>
        </w:tc>
        <w:tc>
          <w:tcPr>
            <w:tcW w:w="1797" w:type="dxa"/>
            <w:shd w:val="clear" w:color="auto" w:fill="auto"/>
            <w:noWrap/>
            <w:vAlign w:val="center"/>
            <w:hideMark/>
          </w:tcPr>
          <w:p w14:paraId="2F7CE856"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-82.4 (-8.2)</w:t>
            </w:r>
          </w:p>
        </w:tc>
      </w:tr>
      <w:tr w:rsidR="005F1DEC" w:rsidRPr="00277A1D" w14:paraId="6C1AA0D8" w14:textId="77777777" w:rsidTr="009452AC">
        <w:trPr>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59DB15F4" w14:textId="77777777" w:rsidR="005F1DEC" w:rsidRPr="00277A1D" w:rsidRDefault="005F1DEC" w:rsidP="009452AC">
            <w:pPr>
              <w:jc w:val="center"/>
              <w:rPr>
                <w:rFonts w:ascii="Times New Roman" w:eastAsia="Times New Roman" w:hAnsi="Times New Roman" w:cs="Times New Roman"/>
                <w:b w:val="0"/>
                <w:color w:val="000000"/>
                <w:sz w:val="20"/>
                <w:szCs w:val="20"/>
              </w:rPr>
            </w:pPr>
            <w:r w:rsidRPr="00277A1D">
              <w:rPr>
                <w:rFonts w:ascii="Times New Roman" w:eastAsia="Times New Roman" w:hAnsi="Times New Roman" w:cs="Times New Roman"/>
                <w:b w:val="0"/>
                <w:color w:val="000000"/>
                <w:sz w:val="20"/>
                <w:szCs w:val="20"/>
              </w:rPr>
              <w:t>RMSE</w:t>
            </w:r>
          </w:p>
        </w:tc>
        <w:tc>
          <w:tcPr>
            <w:tcW w:w="2030" w:type="dxa"/>
            <w:shd w:val="clear" w:color="auto" w:fill="auto"/>
            <w:noWrap/>
            <w:vAlign w:val="center"/>
            <w:hideMark/>
          </w:tcPr>
          <w:p w14:paraId="44E607F5"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0.52 (1.55)</w:t>
            </w:r>
          </w:p>
        </w:tc>
        <w:tc>
          <w:tcPr>
            <w:tcW w:w="1799" w:type="dxa"/>
            <w:shd w:val="clear" w:color="auto" w:fill="auto"/>
            <w:noWrap/>
            <w:vAlign w:val="center"/>
            <w:hideMark/>
          </w:tcPr>
          <w:p w14:paraId="47CC256F"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1.15 (2)</w:t>
            </w:r>
          </w:p>
        </w:tc>
        <w:tc>
          <w:tcPr>
            <w:tcW w:w="2072" w:type="dxa"/>
            <w:shd w:val="clear" w:color="auto" w:fill="auto"/>
            <w:noWrap/>
            <w:vAlign w:val="center"/>
            <w:hideMark/>
          </w:tcPr>
          <w:p w14:paraId="7DC4EE95"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0.58 (1.3)</w:t>
            </w:r>
          </w:p>
        </w:tc>
        <w:tc>
          <w:tcPr>
            <w:tcW w:w="1797" w:type="dxa"/>
            <w:shd w:val="clear" w:color="auto" w:fill="auto"/>
            <w:noWrap/>
            <w:vAlign w:val="center"/>
            <w:hideMark/>
          </w:tcPr>
          <w:p w14:paraId="0701D37A"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2.3 (1.4)</w:t>
            </w:r>
          </w:p>
        </w:tc>
      </w:tr>
      <w:tr w:rsidR="005F1DEC" w:rsidRPr="00277A1D" w14:paraId="02932A28" w14:textId="77777777" w:rsidTr="009452A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54998125" w14:textId="77777777" w:rsidR="005F1DEC" w:rsidRPr="00277A1D" w:rsidRDefault="005F1DEC" w:rsidP="009452AC">
            <w:pPr>
              <w:jc w:val="center"/>
              <w:rPr>
                <w:rFonts w:ascii="Times New Roman" w:eastAsia="Times New Roman" w:hAnsi="Times New Roman" w:cs="Times New Roman"/>
                <w:b w:val="0"/>
                <w:color w:val="000000"/>
                <w:sz w:val="20"/>
                <w:szCs w:val="20"/>
              </w:rPr>
            </w:pPr>
          </w:p>
        </w:tc>
        <w:tc>
          <w:tcPr>
            <w:tcW w:w="2030" w:type="dxa"/>
            <w:shd w:val="clear" w:color="auto" w:fill="auto"/>
            <w:noWrap/>
            <w:vAlign w:val="center"/>
            <w:hideMark/>
          </w:tcPr>
          <w:p w14:paraId="1FFC39E4"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799" w:type="dxa"/>
            <w:shd w:val="clear" w:color="auto" w:fill="auto"/>
            <w:noWrap/>
            <w:vAlign w:val="center"/>
            <w:hideMark/>
          </w:tcPr>
          <w:p w14:paraId="2A45A450"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2072" w:type="dxa"/>
            <w:shd w:val="clear" w:color="auto" w:fill="auto"/>
            <w:noWrap/>
            <w:vAlign w:val="center"/>
            <w:hideMark/>
          </w:tcPr>
          <w:p w14:paraId="4CBD6BA6"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797" w:type="dxa"/>
            <w:shd w:val="clear" w:color="auto" w:fill="auto"/>
            <w:noWrap/>
            <w:vAlign w:val="center"/>
            <w:hideMark/>
          </w:tcPr>
          <w:p w14:paraId="19D7B04D"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5F1DEC" w:rsidRPr="00277A1D" w14:paraId="0ED20FEF" w14:textId="77777777" w:rsidTr="009452AC">
        <w:trPr>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62C4EC23" w14:textId="77777777" w:rsidR="005F1DEC" w:rsidRPr="00277A1D" w:rsidRDefault="005F1DEC" w:rsidP="009452AC">
            <w:pPr>
              <w:jc w:val="center"/>
              <w:rPr>
                <w:rFonts w:ascii="Times New Roman" w:eastAsia="Times New Roman" w:hAnsi="Times New Roman" w:cs="Times New Roman"/>
                <w:b w:val="0"/>
                <w:color w:val="000000"/>
                <w:sz w:val="20"/>
                <w:szCs w:val="20"/>
              </w:rPr>
            </w:pPr>
            <w:r w:rsidRPr="00277A1D">
              <w:rPr>
                <w:rFonts w:ascii="Times New Roman" w:eastAsia="Times New Roman" w:hAnsi="Times New Roman" w:cs="Times New Roman"/>
                <w:b w:val="0"/>
                <w:color w:val="000000"/>
                <w:sz w:val="20"/>
                <w:szCs w:val="20"/>
              </w:rPr>
              <w:t>Monthly ET</w:t>
            </w:r>
          </w:p>
        </w:tc>
        <w:tc>
          <w:tcPr>
            <w:tcW w:w="2030" w:type="dxa"/>
            <w:shd w:val="clear" w:color="auto" w:fill="auto"/>
            <w:noWrap/>
            <w:vAlign w:val="center"/>
            <w:hideMark/>
          </w:tcPr>
          <w:p w14:paraId="37A3EFFB"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799" w:type="dxa"/>
            <w:shd w:val="clear" w:color="auto" w:fill="auto"/>
            <w:noWrap/>
            <w:vAlign w:val="center"/>
            <w:hideMark/>
          </w:tcPr>
          <w:p w14:paraId="273A44EE"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072" w:type="dxa"/>
            <w:shd w:val="clear" w:color="auto" w:fill="auto"/>
            <w:noWrap/>
            <w:vAlign w:val="center"/>
            <w:hideMark/>
          </w:tcPr>
          <w:p w14:paraId="017322A6"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797" w:type="dxa"/>
            <w:shd w:val="clear" w:color="auto" w:fill="auto"/>
            <w:noWrap/>
            <w:vAlign w:val="center"/>
            <w:hideMark/>
          </w:tcPr>
          <w:p w14:paraId="3904F905"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5F1DEC" w:rsidRPr="00277A1D" w14:paraId="3905B5F7" w14:textId="77777777" w:rsidTr="009452A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2BB9FDF8" w14:textId="77777777" w:rsidR="005F1DEC" w:rsidRPr="00277A1D" w:rsidRDefault="005F1DEC" w:rsidP="009452AC">
            <w:pPr>
              <w:jc w:val="center"/>
              <w:rPr>
                <w:rFonts w:ascii="Times New Roman" w:eastAsia="Times New Roman" w:hAnsi="Times New Roman" w:cs="Times New Roman"/>
                <w:b w:val="0"/>
                <w:color w:val="000000"/>
                <w:sz w:val="20"/>
                <w:szCs w:val="20"/>
              </w:rPr>
            </w:pPr>
            <w:r w:rsidRPr="00277A1D">
              <w:rPr>
                <w:rFonts w:ascii="Times New Roman" w:eastAsia="Times New Roman" w:hAnsi="Times New Roman" w:cs="Times New Roman"/>
                <w:b w:val="0"/>
                <w:color w:val="000000"/>
                <w:sz w:val="20"/>
                <w:szCs w:val="20"/>
              </w:rPr>
              <w:t>R2</w:t>
            </w:r>
          </w:p>
        </w:tc>
        <w:tc>
          <w:tcPr>
            <w:tcW w:w="2030" w:type="dxa"/>
            <w:shd w:val="clear" w:color="auto" w:fill="auto"/>
            <w:noWrap/>
            <w:vAlign w:val="center"/>
            <w:hideMark/>
          </w:tcPr>
          <w:p w14:paraId="1950EB23"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0.65 (0.57)</w:t>
            </w:r>
          </w:p>
        </w:tc>
        <w:tc>
          <w:tcPr>
            <w:tcW w:w="1799" w:type="dxa"/>
            <w:shd w:val="clear" w:color="auto" w:fill="auto"/>
            <w:noWrap/>
            <w:vAlign w:val="center"/>
            <w:hideMark/>
          </w:tcPr>
          <w:p w14:paraId="50596199"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0.45 (0.6)</w:t>
            </w:r>
          </w:p>
        </w:tc>
        <w:tc>
          <w:tcPr>
            <w:tcW w:w="2072" w:type="dxa"/>
            <w:shd w:val="clear" w:color="auto" w:fill="auto"/>
            <w:noWrap/>
            <w:vAlign w:val="center"/>
            <w:hideMark/>
          </w:tcPr>
          <w:p w14:paraId="10021A27"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0.75 (0.68)</w:t>
            </w:r>
          </w:p>
        </w:tc>
        <w:tc>
          <w:tcPr>
            <w:tcW w:w="1797" w:type="dxa"/>
            <w:shd w:val="clear" w:color="auto" w:fill="auto"/>
            <w:noWrap/>
            <w:vAlign w:val="center"/>
            <w:hideMark/>
          </w:tcPr>
          <w:p w14:paraId="3BB20F67"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0.34 (0.33)</w:t>
            </w:r>
          </w:p>
        </w:tc>
      </w:tr>
      <w:tr w:rsidR="005F1DEC" w:rsidRPr="00277A1D" w14:paraId="69D2FDB7" w14:textId="77777777" w:rsidTr="009452AC">
        <w:trPr>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2B228C83" w14:textId="77777777" w:rsidR="005F1DEC" w:rsidRPr="00277A1D" w:rsidRDefault="005F1DEC" w:rsidP="009452AC">
            <w:pPr>
              <w:jc w:val="center"/>
              <w:rPr>
                <w:rFonts w:ascii="Times New Roman" w:eastAsia="Times New Roman" w:hAnsi="Times New Roman" w:cs="Times New Roman"/>
                <w:b w:val="0"/>
                <w:color w:val="000000"/>
                <w:sz w:val="20"/>
                <w:szCs w:val="20"/>
              </w:rPr>
            </w:pPr>
            <w:r w:rsidRPr="00277A1D">
              <w:rPr>
                <w:rFonts w:ascii="Times New Roman" w:eastAsia="Times New Roman" w:hAnsi="Times New Roman" w:cs="Times New Roman"/>
                <w:b w:val="0"/>
                <w:color w:val="000000"/>
                <w:sz w:val="20"/>
                <w:szCs w:val="20"/>
              </w:rPr>
              <w:t>NSE</w:t>
            </w:r>
          </w:p>
        </w:tc>
        <w:tc>
          <w:tcPr>
            <w:tcW w:w="2030" w:type="dxa"/>
            <w:shd w:val="clear" w:color="auto" w:fill="auto"/>
            <w:noWrap/>
            <w:vAlign w:val="center"/>
            <w:hideMark/>
          </w:tcPr>
          <w:p w14:paraId="677557E0"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0.46 (-0.66)</w:t>
            </w:r>
          </w:p>
        </w:tc>
        <w:tc>
          <w:tcPr>
            <w:tcW w:w="1799" w:type="dxa"/>
            <w:shd w:val="clear" w:color="auto" w:fill="auto"/>
            <w:noWrap/>
            <w:vAlign w:val="center"/>
            <w:hideMark/>
          </w:tcPr>
          <w:p w14:paraId="1BB927DC"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0.38 (-0.60)</w:t>
            </w:r>
          </w:p>
        </w:tc>
        <w:tc>
          <w:tcPr>
            <w:tcW w:w="2072" w:type="dxa"/>
            <w:shd w:val="clear" w:color="auto" w:fill="auto"/>
            <w:noWrap/>
            <w:vAlign w:val="center"/>
            <w:hideMark/>
          </w:tcPr>
          <w:p w14:paraId="293AE396"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0.65 (0.43)</w:t>
            </w:r>
          </w:p>
        </w:tc>
        <w:tc>
          <w:tcPr>
            <w:tcW w:w="1797" w:type="dxa"/>
            <w:shd w:val="clear" w:color="auto" w:fill="auto"/>
            <w:noWrap/>
            <w:vAlign w:val="center"/>
            <w:hideMark/>
          </w:tcPr>
          <w:p w14:paraId="5339C1F7"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-1.5 (0)</w:t>
            </w:r>
          </w:p>
        </w:tc>
      </w:tr>
      <w:tr w:rsidR="005F1DEC" w:rsidRPr="00277A1D" w14:paraId="2445A6FE" w14:textId="77777777" w:rsidTr="009452A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5E5C3F47" w14:textId="77777777" w:rsidR="005F1DEC" w:rsidRPr="00277A1D" w:rsidRDefault="005F1DEC" w:rsidP="009452AC">
            <w:pPr>
              <w:jc w:val="center"/>
              <w:rPr>
                <w:rFonts w:ascii="Times New Roman" w:eastAsia="Times New Roman" w:hAnsi="Times New Roman" w:cs="Times New Roman"/>
                <w:b w:val="0"/>
                <w:color w:val="000000"/>
                <w:sz w:val="20"/>
                <w:szCs w:val="20"/>
              </w:rPr>
            </w:pPr>
            <w:r w:rsidRPr="00277A1D">
              <w:rPr>
                <w:rFonts w:ascii="Times New Roman" w:eastAsia="Times New Roman" w:hAnsi="Times New Roman" w:cs="Times New Roman"/>
                <w:b w:val="0"/>
                <w:color w:val="000000"/>
                <w:sz w:val="20"/>
                <w:szCs w:val="20"/>
              </w:rPr>
              <w:t>PBIAS</w:t>
            </w:r>
          </w:p>
        </w:tc>
        <w:tc>
          <w:tcPr>
            <w:tcW w:w="2030" w:type="dxa"/>
            <w:shd w:val="clear" w:color="auto" w:fill="auto"/>
            <w:noWrap/>
            <w:vAlign w:val="center"/>
            <w:hideMark/>
          </w:tcPr>
          <w:p w14:paraId="13F472EB"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17.5 (50)</w:t>
            </w:r>
          </w:p>
        </w:tc>
        <w:tc>
          <w:tcPr>
            <w:tcW w:w="1799" w:type="dxa"/>
            <w:shd w:val="clear" w:color="auto" w:fill="auto"/>
            <w:noWrap/>
            <w:vAlign w:val="center"/>
            <w:hideMark/>
          </w:tcPr>
          <w:p w14:paraId="23E958F8"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-6.5 (55)</w:t>
            </w:r>
          </w:p>
        </w:tc>
        <w:tc>
          <w:tcPr>
            <w:tcW w:w="2072" w:type="dxa"/>
            <w:shd w:val="clear" w:color="auto" w:fill="auto"/>
            <w:noWrap/>
            <w:vAlign w:val="center"/>
            <w:hideMark/>
          </w:tcPr>
          <w:p w14:paraId="4A06F364"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-17.8 (29.3)</w:t>
            </w:r>
          </w:p>
        </w:tc>
        <w:tc>
          <w:tcPr>
            <w:tcW w:w="1797" w:type="dxa"/>
            <w:shd w:val="clear" w:color="auto" w:fill="auto"/>
            <w:noWrap/>
            <w:vAlign w:val="center"/>
            <w:hideMark/>
          </w:tcPr>
          <w:p w14:paraId="07B4203E"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-66 (3.9)</w:t>
            </w:r>
          </w:p>
        </w:tc>
      </w:tr>
      <w:tr w:rsidR="005F1DEC" w:rsidRPr="00277A1D" w14:paraId="0EB988C9" w14:textId="77777777" w:rsidTr="009452AC">
        <w:trPr>
          <w:trHeight w:val="288"/>
          <w:jc w:val="center"/>
        </w:trPr>
        <w:tc>
          <w:tcPr>
            <w:cnfStyle w:val="001000000000" w:firstRow="0" w:lastRow="0" w:firstColumn="1" w:lastColumn="0" w:oddVBand="0" w:evenVBand="0" w:oddHBand="0" w:evenHBand="0" w:firstRowFirstColumn="0" w:firstRowLastColumn="0" w:lastRowFirstColumn="0" w:lastRowLastColumn="0"/>
            <w:tcW w:w="2805" w:type="dxa"/>
            <w:shd w:val="clear" w:color="auto" w:fill="auto"/>
            <w:noWrap/>
            <w:vAlign w:val="center"/>
            <w:hideMark/>
          </w:tcPr>
          <w:p w14:paraId="1F242828" w14:textId="77777777" w:rsidR="005F1DEC" w:rsidRPr="00277A1D" w:rsidRDefault="005F1DEC" w:rsidP="009452AC">
            <w:pPr>
              <w:jc w:val="center"/>
              <w:rPr>
                <w:rFonts w:ascii="Times New Roman" w:eastAsia="Times New Roman" w:hAnsi="Times New Roman" w:cs="Times New Roman"/>
                <w:b w:val="0"/>
                <w:color w:val="000000"/>
                <w:sz w:val="20"/>
                <w:szCs w:val="20"/>
              </w:rPr>
            </w:pPr>
            <w:r w:rsidRPr="00277A1D">
              <w:rPr>
                <w:rFonts w:ascii="Times New Roman" w:eastAsia="Times New Roman" w:hAnsi="Times New Roman" w:cs="Times New Roman"/>
                <w:b w:val="0"/>
                <w:color w:val="000000"/>
                <w:sz w:val="20"/>
                <w:szCs w:val="20"/>
              </w:rPr>
              <w:t>RMSE</w:t>
            </w:r>
          </w:p>
        </w:tc>
        <w:tc>
          <w:tcPr>
            <w:tcW w:w="2030" w:type="dxa"/>
            <w:shd w:val="clear" w:color="auto" w:fill="auto"/>
            <w:noWrap/>
            <w:vAlign w:val="center"/>
            <w:hideMark/>
          </w:tcPr>
          <w:p w14:paraId="49253DC1"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24.9 (43.55)</w:t>
            </w:r>
          </w:p>
        </w:tc>
        <w:tc>
          <w:tcPr>
            <w:tcW w:w="1799" w:type="dxa"/>
            <w:shd w:val="clear" w:color="auto" w:fill="auto"/>
            <w:noWrap/>
            <w:vAlign w:val="center"/>
            <w:hideMark/>
          </w:tcPr>
          <w:p w14:paraId="34BEE9EF"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31.90 (52.2)</w:t>
            </w:r>
          </w:p>
        </w:tc>
        <w:tc>
          <w:tcPr>
            <w:tcW w:w="2072" w:type="dxa"/>
            <w:shd w:val="clear" w:color="auto" w:fill="auto"/>
            <w:noWrap/>
            <w:vAlign w:val="center"/>
            <w:hideMark/>
          </w:tcPr>
          <w:p w14:paraId="1B2140FB"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23.36 (29.9)</w:t>
            </w:r>
          </w:p>
        </w:tc>
        <w:tc>
          <w:tcPr>
            <w:tcW w:w="1797" w:type="dxa"/>
            <w:shd w:val="clear" w:color="auto" w:fill="auto"/>
            <w:noWrap/>
            <w:vAlign w:val="center"/>
            <w:hideMark/>
          </w:tcPr>
          <w:p w14:paraId="65C697C7"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77A1D">
              <w:rPr>
                <w:rFonts w:ascii="Times New Roman" w:eastAsia="Times New Roman" w:hAnsi="Times New Roman" w:cs="Times New Roman"/>
                <w:color w:val="000000"/>
                <w:sz w:val="20"/>
                <w:szCs w:val="20"/>
              </w:rPr>
              <w:t>42 (26.4)</w:t>
            </w:r>
          </w:p>
        </w:tc>
      </w:tr>
    </w:tbl>
    <w:p w14:paraId="7EC1322D" w14:textId="77777777" w:rsidR="005F1DEC" w:rsidRPr="00277A1D" w:rsidRDefault="005F1DEC" w:rsidP="005F1DEC">
      <w:pPr>
        <w:spacing w:line="240" w:lineRule="auto"/>
        <w:rPr>
          <w:rFonts w:ascii="Times New Roman" w:hAnsi="Times New Roman" w:cs="Times New Roman"/>
        </w:rPr>
      </w:pPr>
    </w:p>
    <w:p w14:paraId="6D29DC36" w14:textId="77777777" w:rsidR="006A36F5" w:rsidRDefault="006A36F5" w:rsidP="005F1DEC">
      <w:pPr>
        <w:pStyle w:val="Caption"/>
        <w:keepNext/>
        <w:jc w:val="center"/>
        <w:rPr>
          <w:rFonts w:ascii="Times New Roman" w:hAnsi="Times New Roman" w:cs="Times New Roman"/>
          <w:i w:val="0"/>
          <w:color w:val="auto"/>
          <w:sz w:val="20"/>
        </w:rPr>
      </w:pPr>
    </w:p>
    <w:p w14:paraId="51A3C267" w14:textId="77777777" w:rsidR="006A36F5" w:rsidRDefault="006A36F5" w:rsidP="005F1DEC">
      <w:pPr>
        <w:pStyle w:val="Caption"/>
        <w:keepNext/>
        <w:jc w:val="center"/>
        <w:rPr>
          <w:rFonts w:ascii="Times New Roman" w:hAnsi="Times New Roman" w:cs="Times New Roman"/>
          <w:i w:val="0"/>
          <w:color w:val="auto"/>
          <w:sz w:val="20"/>
        </w:rPr>
      </w:pPr>
    </w:p>
    <w:p w14:paraId="44073634" w14:textId="79F1F07C" w:rsidR="005F1DEC" w:rsidRPr="00277A1D" w:rsidRDefault="005F1DEC" w:rsidP="005F1DEC">
      <w:pPr>
        <w:pStyle w:val="Caption"/>
        <w:keepNext/>
        <w:jc w:val="center"/>
        <w:rPr>
          <w:rFonts w:ascii="Times New Roman" w:hAnsi="Times New Roman" w:cs="Times New Roman"/>
          <w:i w:val="0"/>
          <w:color w:val="auto"/>
          <w:sz w:val="20"/>
        </w:rPr>
      </w:pPr>
      <w:r w:rsidRPr="00277A1D">
        <w:rPr>
          <w:rFonts w:ascii="Times New Roman" w:hAnsi="Times New Roman" w:cs="Times New Roman"/>
          <w:i w:val="0"/>
          <w:color w:val="auto"/>
          <w:sz w:val="20"/>
        </w:rPr>
        <w:t>Table S</w:t>
      </w:r>
      <w:r>
        <w:rPr>
          <w:rFonts w:ascii="Times New Roman" w:hAnsi="Times New Roman" w:cs="Times New Roman"/>
          <w:i w:val="0"/>
          <w:color w:val="auto"/>
          <w:sz w:val="20"/>
        </w:rPr>
        <w:t>3</w:t>
      </w:r>
      <w:proofErr w:type="gramStart"/>
      <w:r w:rsidRPr="00277A1D">
        <w:rPr>
          <w:rFonts w:ascii="Times New Roman" w:hAnsi="Times New Roman" w:cs="Times New Roman"/>
          <w:i w:val="0"/>
          <w:color w:val="auto"/>
          <w:sz w:val="20"/>
        </w:rPr>
        <w:t xml:space="preserve">.  </w:t>
      </w:r>
      <w:proofErr w:type="gramEnd"/>
      <w:r w:rsidRPr="00277A1D">
        <w:rPr>
          <w:rFonts w:ascii="Times New Roman" w:hAnsi="Times New Roman" w:cs="Times New Roman"/>
          <w:i w:val="0"/>
          <w:color w:val="auto"/>
          <w:sz w:val="20"/>
        </w:rPr>
        <w:t xml:space="preserve">Calibrated model parameters, their respective initial range and best fitted values under traditional and multivariable calibration approaches at Upatoi Creek and Upper Santa Fe River watersheds. </w:t>
      </w:r>
    </w:p>
    <w:tbl>
      <w:tblPr>
        <w:tblStyle w:val="ListTable6Colorful"/>
        <w:tblW w:w="8848" w:type="dxa"/>
        <w:tblLook w:val="04A0" w:firstRow="1" w:lastRow="0" w:firstColumn="1" w:lastColumn="0" w:noHBand="0" w:noVBand="1"/>
      </w:tblPr>
      <w:tblGrid>
        <w:gridCol w:w="1888"/>
        <w:gridCol w:w="1780"/>
        <w:gridCol w:w="1247"/>
        <w:gridCol w:w="1321"/>
        <w:gridCol w:w="1306"/>
        <w:gridCol w:w="1306"/>
      </w:tblGrid>
      <w:tr w:rsidR="005F1DEC" w:rsidRPr="00277A1D" w14:paraId="58EA8C20" w14:textId="77777777" w:rsidTr="009452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63B72F19" w14:textId="77777777" w:rsidR="005F1DEC" w:rsidRPr="00277A1D" w:rsidRDefault="005F1DEC" w:rsidP="009452AC">
            <w:pPr>
              <w:jc w:val="center"/>
              <w:rPr>
                <w:rFonts w:ascii="Times New Roman" w:eastAsia="Times New Roman" w:hAnsi="Times New Roman" w:cs="Times New Roman"/>
                <w:b w:val="0"/>
                <w:color w:val="auto"/>
                <w:sz w:val="20"/>
                <w:szCs w:val="20"/>
              </w:rPr>
            </w:pPr>
            <w:r w:rsidRPr="00277A1D">
              <w:rPr>
                <w:rFonts w:ascii="Times New Roman" w:eastAsia="Times New Roman" w:hAnsi="Times New Roman" w:cs="Times New Roman"/>
                <w:b w:val="0"/>
                <w:color w:val="auto"/>
                <w:sz w:val="20"/>
                <w:szCs w:val="20"/>
              </w:rPr>
              <w:t>Parameter</w:t>
            </w:r>
          </w:p>
        </w:tc>
        <w:tc>
          <w:tcPr>
            <w:tcW w:w="1780" w:type="dxa"/>
            <w:shd w:val="clear" w:color="auto" w:fill="auto"/>
            <w:noWrap/>
            <w:vAlign w:val="center"/>
            <w:hideMark/>
          </w:tcPr>
          <w:p w14:paraId="0596B37E" w14:textId="77777777" w:rsidR="005F1DEC" w:rsidRPr="00277A1D" w:rsidRDefault="005F1DEC" w:rsidP="009452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sidRPr="00277A1D">
              <w:rPr>
                <w:rFonts w:ascii="Times New Roman" w:eastAsia="Times New Roman" w:hAnsi="Times New Roman" w:cs="Times New Roman"/>
                <w:b w:val="0"/>
                <w:color w:val="auto"/>
                <w:sz w:val="20"/>
                <w:szCs w:val="20"/>
              </w:rPr>
              <w:t>Initial range</w:t>
            </w:r>
          </w:p>
        </w:tc>
        <w:tc>
          <w:tcPr>
            <w:tcW w:w="5180" w:type="dxa"/>
            <w:gridSpan w:val="4"/>
            <w:shd w:val="clear" w:color="auto" w:fill="auto"/>
            <w:noWrap/>
            <w:vAlign w:val="center"/>
            <w:hideMark/>
          </w:tcPr>
          <w:p w14:paraId="0170A159" w14:textId="77777777" w:rsidR="005F1DEC" w:rsidRPr="00277A1D" w:rsidRDefault="005F1DEC" w:rsidP="009452A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0"/>
                <w:szCs w:val="20"/>
              </w:rPr>
            </w:pPr>
            <w:r w:rsidRPr="00277A1D">
              <w:rPr>
                <w:rFonts w:ascii="Times New Roman" w:eastAsia="Times New Roman" w:hAnsi="Times New Roman" w:cs="Times New Roman"/>
                <w:b w:val="0"/>
                <w:color w:val="auto"/>
                <w:sz w:val="20"/>
                <w:szCs w:val="20"/>
              </w:rPr>
              <w:t>Best parameter value</w:t>
            </w:r>
          </w:p>
        </w:tc>
      </w:tr>
      <w:tr w:rsidR="005F1DEC" w:rsidRPr="00277A1D" w14:paraId="26254F86" w14:textId="77777777" w:rsidTr="00945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390E9BB1" w14:textId="77777777" w:rsidR="005F1DEC" w:rsidRPr="00277A1D" w:rsidRDefault="005F1DEC" w:rsidP="009452AC">
            <w:pPr>
              <w:jc w:val="center"/>
              <w:rPr>
                <w:rFonts w:ascii="Times New Roman" w:eastAsia="Times New Roman" w:hAnsi="Times New Roman" w:cs="Times New Roman"/>
                <w:b w:val="0"/>
                <w:color w:val="auto"/>
                <w:sz w:val="20"/>
                <w:szCs w:val="20"/>
              </w:rPr>
            </w:pPr>
          </w:p>
        </w:tc>
        <w:tc>
          <w:tcPr>
            <w:tcW w:w="1780" w:type="dxa"/>
            <w:shd w:val="clear" w:color="auto" w:fill="auto"/>
            <w:noWrap/>
            <w:vAlign w:val="center"/>
            <w:hideMark/>
          </w:tcPr>
          <w:p w14:paraId="0077A21B"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p>
        </w:tc>
        <w:tc>
          <w:tcPr>
            <w:tcW w:w="2568" w:type="dxa"/>
            <w:gridSpan w:val="2"/>
            <w:shd w:val="clear" w:color="auto" w:fill="auto"/>
            <w:noWrap/>
            <w:vAlign w:val="center"/>
            <w:hideMark/>
          </w:tcPr>
          <w:p w14:paraId="0892A042"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Upatoi Creek</w:t>
            </w:r>
          </w:p>
        </w:tc>
        <w:tc>
          <w:tcPr>
            <w:tcW w:w="2612" w:type="dxa"/>
            <w:gridSpan w:val="2"/>
            <w:shd w:val="clear" w:color="auto" w:fill="auto"/>
            <w:noWrap/>
            <w:vAlign w:val="center"/>
            <w:hideMark/>
          </w:tcPr>
          <w:p w14:paraId="7C1AAB29"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Upper Santa Fe</w:t>
            </w:r>
          </w:p>
        </w:tc>
      </w:tr>
      <w:tr w:rsidR="005F1DEC" w:rsidRPr="00277A1D" w14:paraId="12AC5806" w14:textId="77777777" w:rsidTr="009452AC">
        <w:trPr>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0068A113" w14:textId="77777777" w:rsidR="005F1DEC" w:rsidRPr="00277A1D" w:rsidRDefault="005F1DEC" w:rsidP="009452AC">
            <w:pPr>
              <w:jc w:val="center"/>
              <w:rPr>
                <w:rFonts w:ascii="Times New Roman" w:eastAsia="Times New Roman" w:hAnsi="Times New Roman" w:cs="Times New Roman"/>
                <w:b w:val="0"/>
                <w:color w:val="auto"/>
                <w:sz w:val="20"/>
                <w:szCs w:val="20"/>
              </w:rPr>
            </w:pPr>
          </w:p>
        </w:tc>
        <w:tc>
          <w:tcPr>
            <w:tcW w:w="1780" w:type="dxa"/>
            <w:shd w:val="clear" w:color="auto" w:fill="auto"/>
            <w:noWrap/>
            <w:vAlign w:val="center"/>
            <w:hideMark/>
          </w:tcPr>
          <w:p w14:paraId="48F7FDC4"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
        </w:tc>
        <w:tc>
          <w:tcPr>
            <w:tcW w:w="1247" w:type="dxa"/>
            <w:shd w:val="clear" w:color="auto" w:fill="auto"/>
            <w:noWrap/>
            <w:vAlign w:val="center"/>
            <w:hideMark/>
          </w:tcPr>
          <w:p w14:paraId="6CCF13F4"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M</w:t>
            </w:r>
            <w:r w:rsidRPr="00277A1D">
              <w:rPr>
                <w:rFonts w:ascii="Times New Roman" w:eastAsia="Times New Roman" w:hAnsi="Times New Roman" w:cs="Times New Roman"/>
                <w:sz w:val="20"/>
                <w:szCs w:val="20"/>
                <w:vertAlign w:val="subscript"/>
              </w:rPr>
              <w:t>0</w:t>
            </w:r>
          </w:p>
        </w:tc>
        <w:tc>
          <w:tcPr>
            <w:tcW w:w="1321" w:type="dxa"/>
            <w:shd w:val="clear" w:color="auto" w:fill="auto"/>
            <w:noWrap/>
            <w:vAlign w:val="center"/>
            <w:hideMark/>
          </w:tcPr>
          <w:p w14:paraId="5F3D785E"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hAnsi="Times New Roman" w:cs="Times New Roman"/>
                <w:sz w:val="20"/>
                <w:szCs w:val="20"/>
              </w:rPr>
              <w:t>M</w:t>
            </w:r>
            <w:r w:rsidRPr="00277A1D">
              <w:rPr>
                <w:rFonts w:ascii="Times New Roman" w:hAnsi="Times New Roman" w:cs="Times New Roman"/>
                <w:sz w:val="20"/>
                <w:szCs w:val="20"/>
                <w:vertAlign w:val="subscript"/>
              </w:rPr>
              <w:t>LAI+BM+ET</w:t>
            </w:r>
            <w:r w:rsidRPr="00277A1D" w:rsidDel="00EC3226">
              <w:rPr>
                <w:rFonts w:ascii="Times New Roman" w:eastAsia="Times New Roman" w:hAnsi="Times New Roman" w:cs="Times New Roman"/>
                <w:color w:val="auto"/>
                <w:sz w:val="20"/>
                <w:szCs w:val="20"/>
              </w:rPr>
              <w:t xml:space="preserve"> </w:t>
            </w:r>
          </w:p>
        </w:tc>
        <w:tc>
          <w:tcPr>
            <w:tcW w:w="1306" w:type="dxa"/>
            <w:shd w:val="clear" w:color="auto" w:fill="auto"/>
            <w:noWrap/>
            <w:vAlign w:val="center"/>
            <w:hideMark/>
          </w:tcPr>
          <w:p w14:paraId="543F8A62"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M</w:t>
            </w:r>
            <w:r w:rsidRPr="00277A1D">
              <w:rPr>
                <w:rFonts w:ascii="Times New Roman" w:eastAsia="Times New Roman" w:hAnsi="Times New Roman" w:cs="Times New Roman"/>
                <w:color w:val="auto"/>
                <w:sz w:val="20"/>
                <w:szCs w:val="20"/>
                <w:vertAlign w:val="subscript"/>
              </w:rPr>
              <w:t>0</w:t>
            </w:r>
          </w:p>
        </w:tc>
        <w:tc>
          <w:tcPr>
            <w:tcW w:w="1306" w:type="dxa"/>
            <w:shd w:val="clear" w:color="auto" w:fill="auto"/>
            <w:noWrap/>
            <w:vAlign w:val="center"/>
            <w:hideMark/>
          </w:tcPr>
          <w:p w14:paraId="24ACC272"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hAnsi="Times New Roman" w:cs="Times New Roman"/>
                <w:sz w:val="20"/>
                <w:szCs w:val="20"/>
              </w:rPr>
              <w:t>M</w:t>
            </w:r>
            <w:r w:rsidRPr="00277A1D">
              <w:rPr>
                <w:rFonts w:ascii="Times New Roman" w:hAnsi="Times New Roman" w:cs="Times New Roman"/>
                <w:sz w:val="20"/>
                <w:szCs w:val="20"/>
                <w:vertAlign w:val="subscript"/>
              </w:rPr>
              <w:t>LAI+BM+ET</w:t>
            </w:r>
            <w:r w:rsidRPr="00277A1D" w:rsidDel="00EC3226">
              <w:rPr>
                <w:rFonts w:ascii="Times New Roman" w:eastAsia="Times New Roman" w:hAnsi="Times New Roman" w:cs="Times New Roman"/>
                <w:color w:val="auto"/>
                <w:sz w:val="20"/>
                <w:szCs w:val="20"/>
              </w:rPr>
              <w:t xml:space="preserve"> </w:t>
            </w:r>
          </w:p>
        </w:tc>
      </w:tr>
      <w:tr w:rsidR="005F1DEC" w:rsidRPr="00277A1D" w14:paraId="750C5639" w14:textId="77777777" w:rsidTr="00945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78B99207"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r__CN2.mgt</w:t>
            </w:r>
          </w:p>
        </w:tc>
        <w:tc>
          <w:tcPr>
            <w:tcW w:w="1780" w:type="dxa"/>
            <w:shd w:val="clear" w:color="auto" w:fill="auto"/>
            <w:noWrap/>
            <w:vAlign w:val="center"/>
            <w:hideMark/>
          </w:tcPr>
          <w:p w14:paraId="02240B10"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-0.3-0.1</w:t>
            </w:r>
          </w:p>
        </w:tc>
        <w:tc>
          <w:tcPr>
            <w:tcW w:w="1247" w:type="dxa"/>
            <w:shd w:val="clear" w:color="auto" w:fill="auto"/>
            <w:noWrap/>
            <w:vAlign w:val="center"/>
            <w:hideMark/>
          </w:tcPr>
          <w:p w14:paraId="3BC9034F"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-0.166963</w:t>
            </w:r>
          </w:p>
        </w:tc>
        <w:tc>
          <w:tcPr>
            <w:tcW w:w="1321" w:type="dxa"/>
            <w:shd w:val="clear" w:color="auto" w:fill="auto"/>
            <w:noWrap/>
            <w:vAlign w:val="center"/>
            <w:hideMark/>
          </w:tcPr>
          <w:p w14:paraId="2990C4C5"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-0.028276</w:t>
            </w:r>
          </w:p>
        </w:tc>
        <w:tc>
          <w:tcPr>
            <w:tcW w:w="1306" w:type="dxa"/>
            <w:shd w:val="clear" w:color="auto" w:fill="auto"/>
            <w:noWrap/>
            <w:vAlign w:val="center"/>
            <w:hideMark/>
          </w:tcPr>
          <w:p w14:paraId="31D98698"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-0.087033</w:t>
            </w:r>
          </w:p>
        </w:tc>
        <w:tc>
          <w:tcPr>
            <w:tcW w:w="1306" w:type="dxa"/>
            <w:shd w:val="clear" w:color="auto" w:fill="auto"/>
            <w:noWrap/>
            <w:vAlign w:val="center"/>
            <w:hideMark/>
          </w:tcPr>
          <w:p w14:paraId="010D4492"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0.001072</w:t>
            </w:r>
          </w:p>
        </w:tc>
      </w:tr>
      <w:tr w:rsidR="005F1DEC" w:rsidRPr="00277A1D" w14:paraId="2912D308" w14:textId="77777777" w:rsidTr="009452AC">
        <w:trPr>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7554C9F5"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V__ALPHA_BF.gw</w:t>
            </w:r>
          </w:p>
        </w:tc>
        <w:tc>
          <w:tcPr>
            <w:tcW w:w="1780" w:type="dxa"/>
            <w:shd w:val="clear" w:color="auto" w:fill="auto"/>
            <w:noWrap/>
            <w:vAlign w:val="center"/>
            <w:hideMark/>
          </w:tcPr>
          <w:p w14:paraId="50D4AE1E"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0.01-0.2</w:t>
            </w:r>
          </w:p>
        </w:tc>
        <w:tc>
          <w:tcPr>
            <w:tcW w:w="1247" w:type="dxa"/>
            <w:shd w:val="clear" w:color="auto" w:fill="auto"/>
            <w:noWrap/>
            <w:vAlign w:val="center"/>
            <w:hideMark/>
          </w:tcPr>
          <w:p w14:paraId="0A28A751"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0.141159</w:t>
            </w:r>
          </w:p>
        </w:tc>
        <w:tc>
          <w:tcPr>
            <w:tcW w:w="1321" w:type="dxa"/>
            <w:shd w:val="clear" w:color="auto" w:fill="auto"/>
            <w:noWrap/>
            <w:vAlign w:val="center"/>
            <w:hideMark/>
          </w:tcPr>
          <w:p w14:paraId="54A78FEA"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0.176099</w:t>
            </w:r>
          </w:p>
        </w:tc>
        <w:tc>
          <w:tcPr>
            <w:tcW w:w="1306" w:type="dxa"/>
            <w:shd w:val="clear" w:color="auto" w:fill="auto"/>
            <w:noWrap/>
            <w:vAlign w:val="center"/>
            <w:hideMark/>
          </w:tcPr>
          <w:p w14:paraId="3B48D468"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0.105335</w:t>
            </w:r>
          </w:p>
        </w:tc>
        <w:tc>
          <w:tcPr>
            <w:tcW w:w="1306" w:type="dxa"/>
            <w:shd w:val="clear" w:color="auto" w:fill="auto"/>
            <w:noWrap/>
            <w:vAlign w:val="center"/>
            <w:hideMark/>
          </w:tcPr>
          <w:p w14:paraId="74096FCC"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0.112806</w:t>
            </w:r>
          </w:p>
        </w:tc>
      </w:tr>
      <w:tr w:rsidR="005F1DEC" w:rsidRPr="00277A1D" w14:paraId="75649C08" w14:textId="77777777" w:rsidTr="00945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52369F5D"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r__GW_DELAY.gw</w:t>
            </w:r>
          </w:p>
        </w:tc>
        <w:tc>
          <w:tcPr>
            <w:tcW w:w="1780" w:type="dxa"/>
            <w:shd w:val="clear" w:color="auto" w:fill="auto"/>
            <w:noWrap/>
            <w:vAlign w:val="center"/>
            <w:hideMark/>
          </w:tcPr>
          <w:p w14:paraId="148C9B3D"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-0.3-0.3</w:t>
            </w:r>
          </w:p>
        </w:tc>
        <w:tc>
          <w:tcPr>
            <w:tcW w:w="1247" w:type="dxa"/>
            <w:shd w:val="clear" w:color="auto" w:fill="auto"/>
            <w:noWrap/>
            <w:vAlign w:val="center"/>
            <w:hideMark/>
          </w:tcPr>
          <w:p w14:paraId="712C2E93"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0.000271</w:t>
            </w:r>
          </w:p>
        </w:tc>
        <w:tc>
          <w:tcPr>
            <w:tcW w:w="1321" w:type="dxa"/>
            <w:shd w:val="clear" w:color="auto" w:fill="auto"/>
            <w:noWrap/>
            <w:vAlign w:val="center"/>
            <w:hideMark/>
          </w:tcPr>
          <w:p w14:paraId="4703BF2E"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-0.306779</w:t>
            </w:r>
          </w:p>
        </w:tc>
        <w:tc>
          <w:tcPr>
            <w:tcW w:w="1306" w:type="dxa"/>
            <w:shd w:val="clear" w:color="auto" w:fill="auto"/>
            <w:noWrap/>
            <w:vAlign w:val="center"/>
            <w:hideMark/>
          </w:tcPr>
          <w:p w14:paraId="75CA1243"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0.039278</w:t>
            </w:r>
          </w:p>
        </w:tc>
        <w:tc>
          <w:tcPr>
            <w:tcW w:w="1306" w:type="dxa"/>
            <w:shd w:val="clear" w:color="auto" w:fill="auto"/>
            <w:noWrap/>
            <w:vAlign w:val="center"/>
            <w:hideMark/>
          </w:tcPr>
          <w:p w14:paraId="642B8A46"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-0.119104</w:t>
            </w:r>
          </w:p>
        </w:tc>
      </w:tr>
      <w:tr w:rsidR="005F1DEC" w:rsidRPr="00277A1D" w14:paraId="49505D33" w14:textId="77777777" w:rsidTr="009452AC">
        <w:trPr>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2FC2E1BB"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r__GW_REVAP.gw</w:t>
            </w:r>
          </w:p>
        </w:tc>
        <w:tc>
          <w:tcPr>
            <w:tcW w:w="1780" w:type="dxa"/>
            <w:shd w:val="clear" w:color="auto" w:fill="auto"/>
            <w:noWrap/>
            <w:vAlign w:val="center"/>
            <w:hideMark/>
          </w:tcPr>
          <w:p w14:paraId="625AA277"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-0.3-0.3</w:t>
            </w:r>
          </w:p>
        </w:tc>
        <w:tc>
          <w:tcPr>
            <w:tcW w:w="1247" w:type="dxa"/>
            <w:shd w:val="clear" w:color="auto" w:fill="auto"/>
            <w:noWrap/>
            <w:vAlign w:val="center"/>
            <w:hideMark/>
          </w:tcPr>
          <w:p w14:paraId="4A179FC6"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0.336196</w:t>
            </w:r>
          </w:p>
        </w:tc>
        <w:tc>
          <w:tcPr>
            <w:tcW w:w="1321" w:type="dxa"/>
            <w:shd w:val="clear" w:color="auto" w:fill="auto"/>
            <w:noWrap/>
            <w:vAlign w:val="center"/>
            <w:hideMark/>
          </w:tcPr>
          <w:p w14:paraId="07594207"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0.400228</w:t>
            </w:r>
          </w:p>
        </w:tc>
        <w:tc>
          <w:tcPr>
            <w:tcW w:w="1306" w:type="dxa"/>
            <w:shd w:val="clear" w:color="auto" w:fill="auto"/>
            <w:noWrap/>
            <w:vAlign w:val="center"/>
            <w:hideMark/>
          </w:tcPr>
          <w:p w14:paraId="0646CAE2"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1.329347</w:t>
            </w:r>
          </w:p>
        </w:tc>
        <w:tc>
          <w:tcPr>
            <w:tcW w:w="1306" w:type="dxa"/>
            <w:shd w:val="clear" w:color="auto" w:fill="auto"/>
            <w:noWrap/>
            <w:vAlign w:val="center"/>
            <w:hideMark/>
          </w:tcPr>
          <w:p w14:paraId="64E1E663"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6.278326</w:t>
            </w:r>
          </w:p>
        </w:tc>
      </w:tr>
      <w:tr w:rsidR="005F1DEC" w:rsidRPr="00277A1D" w14:paraId="3CCCAC04" w14:textId="77777777" w:rsidTr="00945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2B144352" w14:textId="77777777" w:rsidR="005F1DEC" w:rsidRPr="00277A1D" w:rsidRDefault="005F1DEC" w:rsidP="009452AC">
            <w:pPr>
              <w:jc w:val="center"/>
              <w:rPr>
                <w:rFonts w:ascii="Times New Roman" w:eastAsia="Times New Roman" w:hAnsi="Times New Roman" w:cs="Times New Roman"/>
                <w:b w:val="0"/>
                <w:i/>
                <w:iCs/>
                <w:color w:val="auto"/>
                <w:sz w:val="20"/>
                <w:szCs w:val="20"/>
              </w:rPr>
            </w:pPr>
            <w:proofErr w:type="spellStart"/>
            <w:r w:rsidRPr="00277A1D">
              <w:rPr>
                <w:rFonts w:ascii="Times New Roman" w:eastAsia="Times New Roman" w:hAnsi="Times New Roman" w:cs="Times New Roman"/>
                <w:i/>
                <w:iCs/>
                <w:sz w:val="20"/>
                <w:szCs w:val="20"/>
              </w:rPr>
              <w:t>r__SOL_</w:t>
            </w:r>
            <w:proofErr w:type="gramStart"/>
            <w:r w:rsidRPr="00277A1D">
              <w:rPr>
                <w:rFonts w:ascii="Times New Roman" w:eastAsia="Times New Roman" w:hAnsi="Times New Roman" w:cs="Times New Roman"/>
                <w:i/>
                <w:iCs/>
                <w:sz w:val="20"/>
                <w:szCs w:val="20"/>
              </w:rPr>
              <w:t>K</w:t>
            </w:r>
            <w:proofErr w:type="spellEnd"/>
            <w:r w:rsidRPr="00277A1D">
              <w:rPr>
                <w:rFonts w:ascii="Times New Roman" w:eastAsia="Times New Roman" w:hAnsi="Times New Roman" w:cs="Times New Roman"/>
                <w:i/>
                <w:iCs/>
                <w:sz w:val="20"/>
                <w:szCs w:val="20"/>
              </w:rPr>
              <w:t>(</w:t>
            </w:r>
            <w:proofErr w:type="gramEnd"/>
            <w:r w:rsidRPr="00277A1D">
              <w:rPr>
                <w:rFonts w:ascii="Times New Roman" w:eastAsia="Times New Roman" w:hAnsi="Times New Roman" w:cs="Times New Roman"/>
                <w:i/>
                <w:iCs/>
                <w:sz w:val="20"/>
                <w:szCs w:val="20"/>
              </w:rPr>
              <w:t>).sol</w:t>
            </w:r>
          </w:p>
        </w:tc>
        <w:tc>
          <w:tcPr>
            <w:tcW w:w="1780" w:type="dxa"/>
            <w:shd w:val="clear" w:color="auto" w:fill="auto"/>
            <w:noWrap/>
            <w:vAlign w:val="center"/>
            <w:hideMark/>
          </w:tcPr>
          <w:p w14:paraId="436779CE"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-0.3-0.3</w:t>
            </w:r>
          </w:p>
        </w:tc>
        <w:tc>
          <w:tcPr>
            <w:tcW w:w="1247" w:type="dxa"/>
            <w:shd w:val="clear" w:color="auto" w:fill="auto"/>
            <w:noWrap/>
            <w:vAlign w:val="center"/>
            <w:hideMark/>
          </w:tcPr>
          <w:p w14:paraId="73B8A594"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0.545236</w:t>
            </w:r>
          </w:p>
        </w:tc>
        <w:tc>
          <w:tcPr>
            <w:tcW w:w="1321" w:type="dxa"/>
            <w:shd w:val="clear" w:color="auto" w:fill="auto"/>
            <w:noWrap/>
            <w:vAlign w:val="center"/>
            <w:hideMark/>
          </w:tcPr>
          <w:p w14:paraId="0DB5257D"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0.446698</w:t>
            </w:r>
          </w:p>
        </w:tc>
        <w:tc>
          <w:tcPr>
            <w:tcW w:w="1306" w:type="dxa"/>
            <w:shd w:val="clear" w:color="auto" w:fill="auto"/>
            <w:noWrap/>
            <w:vAlign w:val="center"/>
            <w:hideMark/>
          </w:tcPr>
          <w:p w14:paraId="796BF6A9"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-0.094449</w:t>
            </w:r>
          </w:p>
        </w:tc>
        <w:tc>
          <w:tcPr>
            <w:tcW w:w="1306" w:type="dxa"/>
            <w:shd w:val="clear" w:color="auto" w:fill="auto"/>
            <w:noWrap/>
            <w:vAlign w:val="center"/>
            <w:hideMark/>
          </w:tcPr>
          <w:p w14:paraId="3DE2B1D2"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0.124502</w:t>
            </w:r>
          </w:p>
        </w:tc>
      </w:tr>
      <w:tr w:rsidR="005F1DEC" w:rsidRPr="00277A1D" w14:paraId="43DC98E3" w14:textId="77777777" w:rsidTr="009452AC">
        <w:trPr>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12EFF06B"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v__RCHRG_DP.gw</w:t>
            </w:r>
          </w:p>
        </w:tc>
        <w:tc>
          <w:tcPr>
            <w:tcW w:w="1780" w:type="dxa"/>
            <w:shd w:val="clear" w:color="auto" w:fill="auto"/>
            <w:noWrap/>
            <w:vAlign w:val="center"/>
            <w:hideMark/>
          </w:tcPr>
          <w:p w14:paraId="19E6FFFB"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w:t>
            </w:r>
          </w:p>
        </w:tc>
        <w:tc>
          <w:tcPr>
            <w:tcW w:w="1247" w:type="dxa"/>
            <w:shd w:val="clear" w:color="auto" w:fill="auto"/>
            <w:noWrap/>
            <w:vAlign w:val="center"/>
            <w:hideMark/>
          </w:tcPr>
          <w:p w14:paraId="4DF7021F"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0.462241</w:t>
            </w:r>
          </w:p>
        </w:tc>
        <w:tc>
          <w:tcPr>
            <w:tcW w:w="1321" w:type="dxa"/>
            <w:shd w:val="clear" w:color="auto" w:fill="auto"/>
            <w:noWrap/>
            <w:vAlign w:val="center"/>
            <w:hideMark/>
          </w:tcPr>
          <w:p w14:paraId="1819331C"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0.373301</w:t>
            </w:r>
          </w:p>
        </w:tc>
        <w:tc>
          <w:tcPr>
            <w:tcW w:w="1306" w:type="dxa"/>
            <w:shd w:val="clear" w:color="auto" w:fill="auto"/>
            <w:noWrap/>
            <w:vAlign w:val="center"/>
            <w:hideMark/>
          </w:tcPr>
          <w:p w14:paraId="19CA7677"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0.403537</w:t>
            </w:r>
          </w:p>
        </w:tc>
        <w:tc>
          <w:tcPr>
            <w:tcW w:w="1306" w:type="dxa"/>
            <w:shd w:val="clear" w:color="auto" w:fill="auto"/>
            <w:noWrap/>
            <w:vAlign w:val="center"/>
            <w:hideMark/>
          </w:tcPr>
          <w:p w14:paraId="072F7D0A"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0.145733</w:t>
            </w:r>
          </w:p>
        </w:tc>
      </w:tr>
      <w:tr w:rsidR="005F1DEC" w:rsidRPr="00277A1D" w14:paraId="5B0E8D54" w14:textId="77777777" w:rsidTr="00945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00E21569"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V__</w:t>
            </w:r>
            <w:proofErr w:type="spellStart"/>
            <w:r w:rsidRPr="00277A1D">
              <w:rPr>
                <w:rFonts w:ascii="Times New Roman" w:eastAsia="Times New Roman" w:hAnsi="Times New Roman" w:cs="Times New Roman"/>
                <w:i/>
                <w:iCs/>
                <w:sz w:val="20"/>
                <w:szCs w:val="20"/>
              </w:rPr>
              <w:t>SURLAG.bsn</w:t>
            </w:r>
            <w:proofErr w:type="spellEnd"/>
          </w:p>
        </w:tc>
        <w:tc>
          <w:tcPr>
            <w:tcW w:w="1780" w:type="dxa"/>
            <w:shd w:val="clear" w:color="auto" w:fill="auto"/>
            <w:noWrap/>
            <w:vAlign w:val="center"/>
            <w:hideMark/>
          </w:tcPr>
          <w:p w14:paraId="7C5C018E"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1-24</w:t>
            </w:r>
          </w:p>
        </w:tc>
        <w:tc>
          <w:tcPr>
            <w:tcW w:w="1247" w:type="dxa"/>
            <w:shd w:val="clear" w:color="auto" w:fill="auto"/>
            <w:noWrap/>
            <w:vAlign w:val="center"/>
            <w:hideMark/>
          </w:tcPr>
          <w:p w14:paraId="70B4AF6D"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3.822869</w:t>
            </w:r>
          </w:p>
        </w:tc>
        <w:tc>
          <w:tcPr>
            <w:tcW w:w="1321" w:type="dxa"/>
            <w:shd w:val="clear" w:color="auto" w:fill="auto"/>
            <w:noWrap/>
            <w:vAlign w:val="center"/>
            <w:hideMark/>
          </w:tcPr>
          <w:p w14:paraId="5EBAE44D"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15.131299</w:t>
            </w:r>
          </w:p>
        </w:tc>
        <w:tc>
          <w:tcPr>
            <w:tcW w:w="1306" w:type="dxa"/>
            <w:shd w:val="clear" w:color="auto" w:fill="auto"/>
            <w:noWrap/>
            <w:vAlign w:val="center"/>
            <w:hideMark/>
          </w:tcPr>
          <w:p w14:paraId="42D559FB"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18.912979</w:t>
            </w:r>
          </w:p>
        </w:tc>
        <w:tc>
          <w:tcPr>
            <w:tcW w:w="1306" w:type="dxa"/>
            <w:shd w:val="clear" w:color="auto" w:fill="auto"/>
            <w:noWrap/>
            <w:vAlign w:val="center"/>
            <w:hideMark/>
          </w:tcPr>
          <w:p w14:paraId="0DE9BD44"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12.507653</w:t>
            </w:r>
          </w:p>
        </w:tc>
      </w:tr>
      <w:tr w:rsidR="005F1DEC" w:rsidRPr="00277A1D" w14:paraId="5AD24E06" w14:textId="77777777" w:rsidTr="009452AC">
        <w:trPr>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5850AF1F"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R__CH_N1.sub</w:t>
            </w:r>
          </w:p>
        </w:tc>
        <w:tc>
          <w:tcPr>
            <w:tcW w:w="1780" w:type="dxa"/>
            <w:shd w:val="clear" w:color="auto" w:fill="auto"/>
            <w:noWrap/>
            <w:vAlign w:val="center"/>
            <w:hideMark/>
          </w:tcPr>
          <w:p w14:paraId="2A5B2FC6"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0.1-1</w:t>
            </w:r>
          </w:p>
        </w:tc>
        <w:tc>
          <w:tcPr>
            <w:tcW w:w="1247" w:type="dxa"/>
            <w:shd w:val="clear" w:color="auto" w:fill="auto"/>
            <w:noWrap/>
            <w:vAlign w:val="center"/>
            <w:hideMark/>
          </w:tcPr>
          <w:p w14:paraId="07448DE8"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0.58338</w:t>
            </w:r>
          </w:p>
        </w:tc>
        <w:tc>
          <w:tcPr>
            <w:tcW w:w="1321" w:type="dxa"/>
            <w:shd w:val="clear" w:color="auto" w:fill="auto"/>
            <w:noWrap/>
            <w:vAlign w:val="center"/>
            <w:hideMark/>
          </w:tcPr>
          <w:p w14:paraId="6C04C1FD"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0.539291</w:t>
            </w:r>
          </w:p>
        </w:tc>
        <w:tc>
          <w:tcPr>
            <w:tcW w:w="1306" w:type="dxa"/>
            <w:shd w:val="clear" w:color="auto" w:fill="auto"/>
            <w:noWrap/>
            <w:vAlign w:val="center"/>
            <w:hideMark/>
          </w:tcPr>
          <w:p w14:paraId="0D92F668"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1.017428</w:t>
            </w:r>
          </w:p>
        </w:tc>
        <w:tc>
          <w:tcPr>
            <w:tcW w:w="1306" w:type="dxa"/>
            <w:shd w:val="clear" w:color="auto" w:fill="auto"/>
            <w:noWrap/>
            <w:vAlign w:val="center"/>
            <w:hideMark/>
          </w:tcPr>
          <w:p w14:paraId="5A03B20C"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1.216417</w:t>
            </w:r>
          </w:p>
        </w:tc>
      </w:tr>
      <w:tr w:rsidR="005F1DEC" w:rsidRPr="00277A1D" w14:paraId="77A9E7D1" w14:textId="77777777" w:rsidTr="00945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510829F3"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v__CH_N2.rte</w:t>
            </w:r>
          </w:p>
        </w:tc>
        <w:tc>
          <w:tcPr>
            <w:tcW w:w="1780" w:type="dxa"/>
            <w:shd w:val="clear" w:color="auto" w:fill="auto"/>
            <w:noWrap/>
            <w:vAlign w:val="center"/>
            <w:hideMark/>
          </w:tcPr>
          <w:p w14:paraId="413E2D16"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-0.01-0.3</w:t>
            </w:r>
          </w:p>
        </w:tc>
        <w:tc>
          <w:tcPr>
            <w:tcW w:w="1247" w:type="dxa"/>
            <w:shd w:val="clear" w:color="auto" w:fill="auto"/>
            <w:noWrap/>
            <w:vAlign w:val="center"/>
            <w:hideMark/>
          </w:tcPr>
          <w:p w14:paraId="09548EB8"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0.293692</w:t>
            </w:r>
          </w:p>
        </w:tc>
        <w:tc>
          <w:tcPr>
            <w:tcW w:w="1321" w:type="dxa"/>
            <w:shd w:val="clear" w:color="auto" w:fill="auto"/>
            <w:noWrap/>
            <w:vAlign w:val="center"/>
            <w:hideMark/>
          </w:tcPr>
          <w:p w14:paraId="0BF3E7A3"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0.403082</w:t>
            </w:r>
          </w:p>
        </w:tc>
        <w:tc>
          <w:tcPr>
            <w:tcW w:w="1306" w:type="dxa"/>
            <w:shd w:val="clear" w:color="auto" w:fill="auto"/>
            <w:noWrap/>
            <w:vAlign w:val="center"/>
            <w:hideMark/>
          </w:tcPr>
          <w:p w14:paraId="270A13EF"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0.171482</w:t>
            </w:r>
          </w:p>
        </w:tc>
        <w:tc>
          <w:tcPr>
            <w:tcW w:w="1306" w:type="dxa"/>
            <w:shd w:val="clear" w:color="auto" w:fill="auto"/>
            <w:noWrap/>
            <w:vAlign w:val="center"/>
            <w:hideMark/>
          </w:tcPr>
          <w:p w14:paraId="48AB88BF"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0.365554</w:t>
            </w:r>
          </w:p>
        </w:tc>
      </w:tr>
      <w:tr w:rsidR="005F1DEC" w:rsidRPr="00277A1D" w14:paraId="5C908435" w14:textId="77777777" w:rsidTr="009452AC">
        <w:trPr>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4C2F345C"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r__CH_K2.rte</w:t>
            </w:r>
          </w:p>
        </w:tc>
        <w:tc>
          <w:tcPr>
            <w:tcW w:w="1780" w:type="dxa"/>
            <w:shd w:val="clear" w:color="auto" w:fill="auto"/>
            <w:noWrap/>
            <w:vAlign w:val="center"/>
            <w:hideMark/>
          </w:tcPr>
          <w:p w14:paraId="49F89BF1"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0.1-0.5</w:t>
            </w:r>
          </w:p>
        </w:tc>
        <w:tc>
          <w:tcPr>
            <w:tcW w:w="1247" w:type="dxa"/>
            <w:shd w:val="clear" w:color="auto" w:fill="auto"/>
            <w:noWrap/>
            <w:vAlign w:val="center"/>
            <w:hideMark/>
          </w:tcPr>
          <w:p w14:paraId="61834351"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0.356586</w:t>
            </w:r>
          </w:p>
        </w:tc>
        <w:tc>
          <w:tcPr>
            <w:tcW w:w="1321" w:type="dxa"/>
            <w:shd w:val="clear" w:color="auto" w:fill="auto"/>
            <w:noWrap/>
            <w:vAlign w:val="center"/>
            <w:hideMark/>
          </w:tcPr>
          <w:p w14:paraId="03BA614E"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0.076447</w:t>
            </w:r>
          </w:p>
        </w:tc>
        <w:tc>
          <w:tcPr>
            <w:tcW w:w="1306" w:type="dxa"/>
            <w:shd w:val="clear" w:color="auto" w:fill="auto"/>
            <w:noWrap/>
            <w:vAlign w:val="center"/>
            <w:hideMark/>
          </w:tcPr>
          <w:p w14:paraId="2033AFE0"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0.392475</w:t>
            </w:r>
          </w:p>
        </w:tc>
        <w:tc>
          <w:tcPr>
            <w:tcW w:w="1306" w:type="dxa"/>
            <w:shd w:val="clear" w:color="auto" w:fill="auto"/>
            <w:noWrap/>
            <w:vAlign w:val="center"/>
            <w:hideMark/>
          </w:tcPr>
          <w:p w14:paraId="79EEE33D"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0.246932</w:t>
            </w:r>
          </w:p>
        </w:tc>
      </w:tr>
      <w:tr w:rsidR="005F1DEC" w:rsidRPr="00277A1D" w14:paraId="017C661C" w14:textId="77777777" w:rsidTr="00945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2F2CD892"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r__GWQMN.gw</w:t>
            </w:r>
          </w:p>
        </w:tc>
        <w:tc>
          <w:tcPr>
            <w:tcW w:w="1780" w:type="dxa"/>
            <w:shd w:val="clear" w:color="auto" w:fill="auto"/>
            <w:noWrap/>
            <w:vAlign w:val="center"/>
            <w:hideMark/>
          </w:tcPr>
          <w:p w14:paraId="667D216B"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-0.5-4</w:t>
            </w:r>
          </w:p>
        </w:tc>
        <w:tc>
          <w:tcPr>
            <w:tcW w:w="1247" w:type="dxa"/>
            <w:shd w:val="clear" w:color="auto" w:fill="auto"/>
            <w:noWrap/>
            <w:vAlign w:val="center"/>
            <w:hideMark/>
          </w:tcPr>
          <w:p w14:paraId="6977F18A"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0.819083</w:t>
            </w:r>
          </w:p>
        </w:tc>
        <w:tc>
          <w:tcPr>
            <w:tcW w:w="1321" w:type="dxa"/>
            <w:shd w:val="clear" w:color="auto" w:fill="auto"/>
            <w:noWrap/>
            <w:vAlign w:val="center"/>
            <w:hideMark/>
          </w:tcPr>
          <w:p w14:paraId="397A3C03"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0.475702</w:t>
            </w:r>
          </w:p>
        </w:tc>
        <w:tc>
          <w:tcPr>
            <w:tcW w:w="1306" w:type="dxa"/>
            <w:shd w:val="clear" w:color="auto" w:fill="auto"/>
            <w:noWrap/>
            <w:vAlign w:val="center"/>
            <w:hideMark/>
          </w:tcPr>
          <w:p w14:paraId="215D02C1"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5.067966</w:t>
            </w:r>
          </w:p>
        </w:tc>
        <w:tc>
          <w:tcPr>
            <w:tcW w:w="1306" w:type="dxa"/>
            <w:shd w:val="clear" w:color="auto" w:fill="auto"/>
            <w:noWrap/>
            <w:vAlign w:val="center"/>
            <w:hideMark/>
          </w:tcPr>
          <w:p w14:paraId="083F5A6B"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0.549191</w:t>
            </w:r>
          </w:p>
        </w:tc>
      </w:tr>
      <w:tr w:rsidR="005F1DEC" w:rsidRPr="00277A1D" w14:paraId="3C8ABC40" w14:textId="77777777" w:rsidTr="009452AC">
        <w:trPr>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1C65EC3B"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r__REVAPMN.gw</w:t>
            </w:r>
          </w:p>
        </w:tc>
        <w:tc>
          <w:tcPr>
            <w:tcW w:w="1780" w:type="dxa"/>
            <w:shd w:val="clear" w:color="auto" w:fill="auto"/>
            <w:noWrap/>
            <w:vAlign w:val="center"/>
            <w:hideMark/>
          </w:tcPr>
          <w:p w14:paraId="0D2465C9"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-0.5-0.5</w:t>
            </w:r>
          </w:p>
        </w:tc>
        <w:tc>
          <w:tcPr>
            <w:tcW w:w="1247" w:type="dxa"/>
            <w:shd w:val="clear" w:color="auto" w:fill="auto"/>
            <w:noWrap/>
            <w:vAlign w:val="center"/>
            <w:hideMark/>
          </w:tcPr>
          <w:p w14:paraId="48618089"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-0.290221</w:t>
            </w:r>
          </w:p>
        </w:tc>
        <w:tc>
          <w:tcPr>
            <w:tcW w:w="1321" w:type="dxa"/>
            <w:shd w:val="clear" w:color="auto" w:fill="auto"/>
            <w:noWrap/>
            <w:vAlign w:val="center"/>
            <w:hideMark/>
          </w:tcPr>
          <w:p w14:paraId="5F8CE5EA"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0.012907</w:t>
            </w:r>
          </w:p>
        </w:tc>
        <w:tc>
          <w:tcPr>
            <w:tcW w:w="1306" w:type="dxa"/>
            <w:shd w:val="clear" w:color="auto" w:fill="auto"/>
            <w:noWrap/>
            <w:vAlign w:val="center"/>
            <w:hideMark/>
          </w:tcPr>
          <w:p w14:paraId="3B5D37F2"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-0.823312</w:t>
            </w:r>
          </w:p>
        </w:tc>
        <w:tc>
          <w:tcPr>
            <w:tcW w:w="1306" w:type="dxa"/>
            <w:shd w:val="clear" w:color="auto" w:fill="auto"/>
            <w:noWrap/>
            <w:vAlign w:val="center"/>
            <w:hideMark/>
          </w:tcPr>
          <w:p w14:paraId="02381503"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-0.676632</w:t>
            </w:r>
          </w:p>
        </w:tc>
      </w:tr>
      <w:tr w:rsidR="005F1DEC" w:rsidRPr="00277A1D" w14:paraId="713C849F" w14:textId="77777777" w:rsidTr="00945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3164CAE1"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v__</w:t>
            </w:r>
            <w:proofErr w:type="spellStart"/>
            <w:r w:rsidRPr="00277A1D">
              <w:rPr>
                <w:rFonts w:ascii="Times New Roman" w:eastAsia="Times New Roman" w:hAnsi="Times New Roman" w:cs="Times New Roman"/>
                <w:i/>
                <w:iCs/>
                <w:sz w:val="20"/>
                <w:szCs w:val="20"/>
              </w:rPr>
              <w:t>ESCO.hru</w:t>
            </w:r>
            <w:proofErr w:type="spellEnd"/>
          </w:p>
        </w:tc>
        <w:tc>
          <w:tcPr>
            <w:tcW w:w="1780" w:type="dxa"/>
            <w:shd w:val="clear" w:color="auto" w:fill="auto"/>
            <w:noWrap/>
            <w:vAlign w:val="center"/>
            <w:hideMark/>
          </w:tcPr>
          <w:p w14:paraId="02C7EC3D"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w:t>
            </w:r>
          </w:p>
        </w:tc>
        <w:tc>
          <w:tcPr>
            <w:tcW w:w="1247" w:type="dxa"/>
            <w:shd w:val="clear" w:color="auto" w:fill="auto"/>
            <w:noWrap/>
            <w:vAlign w:val="center"/>
            <w:hideMark/>
          </w:tcPr>
          <w:p w14:paraId="4ABE931C"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0.18564</w:t>
            </w:r>
          </w:p>
        </w:tc>
        <w:tc>
          <w:tcPr>
            <w:tcW w:w="1321" w:type="dxa"/>
            <w:shd w:val="clear" w:color="auto" w:fill="auto"/>
            <w:noWrap/>
            <w:vAlign w:val="center"/>
            <w:hideMark/>
          </w:tcPr>
          <w:p w14:paraId="0C1E86CC"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0.815-0.82*</w:t>
            </w:r>
          </w:p>
        </w:tc>
        <w:tc>
          <w:tcPr>
            <w:tcW w:w="1306" w:type="dxa"/>
            <w:shd w:val="clear" w:color="auto" w:fill="auto"/>
            <w:noWrap/>
            <w:vAlign w:val="center"/>
            <w:hideMark/>
          </w:tcPr>
          <w:p w14:paraId="0A2600A0"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0.070324</w:t>
            </w:r>
          </w:p>
        </w:tc>
        <w:tc>
          <w:tcPr>
            <w:tcW w:w="1306" w:type="dxa"/>
            <w:shd w:val="clear" w:color="auto" w:fill="auto"/>
            <w:noWrap/>
            <w:vAlign w:val="center"/>
            <w:hideMark/>
          </w:tcPr>
          <w:p w14:paraId="6EF2BCA9"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0.82-0.86*</w:t>
            </w:r>
          </w:p>
        </w:tc>
      </w:tr>
      <w:tr w:rsidR="005F1DEC" w:rsidRPr="00277A1D" w14:paraId="50F85CFF" w14:textId="77777777" w:rsidTr="009452AC">
        <w:trPr>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39B8B0E3"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v__</w:t>
            </w:r>
            <w:proofErr w:type="spellStart"/>
            <w:r w:rsidRPr="00277A1D">
              <w:rPr>
                <w:rFonts w:ascii="Times New Roman" w:eastAsia="Times New Roman" w:hAnsi="Times New Roman" w:cs="Times New Roman"/>
                <w:i/>
                <w:iCs/>
                <w:sz w:val="20"/>
                <w:szCs w:val="20"/>
              </w:rPr>
              <w:t>EPCO.hru</w:t>
            </w:r>
            <w:proofErr w:type="spellEnd"/>
          </w:p>
        </w:tc>
        <w:tc>
          <w:tcPr>
            <w:tcW w:w="1780" w:type="dxa"/>
            <w:shd w:val="clear" w:color="auto" w:fill="auto"/>
            <w:noWrap/>
            <w:vAlign w:val="center"/>
            <w:hideMark/>
          </w:tcPr>
          <w:p w14:paraId="7D66C84E"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0-1</w:t>
            </w:r>
          </w:p>
        </w:tc>
        <w:tc>
          <w:tcPr>
            <w:tcW w:w="1247" w:type="dxa"/>
            <w:shd w:val="clear" w:color="auto" w:fill="auto"/>
            <w:noWrap/>
            <w:vAlign w:val="center"/>
            <w:hideMark/>
          </w:tcPr>
          <w:p w14:paraId="6B1F625A"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0.475542</w:t>
            </w:r>
          </w:p>
        </w:tc>
        <w:tc>
          <w:tcPr>
            <w:tcW w:w="1321" w:type="dxa"/>
            <w:shd w:val="clear" w:color="auto" w:fill="auto"/>
            <w:noWrap/>
            <w:vAlign w:val="center"/>
            <w:hideMark/>
          </w:tcPr>
          <w:p w14:paraId="2E0D0704"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0.38-0.48*</w:t>
            </w:r>
          </w:p>
        </w:tc>
        <w:tc>
          <w:tcPr>
            <w:tcW w:w="1306" w:type="dxa"/>
            <w:shd w:val="clear" w:color="auto" w:fill="auto"/>
            <w:noWrap/>
            <w:vAlign w:val="center"/>
            <w:hideMark/>
          </w:tcPr>
          <w:p w14:paraId="44D2E2B8"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0.972392</w:t>
            </w:r>
          </w:p>
        </w:tc>
        <w:tc>
          <w:tcPr>
            <w:tcW w:w="1306" w:type="dxa"/>
            <w:shd w:val="clear" w:color="auto" w:fill="auto"/>
            <w:noWrap/>
            <w:vAlign w:val="center"/>
            <w:hideMark/>
          </w:tcPr>
          <w:p w14:paraId="69508482" w14:textId="77777777" w:rsidR="005F1DEC" w:rsidRPr="00277A1D" w:rsidRDefault="005F1DEC" w:rsidP="009452A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0.38-0.48*</w:t>
            </w:r>
          </w:p>
        </w:tc>
      </w:tr>
      <w:tr w:rsidR="005F1DEC" w:rsidRPr="00277A1D" w14:paraId="5CA41858" w14:textId="77777777" w:rsidTr="009452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8" w:type="dxa"/>
            <w:shd w:val="clear" w:color="auto" w:fill="auto"/>
            <w:noWrap/>
            <w:vAlign w:val="center"/>
            <w:hideMark/>
          </w:tcPr>
          <w:p w14:paraId="63148072" w14:textId="77777777" w:rsidR="005F1DEC" w:rsidRPr="00277A1D" w:rsidRDefault="005F1DEC" w:rsidP="009452AC">
            <w:pPr>
              <w:jc w:val="center"/>
              <w:rPr>
                <w:rFonts w:ascii="Times New Roman" w:eastAsia="Times New Roman" w:hAnsi="Times New Roman" w:cs="Times New Roman"/>
                <w:b w:val="0"/>
                <w:i/>
                <w:iCs/>
                <w:color w:val="auto"/>
                <w:sz w:val="20"/>
                <w:szCs w:val="20"/>
              </w:rPr>
            </w:pPr>
            <w:r w:rsidRPr="00277A1D">
              <w:rPr>
                <w:rFonts w:ascii="Times New Roman" w:eastAsia="Times New Roman" w:hAnsi="Times New Roman" w:cs="Times New Roman"/>
                <w:i/>
                <w:iCs/>
                <w:sz w:val="20"/>
                <w:szCs w:val="20"/>
              </w:rPr>
              <w:t>v__</w:t>
            </w:r>
            <w:proofErr w:type="spellStart"/>
            <w:r w:rsidRPr="00277A1D">
              <w:rPr>
                <w:rFonts w:ascii="Times New Roman" w:eastAsia="Times New Roman" w:hAnsi="Times New Roman" w:cs="Times New Roman"/>
                <w:i/>
                <w:iCs/>
                <w:sz w:val="20"/>
                <w:szCs w:val="20"/>
              </w:rPr>
              <w:t>CANMX.hru</w:t>
            </w:r>
            <w:proofErr w:type="spellEnd"/>
          </w:p>
        </w:tc>
        <w:tc>
          <w:tcPr>
            <w:tcW w:w="1780" w:type="dxa"/>
            <w:shd w:val="clear" w:color="auto" w:fill="auto"/>
            <w:noWrap/>
            <w:vAlign w:val="center"/>
            <w:hideMark/>
          </w:tcPr>
          <w:p w14:paraId="24907F24"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0-5</w:t>
            </w:r>
          </w:p>
        </w:tc>
        <w:tc>
          <w:tcPr>
            <w:tcW w:w="1247" w:type="dxa"/>
            <w:shd w:val="clear" w:color="auto" w:fill="auto"/>
            <w:noWrap/>
            <w:vAlign w:val="center"/>
            <w:hideMark/>
          </w:tcPr>
          <w:p w14:paraId="566A46DE"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3.768076</w:t>
            </w:r>
          </w:p>
        </w:tc>
        <w:tc>
          <w:tcPr>
            <w:tcW w:w="1321" w:type="dxa"/>
            <w:shd w:val="clear" w:color="auto" w:fill="auto"/>
            <w:noWrap/>
            <w:vAlign w:val="center"/>
            <w:hideMark/>
          </w:tcPr>
          <w:p w14:paraId="462D94BB"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0.596-0.94*</w:t>
            </w:r>
          </w:p>
        </w:tc>
        <w:tc>
          <w:tcPr>
            <w:tcW w:w="1306" w:type="dxa"/>
            <w:shd w:val="clear" w:color="auto" w:fill="auto"/>
            <w:noWrap/>
            <w:vAlign w:val="center"/>
            <w:hideMark/>
          </w:tcPr>
          <w:p w14:paraId="5DAF9ADB" w14:textId="77777777" w:rsidR="005F1DEC" w:rsidRPr="00277A1D" w:rsidRDefault="005F1DEC" w:rsidP="009452A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4.944259</w:t>
            </w:r>
          </w:p>
        </w:tc>
        <w:tc>
          <w:tcPr>
            <w:tcW w:w="1306" w:type="dxa"/>
            <w:shd w:val="clear" w:color="auto" w:fill="auto"/>
            <w:noWrap/>
            <w:vAlign w:val="center"/>
            <w:hideMark/>
          </w:tcPr>
          <w:p w14:paraId="34D4A3FE" w14:textId="77777777" w:rsidR="005F1DEC" w:rsidRPr="00277A1D" w:rsidRDefault="005F1DEC" w:rsidP="009452AC">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277A1D">
              <w:rPr>
                <w:rFonts w:ascii="Times New Roman" w:eastAsia="Times New Roman" w:hAnsi="Times New Roman" w:cs="Times New Roman"/>
                <w:color w:val="auto"/>
                <w:sz w:val="20"/>
                <w:szCs w:val="20"/>
              </w:rPr>
              <w:t>0.52-0.94*</w:t>
            </w:r>
          </w:p>
        </w:tc>
      </w:tr>
    </w:tbl>
    <w:p w14:paraId="53BF9941" w14:textId="77777777" w:rsidR="005F1DEC" w:rsidRPr="00277A1D" w:rsidRDefault="005F1DEC" w:rsidP="00277A1D">
      <w:pPr>
        <w:spacing w:line="240" w:lineRule="auto"/>
        <w:rPr>
          <w:rFonts w:ascii="Times New Roman" w:hAnsi="Times New Roman" w:cs="Times New Roman"/>
        </w:rPr>
      </w:pPr>
    </w:p>
    <w:p w14:paraId="0080FD7E" w14:textId="19669223" w:rsidR="00745659" w:rsidRPr="006A36F5" w:rsidRDefault="00745659" w:rsidP="00277A1D">
      <w:pPr>
        <w:spacing w:line="240" w:lineRule="auto"/>
        <w:jc w:val="both"/>
        <w:rPr>
          <w:rFonts w:ascii="Times New Roman" w:hAnsi="Times New Roman" w:cs="Times New Roman"/>
          <w:b/>
          <w:bCs/>
          <w:sz w:val="24"/>
          <w:szCs w:val="24"/>
        </w:rPr>
      </w:pPr>
      <w:r w:rsidRPr="006A36F5">
        <w:rPr>
          <w:rFonts w:ascii="Times New Roman" w:hAnsi="Times New Roman" w:cs="Times New Roman"/>
          <w:b/>
          <w:bCs/>
          <w:sz w:val="24"/>
          <w:szCs w:val="24"/>
        </w:rPr>
        <w:t>Appendix C: Supporting materials</w:t>
      </w:r>
    </w:p>
    <w:p w14:paraId="789417C0" w14:textId="75E88E8B" w:rsidR="00745659" w:rsidRDefault="00745659" w:rsidP="00277A1D">
      <w:pPr>
        <w:pStyle w:val="ListParagraph"/>
        <w:numPr>
          <w:ilvl w:val="1"/>
          <w:numId w:val="4"/>
        </w:numPr>
        <w:spacing w:line="240" w:lineRule="auto"/>
        <w:jc w:val="both"/>
        <w:rPr>
          <w:rFonts w:ascii="Times New Roman" w:hAnsi="Times New Roman" w:cs="Times New Roman"/>
          <w:sz w:val="24"/>
          <w:szCs w:val="24"/>
        </w:rPr>
      </w:pPr>
      <w:r w:rsidRPr="00277A1D">
        <w:rPr>
          <w:rFonts w:ascii="Times New Roman" w:hAnsi="Times New Roman" w:cs="Times New Roman"/>
          <w:sz w:val="24"/>
          <w:szCs w:val="24"/>
        </w:rPr>
        <w:t>Improvements in forest dynamics</w:t>
      </w:r>
    </w:p>
    <w:p w14:paraId="75B15EDB" w14:textId="77777777" w:rsidR="00277A1D" w:rsidRPr="00277A1D" w:rsidRDefault="00277A1D" w:rsidP="00277A1D">
      <w:pPr>
        <w:pStyle w:val="ListParagraph"/>
        <w:spacing w:line="240" w:lineRule="auto"/>
        <w:ind w:left="1440"/>
        <w:jc w:val="both"/>
        <w:rPr>
          <w:rFonts w:ascii="Times New Roman" w:hAnsi="Times New Roman" w:cs="Times New Roman"/>
          <w:sz w:val="24"/>
          <w:szCs w:val="24"/>
        </w:rPr>
      </w:pPr>
    </w:p>
    <w:p w14:paraId="64602286" w14:textId="104D121A" w:rsidR="00745659" w:rsidRPr="00277A1D" w:rsidRDefault="00745659" w:rsidP="00277A1D">
      <w:pPr>
        <w:pStyle w:val="ListParagraph"/>
        <w:numPr>
          <w:ilvl w:val="1"/>
          <w:numId w:val="5"/>
        </w:numPr>
        <w:spacing w:line="240" w:lineRule="auto"/>
        <w:jc w:val="both"/>
        <w:rPr>
          <w:rFonts w:ascii="Times New Roman" w:hAnsi="Times New Roman" w:cs="Times New Roman"/>
          <w:sz w:val="24"/>
          <w:szCs w:val="24"/>
        </w:rPr>
      </w:pPr>
      <w:r w:rsidRPr="00277A1D">
        <w:rPr>
          <w:rFonts w:ascii="Times New Roman" w:hAnsi="Times New Roman" w:cs="Times New Roman"/>
          <w:sz w:val="24"/>
          <w:szCs w:val="24"/>
        </w:rPr>
        <w:t>Upatoi Creek watershed (UCW)</w:t>
      </w:r>
    </w:p>
    <w:p w14:paraId="57195F98" w14:textId="77777777" w:rsidR="00745659" w:rsidRPr="00277A1D" w:rsidRDefault="00745659" w:rsidP="00277A1D">
      <w:pPr>
        <w:spacing w:line="240" w:lineRule="auto"/>
        <w:ind w:firstLine="720"/>
        <w:jc w:val="both"/>
        <w:rPr>
          <w:rFonts w:ascii="Times New Roman" w:hAnsi="Times New Roman" w:cs="Times New Roman"/>
          <w:sz w:val="24"/>
          <w:szCs w:val="24"/>
        </w:rPr>
      </w:pPr>
      <w:r w:rsidRPr="00277A1D">
        <w:rPr>
          <w:rFonts w:ascii="Times New Roman" w:hAnsi="Times New Roman" w:cs="Times New Roman"/>
          <w:sz w:val="24"/>
          <w:szCs w:val="24"/>
        </w:rPr>
        <w:t xml:space="preserve">Although SWAT was run for the 1998-2018 period, the analysis of simulated forest processes discussed here is limited to the period 2001-2018 for ET and 2003-2018 for LAI, because of MODIS data availability. </w:t>
      </w:r>
    </w:p>
    <w:p w14:paraId="03754029" w14:textId="77777777" w:rsidR="00745659" w:rsidRPr="00277A1D" w:rsidRDefault="00745659" w:rsidP="00277A1D">
      <w:pPr>
        <w:spacing w:line="240" w:lineRule="auto"/>
        <w:ind w:firstLine="720"/>
        <w:jc w:val="both"/>
        <w:rPr>
          <w:rFonts w:ascii="Times New Roman" w:hAnsi="Times New Roman" w:cs="Times New Roman"/>
          <w:color w:val="000000" w:themeColor="text1"/>
          <w:sz w:val="24"/>
          <w:szCs w:val="24"/>
        </w:rPr>
      </w:pPr>
      <w:r w:rsidRPr="00277A1D">
        <w:rPr>
          <w:rFonts w:ascii="Times New Roman" w:hAnsi="Times New Roman" w:cs="Times New Roman"/>
          <w:sz w:val="24"/>
          <w:szCs w:val="24"/>
        </w:rPr>
        <w:t>As shown in Fig. 3, both LAI and ET predictions for loblolly pine improved significantly under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The default SWAT parameterization largely overestimated the annual maximum LAI in comparison to MODIS. According to MODIS estimates, the average monthly LAI from 2003 to 2018 at UCW was 1.78 m</w:t>
      </w:r>
      <w:r w:rsidRPr="00277A1D">
        <w:rPr>
          <w:rFonts w:ascii="Times New Roman" w:hAnsi="Times New Roman" w:cs="Times New Roman"/>
          <w:sz w:val="24"/>
          <w:szCs w:val="24"/>
          <w:vertAlign w:val="superscript"/>
        </w:rPr>
        <w:t>2</w:t>
      </w:r>
      <w:r w:rsidRPr="00277A1D">
        <w:rPr>
          <w:rFonts w:ascii="Times New Roman" w:hAnsi="Times New Roman" w:cs="Times New Roman"/>
          <w:sz w:val="24"/>
          <w:szCs w:val="24"/>
        </w:rPr>
        <w:t>/m</w:t>
      </w:r>
      <w:r w:rsidRPr="00277A1D">
        <w:rPr>
          <w:rFonts w:ascii="Times New Roman" w:hAnsi="Times New Roman" w:cs="Times New Roman"/>
          <w:sz w:val="24"/>
          <w:szCs w:val="24"/>
          <w:vertAlign w:val="superscript"/>
        </w:rPr>
        <w:t>2</w:t>
      </w:r>
      <w:r w:rsidRPr="00277A1D">
        <w:rPr>
          <w:rFonts w:ascii="Times New Roman" w:hAnsi="Times New Roman" w:cs="Times New Roman"/>
          <w:sz w:val="24"/>
          <w:szCs w:val="24"/>
        </w:rPr>
        <w:t>. In the simulation with M</w:t>
      </w:r>
      <w:r w:rsidRPr="00277A1D">
        <w:rPr>
          <w:rFonts w:ascii="Times New Roman" w:hAnsi="Times New Roman" w:cs="Times New Roman"/>
          <w:sz w:val="24"/>
          <w:szCs w:val="24"/>
          <w:vertAlign w:val="subscript"/>
        </w:rPr>
        <w:t>0</w:t>
      </w:r>
      <w:r w:rsidRPr="00277A1D">
        <w:rPr>
          <w:rFonts w:ascii="Times New Roman" w:hAnsi="Times New Roman" w:cs="Times New Roman"/>
          <w:sz w:val="24"/>
          <w:szCs w:val="24"/>
        </w:rPr>
        <w:t>, the predicted average monthly LAI was 2.45 m</w:t>
      </w:r>
      <w:r w:rsidRPr="00277A1D">
        <w:rPr>
          <w:rFonts w:ascii="Times New Roman" w:hAnsi="Times New Roman" w:cs="Times New Roman"/>
          <w:sz w:val="24"/>
          <w:szCs w:val="24"/>
          <w:vertAlign w:val="superscript"/>
        </w:rPr>
        <w:t>2</w:t>
      </w:r>
      <w:r w:rsidRPr="00277A1D">
        <w:rPr>
          <w:rFonts w:ascii="Times New Roman" w:hAnsi="Times New Roman" w:cs="Times New Roman"/>
          <w:sz w:val="24"/>
          <w:szCs w:val="24"/>
        </w:rPr>
        <w:t>/m</w:t>
      </w:r>
      <w:r w:rsidRPr="00277A1D">
        <w:rPr>
          <w:rFonts w:ascii="Times New Roman" w:hAnsi="Times New Roman" w:cs="Times New Roman"/>
          <w:sz w:val="24"/>
          <w:szCs w:val="24"/>
          <w:vertAlign w:val="superscript"/>
        </w:rPr>
        <w:t>2</w:t>
      </w:r>
      <w:r w:rsidRPr="00277A1D">
        <w:rPr>
          <w:rFonts w:ascii="Times New Roman" w:hAnsi="Times New Roman" w:cs="Times New Roman"/>
          <w:sz w:val="24"/>
          <w:szCs w:val="24"/>
        </w:rPr>
        <w:t>, while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simulated an average monthly LAI of 1.71 m</w:t>
      </w:r>
      <w:r w:rsidRPr="00277A1D">
        <w:rPr>
          <w:rFonts w:ascii="Times New Roman" w:hAnsi="Times New Roman" w:cs="Times New Roman"/>
          <w:sz w:val="24"/>
          <w:szCs w:val="24"/>
          <w:vertAlign w:val="superscript"/>
        </w:rPr>
        <w:t>2</w:t>
      </w:r>
      <w:r w:rsidRPr="00277A1D">
        <w:rPr>
          <w:rFonts w:ascii="Times New Roman" w:hAnsi="Times New Roman" w:cs="Times New Roman"/>
          <w:sz w:val="24"/>
          <w:szCs w:val="24"/>
        </w:rPr>
        <w:t>/m</w:t>
      </w:r>
      <w:r w:rsidRPr="00277A1D">
        <w:rPr>
          <w:rFonts w:ascii="Times New Roman" w:hAnsi="Times New Roman" w:cs="Times New Roman"/>
          <w:sz w:val="24"/>
          <w:szCs w:val="24"/>
          <w:vertAlign w:val="superscript"/>
        </w:rPr>
        <w:t>2</w:t>
      </w:r>
      <w:r w:rsidRPr="00277A1D">
        <w:rPr>
          <w:rFonts w:ascii="Times New Roman" w:hAnsi="Times New Roman" w:cs="Times New Roman"/>
          <w:sz w:val="24"/>
          <w:szCs w:val="24"/>
        </w:rPr>
        <w:t>. The superior model performance under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is supported by the statistical measures shown in Table 4. </w:t>
      </w:r>
      <w:r w:rsidRPr="00277A1D">
        <w:rPr>
          <w:rFonts w:ascii="Times New Roman" w:eastAsia="Times New Roman" w:hAnsi="Times New Roman" w:cs="Times New Roman"/>
          <w:color w:val="000000"/>
          <w:sz w:val="24"/>
          <w:szCs w:val="24"/>
        </w:rPr>
        <w:t xml:space="preserve">As can be seen in Fig. 3,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eastAsia="Times New Roman" w:hAnsi="Times New Roman" w:cs="Times New Roman"/>
          <w:color w:val="000000"/>
          <w:sz w:val="24"/>
          <w:szCs w:val="24"/>
        </w:rPr>
        <w:t xml:space="preserve"> missed most of MODIS ET peaks, which were captured in the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LAI+BM+ET</w:t>
      </w:r>
      <w:r w:rsidRPr="00277A1D">
        <w:rPr>
          <w:rFonts w:ascii="Times New Roman" w:eastAsia="Times New Roman" w:hAnsi="Times New Roman" w:cs="Times New Roman"/>
          <w:color w:val="000000"/>
          <w:sz w:val="24"/>
          <w:szCs w:val="24"/>
        </w:rPr>
        <w:t xml:space="preserve"> model configuration. The better goodness of fit between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LAI+BM+ET</w:t>
      </w:r>
      <w:r w:rsidRPr="00277A1D">
        <w:rPr>
          <w:rFonts w:ascii="Times New Roman" w:eastAsia="Times New Roman" w:hAnsi="Times New Roman" w:cs="Times New Roman"/>
          <w:color w:val="000000"/>
          <w:sz w:val="24"/>
          <w:szCs w:val="24"/>
        </w:rPr>
        <w:t xml:space="preserve"> and MODIS ET </w:t>
      </w:r>
      <w:proofErr w:type="gramStart"/>
      <w:r w:rsidRPr="00277A1D">
        <w:rPr>
          <w:rFonts w:ascii="Times New Roman" w:eastAsia="Times New Roman" w:hAnsi="Times New Roman" w:cs="Times New Roman"/>
          <w:color w:val="000000"/>
          <w:sz w:val="24"/>
          <w:szCs w:val="24"/>
        </w:rPr>
        <w:t>is</w:t>
      </w:r>
      <w:proofErr w:type="gramEnd"/>
      <w:r w:rsidRPr="00277A1D">
        <w:rPr>
          <w:rFonts w:ascii="Times New Roman" w:eastAsia="Times New Roman" w:hAnsi="Times New Roman" w:cs="Times New Roman"/>
          <w:color w:val="000000"/>
          <w:sz w:val="24"/>
          <w:szCs w:val="24"/>
        </w:rPr>
        <w:t xml:space="preserve"> demonstrated in Table 4 by higher </w:t>
      </w:r>
      <w:r w:rsidRPr="00277A1D">
        <w:rPr>
          <w:rFonts w:ascii="Times New Roman" w:eastAsia="Times New Roman" w:hAnsi="Times New Roman" w:cs="Times New Roman"/>
          <w:i/>
          <w:color w:val="000000"/>
          <w:sz w:val="24"/>
          <w:szCs w:val="24"/>
        </w:rPr>
        <w:t>NSE</w:t>
      </w:r>
      <w:r w:rsidRPr="00277A1D">
        <w:rPr>
          <w:rFonts w:ascii="Times New Roman" w:eastAsia="Times New Roman" w:hAnsi="Times New Roman" w:cs="Times New Roman"/>
          <w:color w:val="000000"/>
          <w:sz w:val="24"/>
          <w:szCs w:val="24"/>
        </w:rPr>
        <w:t xml:space="preserve"> and </w:t>
      </w:r>
      <w:r w:rsidRPr="00277A1D">
        <w:rPr>
          <w:rFonts w:ascii="Times New Roman" w:eastAsia="Times New Roman" w:hAnsi="Times New Roman" w:cs="Times New Roman"/>
          <w:i/>
          <w:color w:val="000000"/>
          <w:sz w:val="24"/>
          <w:szCs w:val="24"/>
        </w:rPr>
        <w:t>R</w:t>
      </w:r>
      <w:r w:rsidRPr="00277A1D">
        <w:rPr>
          <w:rFonts w:ascii="Times New Roman" w:eastAsia="Times New Roman" w:hAnsi="Times New Roman" w:cs="Times New Roman"/>
          <w:i/>
          <w:color w:val="000000"/>
          <w:sz w:val="24"/>
          <w:szCs w:val="24"/>
          <w:vertAlign w:val="superscript"/>
        </w:rPr>
        <w:t>2</w:t>
      </w:r>
      <w:r w:rsidRPr="00277A1D">
        <w:rPr>
          <w:rFonts w:ascii="Times New Roman" w:eastAsia="Times New Roman" w:hAnsi="Times New Roman" w:cs="Times New Roman"/>
          <w:color w:val="000000"/>
          <w:sz w:val="24"/>
          <w:szCs w:val="24"/>
        </w:rPr>
        <w:t xml:space="preserve"> values. The model’s inability to capture ET peaks with the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eastAsia="Times New Roman" w:hAnsi="Times New Roman" w:cs="Times New Roman"/>
          <w:color w:val="000000"/>
          <w:sz w:val="24"/>
          <w:szCs w:val="24"/>
        </w:rPr>
        <w:t xml:space="preserve"> model configuration translated into 30% underestimation of ET. On the other hand,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LAI+BM+ET</w:t>
      </w:r>
      <w:r w:rsidRPr="00277A1D">
        <w:rPr>
          <w:rFonts w:ascii="Times New Roman" w:eastAsia="Times New Roman" w:hAnsi="Times New Roman" w:cs="Times New Roman"/>
          <w:color w:val="000000"/>
          <w:sz w:val="24"/>
          <w:szCs w:val="24"/>
        </w:rPr>
        <w:t xml:space="preserve"> overestimated ET by 18% during 2001-2018. Although significant, </w:t>
      </w:r>
      <w:r w:rsidRPr="00277A1D">
        <w:rPr>
          <w:rFonts w:ascii="Times New Roman" w:eastAsia="Times New Roman" w:hAnsi="Times New Roman" w:cs="Times New Roman"/>
          <w:color w:val="000000"/>
          <w:sz w:val="24"/>
          <w:szCs w:val="24"/>
        </w:rPr>
        <w:lastRenderedPageBreak/>
        <w:t xml:space="preserve">this overestimation is within the uncertainty margin of 20% associated with the MODIS ET product, as reported by </w:t>
      </w:r>
      <w:r w:rsidRPr="00277A1D">
        <w:rPr>
          <w:rFonts w:ascii="Times New Roman" w:hAnsi="Times New Roman" w:cs="Times New Roman"/>
          <w:color w:val="000000" w:themeColor="text1"/>
          <w:sz w:val="24"/>
          <w:szCs w:val="24"/>
        </w:rPr>
        <w:t xml:space="preserve">Mu et al. (2013). </w:t>
      </w:r>
    </w:p>
    <w:p w14:paraId="442B14A0" w14:textId="77777777" w:rsidR="00745659" w:rsidRPr="00277A1D" w:rsidRDefault="00745659" w:rsidP="00277A1D">
      <w:pPr>
        <w:spacing w:line="240" w:lineRule="auto"/>
        <w:ind w:firstLine="720"/>
        <w:jc w:val="both"/>
        <w:rPr>
          <w:rFonts w:ascii="Times New Roman" w:hAnsi="Times New Roman" w:cs="Times New Roman"/>
          <w:sz w:val="24"/>
          <w:szCs w:val="24"/>
        </w:rPr>
      </w:pPr>
      <w:r w:rsidRPr="00277A1D">
        <w:rPr>
          <w:rFonts w:ascii="Times New Roman" w:hAnsi="Times New Roman" w:cs="Times New Roman"/>
          <w:color w:val="000000" w:themeColor="text1"/>
          <w:sz w:val="24"/>
          <w:szCs w:val="24"/>
        </w:rPr>
        <w:t xml:space="preserve">Simulated LAI and ET for slash pine failed to accurately match MODIS estimates (Fig. 3 and Table 4). These results are not alarming since slash pine cover less than 0.1% of the UCW, representing an area of only 70 hectares. Furthermore, this may indicate that the slash pine parameterization developed in FL is not suited for slash pine trees growing in GA. This finding should not come as a surprise given the substantial geographic distance between the plantation field where slash pine was calibrated and the UCW. </w:t>
      </w:r>
      <w:r w:rsidRPr="00277A1D">
        <w:rPr>
          <w:rFonts w:ascii="Times New Roman" w:hAnsi="Times New Roman" w:cs="Times New Roman"/>
          <w:sz w:val="24"/>
          <w:szCs w:val="24"/>
        </w:rPr>
        <w:t>The significant model overestimation of ET with the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model configuration is most probably a consequence of the LAI overestimation, given the role played by LAI in ET estimation. Another likely cause of the poor model performance of ET in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is the value of maximum stomatal conductance (GSI) calibrated at the field-scale site in FL, which may be too high for slash pine trees occurring in GA. </w:t>
      </w:r>
    </w:p>
    <w:p w14:paraId="43C30CA6" w14:textId="77777777" w:rsidR="00745659" w:rsidRPr="00277A1D" w:rsidRDefault="00745659" w:rsidP="00277A1D">
      <w:pPr>
        <w:spacing w:line="240" w:lineRule="auto"/>
        <w:ind w:firstLine="720"/>
        <w:jc w:val="both"/>
        <w:rPr>
          <w:rFonts w:ascii="Times New Roman" w:hAnsi="Times New Roman" w:cs="Times New Roman"/>
          <w:sz w:val="24"/>
          <w:szCs w:val="24"/>
        </w:rPr>
      </w:pPr>
      <w:r w:rsidRPr="00277A1D">
        <w:rPr>
          <w:rFonts w:ascii="Times New Roman" w:hAnsi="Times New Roman" w:cs="Times New Roman"/>
          <w:sz w:val="24"/>
          <w:szCs w:val="24"/>
        </w:rPr>
        <w:t xml:space="preserve">We compared simulated forest biomass with USDA’s </w:t>
      </w:r>
      <w:proofErr w:type="gramStart"/>
      <w:r w:rsidRPr="00277A1D">
        <w:rPr>
          <w:rFonts w:ascii="Times New Roman" w:hAnsi="Times New Roman" w:cs="Times New Roman"/>
          <w:sz w:val="24"/>
          <w:szCs w:val="24"/>
        </w:rPr>
        <w:t>Forest Service forest</w:t>
      </w:r>
      <w:proofErr w:type="gramEnd"/>
      <w:r w:rsidRPr="00277A1D">
        <w:rPr>
          <w:rFonts w:ascii="Times New Roman" w:hAnsi="Times New Roman" w:cs="Times New Roman"/>
          <w:sz w:val="24"/>
          <w:szCs w:val="24"/>
        </w:rPr>
        <w:t xml:space="preserve"> biomass product. To that end, we averaged simulated forest biomass in M</w:t>
      </w:r>
      <w:r w:rsidRPr="00277A1D">
        <w:rPr>
          <w:rFonts w:ascii="Times New Roman" w:hAnsi="Times New Roman" w:cs="Times New Roman"/>
          <w:sz w:val="24"/>
          <w:szCs w:val="24"/>
          <w:vertAlign w:val="subscript"/>
        </w:rPr>
        <w:t>0</w:t>
      </w:r>
      <w:r w:rsidRPr="00277A1D">
        <w:rPr>
          <w:rFonts w:ascii="Times New Roman" w:hAnsi="Times New Roman" w:cs="Times New Roman"/>
          <w:sz w:val="24"/>
          <w:szCs w:val="24"/>
        </w:rPr>
        <w:t xml:space="preserve"> and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for each subbasin. The subbasin level averaged biomass values were interpolated to the watershed area using Inverse Distance Weighting (IDW) interpolation method in ArcMap to allow for a more spatially discretized comparison against the gridded 250 meters resolution biomass product. The results are shown in Fig. 4. Under M</w:t>
      </w:r>
      <w:r w:rsidRPr="00277A1D">
        <w:rPr>
          <w:rFonts w:ascii="Times New Roman" w:hAnsi="Times New Roman" w:cs="Times New Roman"/>
          <w:sz w:val="24"/>
          <w:szCs w:val="24"/>
          <w:vertAlign w:val="subscript"/>
        </w:rPr>
        <w:t>0</w:t>
      </w:r>
      <w:r w:rsidRPr="00277A1D">
        <w:rPr>
          <w:rFonts w:ascii="Times New Roman" w:hAnsi="Times New Roman" w:cs="Times New Roman"/>
          <w:sz w:val="24"/>
          <w:szCs w:val="24"/>
        </w:rPr>
        <w:t xml:space="preserve">, the average annual simulated biomass during 1998-2018 was 64 </w:t>
      </w:r>
      <w:r w:rsidRPr="00277A1D">
        <w:rPr>
          <w:rFonts w:ascii="Times New Roman" w:hAnsi="Times New Roman" w:cs="Times New Roman"/>
          <w:color w:val="000000" w:themeColor="text1"/>
          <w:sz w:val="24"/>
          <w:szCs w:val="24"/>
        </w:rPr>
        <w:t>± 4 (average ± one standard deviation) tons/ha</w:t>
      </w:r>
      <w:r w:rsidRPr="00277A1D">
        <w:rPr>
          <w:rFonts w:ascii="Times New Roman" w:hAnsi="Times New Roman" w:cs="Times New Roman"/>
          <w:sz w:val="24"/>
          <w:szCs w:val="24"/>
        </w:rPr>
        <w:t>, while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predicted an average of 104 </w:t>
      </w:r>
      <w:r w:rsidRPr="00277A1D">
        <w:rPr>
          <w:rFonts w:ascii="Times New Roman" w:hAnsi="Times New Roman" w:cs="Times New Roman"/>
          <w:color w:val="000000" w:themeColor="text1"/>
          <w:sz w:val="24"/>
          <w:szCs w:val="24"/>
        </w:rPr>
        <w:t xml:space="preserve">± 13 tons/ha during the same period. USDA reported average biomass of 64 ± 15 tons/ha. Although the average biomass predicted by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hAnsi="Times New Roman" w:cs="Times New Roman"/>
          <w:color w:val="000000" w:themeColor="text1"/>
          <w:sz w:val="24"/>
          <w:szCs w:val="24"/>
        </w:rPr>
        <w:t xml:space="preserve"> matched USDA’s values,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hAnsi="Times New Roman" w:cs="Times New Roman"/>
          <w:color w:val="000000" w:themeColor="text1"/>
          <w:sz w:val="24"/>
          <w:szCs w:val="24"/>
        </w:rPr>
        <w:t xml:space="preserve"> failed to reach biomass values larger than 70 tons/ha. In contrast, the maximum biomass predicted by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LAI+BM+ET</w:t>
      </w:r>
      <w:r w:rsidRPr="00277A1D">
        <w:rPr>
          <w:rFonts w:ascii="Times New Roman" w:hAnsi="Times New Roman" w:cs="Times New Roman"/>
          <w:color w:val="000000" w:themeColor="text1"/>
          <w:sz w:val="24"/>
          <w:szCs w:val="24"/>
        </w:rPr>
        <w:t xml:space="preserve"> reached values up to 121 tons/ha, closer to 146 tons/ha of maximum biomass from USDA forest biomass data. The spatial distribution pattern of simulated biomass is similar in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hAnsi="Times New Roman" w:cs="Times New Roman"/>
          <w:color w:val="000000" w:themeColor="text1"/>
          <w:sz w:val="24"/>
          <w:szCs w:val="24"/>
        </w:rPr>
        <w:t xml:space="preserve"> and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LAI+BM+ET</w:t>
      </w:r>
      <w:r w:rsidRPr="00277A1D">
        <w:rPr>
          <w:rFonts w:ascii="Times New Roman" w:hAnsi="Times New Roman" w:cs="Times New Roman"/>
          <w:color w:val="000000" w:themeColor="text1"/>
          <w:sz w:val="24"/>
          <w:szCs w:val="24"/>
        </w:rPr>
        <w:t xml:space="preserve">, although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LAI+BM+ET</w:t>
      </w:r>
      <w:r w:rsidRPr="00277A1D">
        <w:rPr>
          <w:rFonts w:ascii="Times New Roman" w:hAnsi="Times New Roman" w:cs="Times New Roman"/>
          <w:color w:val="000000" w:themeColor="text1"/>
          <w:sz w:val="24"/>
          <w:szCs w:val="24"/>
        </w:rPr>
        <w:t xml:space="preserve"> showed better agreement with USDA biomass data in the northwestern portion of the watershed. In this area, which is heavily covered by loblolly pine (Fig. 2A),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hAnsi="Times New Roman" w:cs="Times New Roman"/>
          <w:color w:val="000000" w:themeColor="text1"/>
          <w:sz w:val="24"/>
          <w:szCs w:val="24"/>
        </w:rPr>
        <w:t xml:space="preserve"> tended to underestimate biomass.</w:t>
      </w:r>
    </w:p>
    <w:p w14:paraId="2CC923EF" w14:textId="58B05137" w:rsidR="00745659" w:rsidRPr="00AF7C6C" w:rsidRDefault="00745659" w:rsidP="00AF7C6C">
      <w:pPr>
        <w:pStyle w:val="ListParagraph"/>
        <w:numPr>
          <w:ilvl w:val="1"/>
          <w:numId w:val="5"/>
        </w:numPr>
        <w:spacing w:line="240" w:lineRule="auto"/>
        <w:jc w:val="both"/>
        <w:rPr>
          <w:rFonts w:ascii="Times New Roman" w:hAnsi="Times New Roman" w:cs="Times New Roman"/>
          <w:sz w:val="24"/>
          <w:szCs w:val="24"/>
        </w:rPr>
      </w:pPr>
      <w:r w:rsidRPr="00AF7C6C">
        <w:rPr>
          <w:rFonts w:ascii="Times New Roman" w:hAnsi="Times New Roman" w:cs="Times New Roman"/>
          <w:sz w:val="24"/>
          <w:szCs w:val="24"/>
        </w:rPr>
        <w:t xml:space="preserve"> Upper Santa Fe River watershed</w:t>
      </w:r>
    </w:p>
    <w:p w14:paraId="3B744351" w14:textId="77777777" w:rsidR="00745659" w:rsidRPr="00277A1D" w:rsidRDefault="00745659" w:rsidP="00277A1D">
      <w:pPr>
        <w:spacing w:line="240" w:lineRule="auto"/>
        <w:ind w:firstLine="720"/>
        <w:jc w:val="both"/>
        <w:rPr>
          <w:rFonts w:ascii="Times New Roman" w:hAnsi="Times New Roman" w:cs="Times New Roman"/>
          <w:sz w:val="24"/>
          <w:szCs w:val="24"/>
        </w:rPr>
      </w:pPr>
      <w:r w:rsidRPr="00277A1D">
        <w:rPr>
          <w:rFonts w:ascii="Times New Roman" w:hAnsi="Times New Roman" w:cs="Times New Roman"/>
          <w:sz w:val="24"/>
          <w:szCs w:val="24"/>
        </w:rPr>
        <w:t>It is visually clear that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outperformed M</w:t>
      </w:r>
      <w:r w:rsidRPr="00277A1D">
        <w:rPr>
          <w:rFonts w:ascii="Times New Roman" w:hAnsi="Times New Roman" w:cs="Times New Roman"/>
          <w:sz w:val="24"/>
          <w:szCs w:val="24"/>
          <w:vertAlign w:val="subscript"/>
        </w:rPr>
        <w:t>0</w:t>
      </w:r>
      <w:r w:rsidRPr="00277A1D">
        <w:rPr>
          <w:rFonts w:ascii="Times New Roman" w:hAnsi="Times New Roman" w:cs="Times New Roman"/>
          <w:sz w:val="24"/>
          <w:szCs w:val="24"/>
        </w:rPr>
        <w:t xml:space="preserve"> in capturing LAI seasonality for loblolly pine (Fig. 3). The goodness of fit measured by </w:t>
      </w:r>
      <w:r w:rsidRPr="00277A1D">
        <w:rPr>
          <w:rFonts w:ascii="Times New Roman" w:hAnsi="Times New Roman" w:cs="Times New Roman"/>
          <w:i/>
          <w:sz w:val="24"/>
          <w:szCs w:val="24"/>
        </w:rPr>
        <w:t>R</w:t>
      </w:r>
      <w:r w:rsidRPr="00277A1D">
        <w:rPr>
          <w:rFonts w:ascii="Times New Roman" w:hAnsi="Times New Roman" w:cs="Times New Roman"/>
          <w:i/>
          <w:sz w:val="24"/>
          <w:szCs w:val="24"/>
          <w:vertAlign w:val="superscript"/>
        </w:rPr>
        <w:t>2</w:t>
      </w:r>
      <w:r w:rsidRPr="00277A1D">
        <w:rPr>
          <w:rFonts w:ascii="Times New Roman" w:hAnsi="Times New Roman" w:cs="Times New Roman"/>
          <w:sz w:val="24"/>
          <w:szCs w:val="24"/>
        </w:rPr>
        <w:t xml:space="preserve"> and </w:t>
      </w:r>
      <w:r w:rsidRPr="00277A1D">
        <w:rPr>
          <w:rFonts w:ascii="Times New Roman" w:hAnsi="Times New Roman" w:cs="Times New Roman"/>
          <w:i/>
          <w:sz w:val="24"/>
          <w:szCs w:val="24"/>
        </w:rPr>
        <w:t>NSE</w:t>
      </w:r>
      <w:r w:rsidRPr="00277A1D">
        <w:rPr>
          <w:rFonts w:ascii="Times New Roman" w:hAnsi="Times New Roman" w:cs="Times New Roman"/>
          <w:sz w:val="24"/>
          <w:szCs w:val="24"/>
        </w:rPr>
        <w:t xml:space="preserve"> and shown in Table 4 demonstrates the benefits of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in comparison to M</w:t>
      </w:r>
      <w:r w:rsidRPr="00277A1D">
        <w:rPr>
          <w:rFonts w:ascii="Times New Roman" w:hAnsi="Times New Roman" w:cs="Times New Roman"/>
          <w:sz w:val="24"/>
          <w:szCs w:val="24"/>
          <w:vertAlign w:val="subscript"/>
        </w:rPr>
        <w:t>0</w:t>
      </w:r>
      <w:r w:rsidRPr="00277A1D">
        <w:rPr>
          <w:rFonts w:ascii="Times New Roman" w:hAnsi="Times New Roman" w:cs="Times New Roman"/>
          <w:sz w:val="24"/>
          <w:szCs w:val="24"/>
        </w:rPr>
        <w:t>. The evident model overestimation in M</w:t>
      </w:r>
      <w:r w:rsidRPr="00277A1D">
        <w:rPr>
          <w:rFonts w:ascii="Times New Roman" w:hAnsi="Times New Roman" w:cs="Times New Roman"/>
          <w:sz w:val="24"/>
          <w:szCs w:val="24"/>
          <w:vertAlign w:val="subscript"/>
        </w:rPr>
        <w:t>0</w:t>
      </w:r>
      <w:r w:rsidRPr="00277A1D">
        <w:rPr>
          <w:rFonts w:ascii="Times New Roman" w:hAnsi="Times New Roman" w:cs="Times New Roman"/>
          <w:sz w:val="24"/>
          <w:szCs w:val="24"/>
        </w:rPr>
        <w:t xml:space="preserve"> is evidenced by </w:t>
      </w:r>
      <w:r w:rsidRPr="00277A1D">
        <w:rPr>
          <w:rFonts w:ascii="Times New Roman" w:hAnsi="Times New Roman" w:cs="Times New Roman"/>
          <w:i/>
          <w:sz w:val="24"/>
          <w:szCs w:val="24"/>
        </w:rPr>
        <w:t>PBIAS</w:t>
      </w:r>
      <w:r w:rsidRPr="00277A1D">
        <w:rPr>
          <w:rFonts w:ascii="Times New Roman" w:hAnsi="Times New Roman" w:cs="Times New Roman"/>
          <w:sz w:val="24"/>
          <w:szCs w:val="24"/>
        </w:rPr>
        <w:t xml:space="preserve"> values of 38%, which has improved to 7% in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w:t>
      </w:r>
      <w:r w:rsidRPr="00277A1D">
        <w:rPr>
          <w:rFonts w:ascii="Times New Roman" w:hAnsi="Times New Roman" w:cs="Times New Roman"/>
          <w:color w:val="000000" w:themeColor="text1"/>
          <w:sz w:val="24"/>
          <w:szCs w:val="24"/>
        </w:rPr>
        <w:t xml:space="preserve">Monthly ET for loblolly pine was significantly underestimated in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hAnsi="Times New Roman" w:cs="Times New Roman"/>
          <w:color w:val="000000" w:themeColor="text1"/>
          <w:sz w:val="24"/>
          <w:szCs w:val="24"/>
        </w:rPr>
        <w:t xml:space="preserve"> compared with MODIS reference time-series (Fig. 3). With the default parameterization, the average annual ET was 448 ± 58 mm during 2001-2018, which was significantly lower than MODIS estimates of 897 ± 88 mm. In the simulation with the improved model parameterization, the average annual ET increased to 740 ± mm, representing a 40% increase compared with the default model. Monthly ET simulated by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LAI+BM+ET</w:t>
      </w:r>
      <w:r w:rsidRPr="00277A1D">
        <w:rPr>
          <w:rFonts w:ascii="Times New Roman" w:hAnsi="Times New Roman" w:cs="Times New Roman"/>
          <w:color w:val="000000" w:themeColor="text1"/>
          <w:sz w:val="24"/>
          <w:szCs w:val="24"/>
        </w:rPr>
        <w:t xml:space="preserve"> was underestimated by 17.5%, which is lower than the 50% of underestimation with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hAnsi="Times New Roman" w:cs="Times New Roman"/>
          <w:color w:val="000000" w:themeColor="text1"/>
          <w:sz w:val="24"/>
          <w:szCs w:val="24"/>
        </w:rPr>
        <w:t xml:space="preserve">. The good agreement between simulated monthly ET in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LAI+BM+ET</w:t>
      </w:r>
      <w:r w:rsidRPr="00277A1D">
        <w:rPr>
          <w:rFonts w:ascii="Times New Roman" w:hAnsi="Times New Roman" w:cs="Times New Roman"/>
          <w:color w:val="000000" w:themeColor="text1"/>
          <w:sz w:val="24"/>
          <w:szCs w:val="24"/>
        </w:rPr>
        <w:t xml:space="preserve"> and MODIS ET </w:t>
      </w:r>
      <w:proofErr w:type="gramStart"/>
      <w:r w:rsidRPr="00277A1D">
        <w:rPr>
          <w:rFonts w:ascii="Times New Roman" w:hAnsi="Times New Roman" w:cs="Times New Roman"/>
          <w:color w:val="000000" w:themeColor="text1"/>
          <w:sz w:val="24"/>
          <w:szCs w:val="24"/>
        </w:rPr>
        <w:t>is</w:t>
      </w:r>
      <w:proofErr w:type="gramEnd"/>
      <w:r w:rsidRPr="00277A1D">
        <w:rPr>
          <w:rFonts w:ascii="Times New Roman" w:hAnsi="Times New Roman" w:cs="Times New Roman"/>
          <w:color w:val="000000" w:themeColor="text1"/>
          <w:sz w:val="24"/>
          <w:szCs w:val="24"/>
        </w:rPr>
        <w:t xml:space="preserve"> statistically supported by the higher </w:t>
      </w:r>
      <w:r w:rsidRPr="00277A1D">
        <w:rPr>
          <w:rFonts w:ascii="Times New Roman" w:hAnsi="Times New Roman" w:cs="Times New Roman"/>
          <w:i/>
          <w:color w:val="000000" w:themeColor="text1"/>
          <w:sz w:val="24"/>
          <w:szCs w:val="24"/>
        </w:rPr>
        <w:t>NSE</w:t>
      </w:r>
      <w:r w:rsidRPr="00277A1D">
        <w:rPr>
          <w:rFonts w:ascii="Times New Roman" w:hAnsi="Times New Roman" w:cs="Times New Roman"/>
          <w:color w:val="000000" w:themeColor="text1"/>
          <w:sz w:val="24"/>
          <w:szCs w:val="24"/>
        </w:rPr>
        <w:t xml:space="preserve"> and </w:t>
      </w:r>
      <w:r w:rsidRPr="00277A1D">
        <w:rPr>
          <w:rFonts w:ascii="Times New Roman" w:hAnsi="Times New Roman" w:cs="Times New Roman"/>
          <w:i/>
          <w:color w:val="000000" w:themeColor="text1"/>
          <w:sz w:val="24"/>
          <w:szCs w:val="24"/>
        </w:rPr>
        <w:t>R</w:t>
      </w:r>
      <w:r w:rsidRPr="00277A1D">
        <w:rPr>
          <w:rFonts w:ascii="Times New Roman" w:hAnsi="Times New Roman" w:cs="Times New Roman"/>
          <w:i/>
          <w:color w:val="000000" w:themeColor="text1"/>
          <w:sz w:val="24"/>
          <w:szCs w:val="24"/>
          <w:vertAlign w:val="superscript"/>
        </w:rPr>
        <w:t>2</w:t>
      </w:r>
      <w:r w:rsidRPr="00277A1D">
        <w:rPr>
          <w:rFonts w:ascii="Times New Roman" w:hAnsi="Times New Roman" w:cs="Times New Roman"/>
          <w:i/>
          <w:color w:val="000000" w:themeColor="text1"/>
          <w:sz w:val="24"/>
          <w:szCs w:val="24"/>
        </w:rPr>
        <w:t xml:space="preserve"> </w:t>
      </w:r>
      <w:r w:rsidRPr="00277A1D">
        <w:rPr>
          <w:rFonts w:ascii="Times New Roman" w:hAnsi="Times New Roman" w:cs="Times New Roman"/>
          <w:color w:val="000000" w:themeColor="text1"/>
          <w:sz w:val="24"/>
          <w:szCs w:val="24"/>
        </w:rPr>
        <w:t xml:space="preserve">and lower </w:t>
      </w:r>
      <w:r w:rsidRPr="00277A1D">
        <w:rPr>
          <w:rFonts w:ascii="Times New Roman" w:hAnsi="Times New Roman" w:cs="Times New Roman"/>
          <w:i/>
          <w:color w:val="000000" w:themeColor="text1"/>
          <w:sz w:val="24"/>
          <w:szCs w:val="24"/>
        </w:rPr>
        <w:t>RMSE</w:t>
      </w:r>
      <w:r w:rsidRPr="00277A1D">
        <w:rPr>
          <w:rFonts w:ascii="Times New Roman" w:hAnsi="Times New Roman" w:cs="Times New Roman"/>
          <w:color w:val="000000" w:themeColor="text1"/>
          <w:sz w:val="24"/>
          <w:szCs w:val="24"/>
        </w:rPr>
        <w:t xml:space="preserve"> values, as shown in Table 4.</w:t>
      </w:r>
    </w:p>
    <w:p w14:paraId="76475CCE" w14:textId="77777777" w:rsidR="00745659" w:rsidRPr="00277A1D" w:rsidRDefault="00745659" w:rsidP="00277A1D">
      <w:pPr>
        <w:spacing w:line="240" w:lineRule="auto"/>
        <w:ind w:firstLine="720"/>
        <w:jc w:val="both"/>
        <w:rPr>
          <w:rFonts w:ascii="Times New Roman" w:hAnsi="Times New Roman" w:cs="Times New Roman"/>
          <w:color w:val="000000" w:themeColor="text1"/>
          <w:sz w:val="24"/>
          <w:szCs w:val="24"/>
        </w:rPr>
      </w:pPr>
      <w:r w:rsidRPr="00277A1D">
        <w:rPr>
          <w:rFonts w:ascii="Times New Roman" w:hAnsi="Times New Roman" w:cs="Times New Roman"/>
          <w:sz w:val="24"/>
          <w:szCs w:val="24"/>
        </w:rPr>
        <w:t xml:space="preserve"> Slash pine also had the LAI dynamics largely improved in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This can be visually seen in Fig. 3, where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reproduces the annual growth cycle captured by MODIS reasonably well. Moreover, the annual LAI peaks estimated by MODIS are better represented in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than in M</w:t>
      </w:r>
      <w:r w:rsidRPr="00277A1D">
        <w:rPr>
          <w:rFonts w:ascii="Times New Roman" w:hAnsi="Times New Roman" w:cs="Times New Roman"/>
          <w:sz w:val="24"/>
          <w:szCs w:val="24"/>
          <w:vertAlign w:val="subscript"/>
        </w:rPr>
        <w:t>0</w:t>
      </w:r>
      <w:r w:rsidRPr="00277A1D">
        <w:rPr>
          <w:rFonts w:ascii="Times New Roman" w:hAnsi="Times New Roman" w:cs="Times New Roman"/>
          <w:sz w:val="24"/>
          <w:szCs w:val="24"/>
        </w:rPr>
        <w:t>, although even with the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model configuration SWAT could not </w:t>
      </w:r>
      <w:r w:rsidRPr="00277A1D">
        <w:rPr>
          <w:rFonts w:ascii="Times New Roman" w:hAnsi="Times New Roman" w:cs="Times New Roman"/>
          <w:sz w:val="24"/>
          <w:szCs w:val="24"/>
        </w:rPr>
        <w:lastRenderedPageBreak/>
        <w:t xml:space="preserve">accurately capture the bimodal LAI seasonality shown in MODIS data. This issue was also reported by </w:t>
      </w:r>
      <w:r w:rsidRPr="00277A1D">
        <w:rPr>
          <w:rFonts w:ascii="Times New Roman" w:hAnsi="Times New Roman" w:cs="Times New Roman"/>
          <w:sz w:val="24"/>
          <w:szCs w:val="24"/>
        </w:rPr>
        <w:fldChar w:fldCharType="begin"/>
      </w:r>
      <w:r w:rsidRPr="00277A1D">
        <w:rPr>
          <w:rFonts w:ascii="Times New Roman" w:hAnsi="Times New Roman" w:cs="Times New Roman"/>
          <w:sz w:val="24"/>
          <w:szCs w:val="24"/>
        </w:rPr>
        <w:instrText xml:space="preserve"> ADDIN ZOTERO_ITEM CSL_CITATION {"citationID":"tDlhJSju","properties":{"formattedCitation":"(Zhang et al., 2020)","plainCitation":"(Zhang et al., 2020)","dontUpdate":true,"noteIndex":0},"citationItems":[{"id":873,"uris":["http://zotero.org/users/5947859/items/5YFFX2BD"],"uri":["http://zotero.org/users/5947859/items/5YFFX2BD"],"itemData":{"id":873,"type":"article-journal","abstract":"Land use change is one of the dominant driving factors of watershed hydrological change. Thus, hydrological responses to land use changes require detailed assessments to ensure sustainable management of both water resources and natural ecosystems. The Soil and Water Assessment Tool (SWAT) model has been widely used to simulate the impacts of land use change on water balance. However, the original SWAT model has poor performance in estimating the leaf area index (LAI) of different vegetation types for tropical areas. The objective of this study was to simulate the impact of different land use change scenarios (deforestation, afforestation and urbanization) on the water balance, using an improved SWAT model with vegetation growth calibrated from MODIS LAI data. The North Johnstone River catchment in wet tropical eastern Australia was selected as the case study area. Results showed that the modified SWAT model was able to reproduce smoothed MODIS LAI with NSE ≥ 0.59 (NSE &lt; 0 for default SWAT), R2 ≥ 0.70 (R2 ≤ 0.66 for default SWAT), and |PBIAS| ≤ 2.5% (|PBIAS| ≥ 42% for default SWAT), and to predict monthly streamflow well with NSE ≥ 0.92 (NSE ≥ 0.90 for default SWAT), R2 ≥ 0.94 (R2 ≥ 0.90 for default SWAT). It is noted that SWAT-T had |PBIAS| ≤ 10% while |PBIAS| ≤ 5% for default SWAT. Land use change impacted all hydrological variables, with the impact on surface runoff being the most notable at yearly scale (8.9%, 5.7%, −9.5% and 15.9% for scenario 1, 2, 3 and 4, respectively). Absolute changes of surface runoff under land use change scenarios differed across months, with the most notable absolute change occurring during the wet season (December to May) (1.2 ~ 6.6 mm, 1.0 ~ 3.5 mm, −7.3 ~ -1.1 mm and 3.0 ~ 9.0 mm for scenario 1, 2, 3 and 4, respectively). Urbanization increased surface runoff (5.7% and 15.9% for scenario 2 and 4, respectively) and decreased lateral runoff (−0.7% and −1.3%) and groundwater (-0.9% and −3.5%), but produced no clear change in total runoff (0.2% and 0.2%), actual evapotranspiration (−0.3% and −0.3%), and soil water (0.5% and 0.7%) at the annual time scale. Furthermore, afforestation could decrease surface runoff (−9.5% for scenario 3) and soil water (−2.0%), increase evapotranspiration (1.7%), and lead to slight changes (absolute values ≤0.8%) in other hydrological variables at the annual time scale. A strong positive correlation (r ≥ 0.94) was observed between annual rainfall and total runoff for forest-evergreen, range-grasses, and urban land use. Forest-evergreen generally produced less total runoff than range-grasses and urban land use under conditions of the same rainfall, terrain slope, and soil texture. In addition, urban land use generally produced more surface runoff and less lateral runoff and groundwater than forest-evergreen and range-grasses under the same conditions. These results contribute important information for development of effective adaptation strategies and future policy plans for sustainable water management in tropical eastern Australia.","container-title":"Journal of Hydrology","DOI":"10.1016/j.jhydrol.2020.124822","ISSN":"0022-1694","journalAbbreviation":"Journal of Hydrology","language":"en","page":"124822","source":"ScienceDirect","title":"Using an improved SWAT model to simulate hydrological responses to land use change: A case study of a catchment in tropical Australia","title-short":"Using an improved SWAT model to simulate hydrological responses to land use change","volume":"585","author":[{"family":"Zhang","given":"Hong"},{"family":"Wang","given":"Bin"},{"family":"Liu","given":"De Li"},{"family":"Zhang","given":"Mingxi"},{"family":"Leslie","given":"Lance M."},{"family":"Yu","given":"Qiang"}],"issued":{"date-parts":[["2020",6,1]]}}}],"schema":"https://github.com/citation-style-language/schema/raw/master/csl-citation.json"} </w:instrText>
      </w:r>
      <w:r w:rsidRPr="00277A1D">
        <w:rPr>
          <w:rFonts w:ascii="Times New Roman" w:hAnsi="Times New Roman" w:cs="Times New Roman"/>
          <w:sz w:val="24"/>
          <w:szCs w:val="24"/>
        </w:rPr>
        <w:fldChar w:fldCharType="separate"/>
      </w:r>
      <w:r w:rsidRPr="00277A1D">
        <w:rPr>
          <w:rFonts w:ascii="Times New Roman" w:hAnsi="Times New Roman" w:cs="Times New Roman"/>
          <w:sz w:val="24"/>
          <w:szCs w:val="24"/>
        </w:rPr>
        <w:t>Zhang et al. (2020)</w:t>
      </w:r>
      <w:r w:rsidRPr="00277A1D">
        <w:rPr>
          <w:rFonts w:ascii="Times New Roman" w:hAnsi="Times New Roman" w:cs="Times New Roman"/>
          <w:sz w:val="24"/>
          <w:szCs w:val="24"/>
        </w:rPr>
        <w:fldChar w:fldCharType="end"/>
      </w:r>
      <w:r w:rsidRPr="00277A1D">
        <w:rPr>
          <w:rFonts w:ascii="Times New Roman" w:hAnsi="Times New Roman" w:cs="Times New Roman"/>
          <w:sz w:val="24"/>
          <w:szCs w:val="24"/>
        </w:rPr>
        <w:t xml:space="preserve"> and is most probably attributable to SWAT’s impossibility of simulating more than one growth cycle per year under the Heat Unit theory. The average annual ET estimated by M</w:t>
      </w:r>
      <w:r w:rsidRPr="00277A1D">
        <w:rPr>
          <w:rFonts w:ascii="Times New Roman" w:hAnsi="Times New Roman" w:cs="Times New Roman"/>
          <w:sz w:val="24"/>
          <w:szCs w:val="24"/>
          <w:vertAlign w:val="subscript"/>
        </w:rPr>
        <w:t>0</w:t>
      </w:r>
      <w:r w:rsidRPr="00277A1D">
        <w:rPr>
          <w:rFonts w:ascii="Times New Roman" w:hAnsi="Times New Roman" w:cs="Times New Roman"/>
          <w:sz w:val="24"/>
          <w:szCs w:val="24"/>
        </w:rPr>
        <w:t xml:space="preserve"> in the period 2001-2018 was 453 </w:t>
      </w:r>
      <w:r w:rsidRPr="00277A1D">
        <w:rPr>
          <w:rFonts w:ascii="Times New Roman" w:hAnsi="Times New Roman" w:cs="Times New Roman"/>
          <w:color w:val="000000" w:themeColor="text1"/>
          <w:sz w:val="24"/>
          <w:szCs w:val="24"/>
        </w:rPr>
        <w:t>± 57</w:t>
      </w:r>
      <w:r w:rsidRPr="00277A1D">
        <w:rPr>
          <w:rFonts w:ascii="Times New Roman" w:hAnsi="Times New Roman" w:cs="Times New Roman"/>
          <w:sz w:val="24"/>
          <w:szCs w:val="24"/>
        </w:rPr>
        <w:t xml:space="preserve"> mm, much lower than the average MODIS ET for the same period (999 </w:t>
      </w:r>
      <w:r w:rsidRPr="00277A1D">
        <w:rPr>
          <w:rFonts w:ascii="Times New Roman" w:hAnsi="Times New Roman" w:cs="Times New Roman"/>
          <w:color w:val="000000" w:themeColor="text1"/>
          <w:sz w:val="24"/>
          <w:szCs w:val="24"/>
        </w:rPr>
        <w:t xml:space="preserve">± 86 mm). The improved parameterization increased ET estimates by 58% compared with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hAnsi="Times New Roman" w:cs="Times New Roman"/>
          <w:color w:val="000000" w:themeColor="text1"/>
          <w:sz w:val="24"/>
          <w:szCs w:val="24"/>
        </w:rPr>
        <w:t xml:space="preserve">, resulting in an annual average ET of 1,060 ± 65 mm (7% higher than MODIS). The average annual ET simulated by the improved model was in good accordance with the ET range of 754-1168 mm/year at slash pine plantations in Florida reported by </w:t>
      </w:r>
      <w:r w:rsidRPr="00277A1D">
        <w:rPr>
          <w:rFonts w:ascii="Times New Roman" w:hAnsi="Times New Roman" w:cs="Times New Roman"/>
          <w:color w:val="000000" w:themeColor="text1"/>
          <w:sz w:val="24"/>
          <w:szCs w:val="24"/>
        </w:rPr>
        <w:fldChar w:fldCharType="begin"/>
      </w:r>
      <w:r w:rsidRPr="00277A1D">
        <w:rPr>
          <w:rFonts w:ascii="Times New Roman" w:hAnsi="Times New Roman" w:cs="Times New Roman"/>
          <w:color w:val="000000" w:themeColor="text1"/>
          <w:sz w:val="24"/>
          <w:szCs w:val="24"/>
        </w:rPr>
        <w:instrText xml:space="preserve"> ADDIN ZOTERO_ITEM CSL_CITATION {"citationID":"xNLQ15pN","properties":{"formattedCitation":"(McLaughlin et al., 2013)","plainCitation":"(McLaughlin et al., 2013)","dontUpdate":true,"noteIndex":0},"citationItems":[{"id":84,"uris":["http://zotero.org/users/5947859/items/JMJQXQ7Z"],"uri":["http://zotero.org/users/5947859/items/JMJQXQ7Z"],"itemData":{"id":84,"type":"article-journal","abstract":"With growing populations fueling increased groundwater abstraction and forecasts of greater water scarcity in the southeastern United States, identifying land management strategies that enhance water availability will be vital to maintaining hydrologic resources and protecting natural systems. Management of forested uplands for lower basal area, currently a priority for habitat improvement on public lands, may also increase water yield through decreased evapotranspiration (ET). To explore this hypothesis, we synthesized studies of precipitation and ET in coastal plain pine stands to develop a statistical model of water yield as a function of management strategy, stand structure, and ecosystem water use. This model allowed us to estimate changes in water yield in response to varying management strategies across spatial scales from the individual stand to a regional watershed. Results suggest that slash pine stands managed at lower basal areas can have up to 64% more cumulative water yield over a 25-year rotation compared to systems managed for high-density timber production, with the greatest increases in stands also managed for recurrent understory fire. Although there are important uncertainties in the magnitude of additional water yield and its final destination (i.e., surface water bodies vs. groundwater), this analysis highlights the potential for management activities on public and private timber lands to partially offset increasing demand on surface and groundwater resources.","container-title":"JAWRA Journal of the American Water Resources Association","DOI":"10.1111/jawr.12073","ISSN":"1752-1688","issue":"4","language":"en","page":"953-965","source":"Wiley Online Library","title":"Managing Forests for Increased Regional Water Yield in the Southeastern U.S. Coastal Plain","volume":"49","author":[{"family":"McLaughlin","given":"Daniel L."},{"family":"Kaplan","given":"David A."},{"family":"Cohen","given":"Matthew J."}],"issued":{"date-parts":[["2013"]]}}}],"schema":"https://github.com/citation-style-language/schema/raw/master/csl-citation.json"} </w:instrText>
      </w:r>
      <w:r w:rsidRPr="00277A1D">
        <w:rPr>
          <w:rFonts w:ascii="Times New Roman" w:hAnsi="Times New Roman" w:cs="Times New Roman"/>
          <w:color w:val="000000" w:themeColor="text1"/>
          <w:sz w:val="24"/>
          <w:szCs w:val="24"/>
        </w:rPr>
        <w:fldChar w:fldCharType="separate"/>
      </w:r>
      <w:r w:rsidRPr="00277A1D">
        <w:rPr>
          <w:rFonts w:ascii="Times New Roman" w:hAnsi="Times New Roman" w:cs="Times New Roman"/>
          <w:sz w:val="24"/>
          <w:szCs w:val="24"/>
        </w:rPr>
        <w:t>McLaughlin et al. (2013)</w:t>
      </w:r>
      <w:r w:rsidRPr="00277A1D">
        <w:rPr>
          <w:rFonts w:ascii="Times New Roman" w:hAnsi="Times New Roman" w:cs="Times New Roman"/>
          <w:color w:val="000000" w:themeColor="text1"/>
          <w:sz w:val="24"/>
          <w:szCs w:val="24"/>
        </w:rPr>
        <w:fldChar w:fldCharType="end"/>
      </w:r>
      <w:r w:rsidRPr="00277A1D">
        <w:rPr>
          <w:rFonts w:ascii="Times New Roman" w:hAnsi="Times New Roman" w:cs="Times New Roman"/>
          <w:color w:val="000000" w:themeColor="text1"/>
          <w:sz w:val="24"/>
          <w:szCs w:val="24"/>
        </w:rPr>
        <w:t xml:space="preserve">. Although the </w:t>
      </w:r>
      <w:r w:rsidRPr="00277A1D">
        <w:rPr>
          <w:rFonts w:ascii="Times New Roman" w:hAnsi="Times New Roman" w:cs="Times New Roman"/>
          <w:i/>
          <w:color w:val="000000" w:themeColor="text1"/>
          <w:sz w:val="24"/>
          <w:szCs w:val="24"/>
        </w:rPr>
        <w:t>R</w:t>
      </w:r>
      <w:r w:rsidRPr="00277A1D">
        <w:rPr>
          <w:rFonts w:ascii="Times New Roman" w:hAnsi="Times New Roman" w:cs="Times New Roman"/>
          <w:i/>
          <w:color w:val="000000" w:themeColor="text1"/>
          <w:sz w:val="24"/>
          <w:szCs w:val="24"/>
          <w:vertAlign w:val="superscript"/>
        </w:rPr>
        <w:t>2</w:t>
      </w:r>
      <w:r w:rsidRPr="00277A1D">
        <w:rPr>
          <w:rFonts w:ascii="Times New Roman" w:hAnsi="Times New Roman" w:cs="Times New Roman"/>
          <w:color w:val="000000" w:themeColor="text1"/>
          <w:sz w:val="24"/>
          <w:szCs w:val="24"/>
        </w:rPr>
        <w:t xml:space="preserve"> value deteriorated in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LAI+BM+ET</w:t>
      </w:r>
      <w:r w:rsidRPr="00277A1D">
        <w:rPr>
          <w:rFonts w:ascii="Times New Roman" w:hAnsi="Times New Roman" w:cs="Times New Roman"/>
          <w:color w:val="000000" w:themeColor="text1"/>
          <w:sz w:val="24"/>
          <w:szCs w:val="24"/>
        </w:rPr>
        <w:t xml:space="preserve"> compared to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hAnsi="Times New Roman" w:cs="Times New Roman"/>
          <w:color w:val="000000" w:themeColor="text1"/>
          <w:sz w:val="24"/>
          <w:szCs w:val="24"/>
        </w:rPr>
        <w:t xml:space="preserve"> for slash pine, other statistical measures improved for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LAI+BM+ET</w:t>
      </w:r>
      <w:r w:rsidRPr="00277A1D">
        <w:rPr>
          <w:rFonts w:ascii="Times New Roman" w:hAnsi="Times New Roman" w:cs="Times New Roman"/>
          <w:color w:val="000000" w:themeColor="text1"/>
          <w:sz w:val="24"/>
          <w:szCs w:val="24"/>
        </w:rPr>
        <w:t xml:space="preserve"> in comparison to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hAnsi="Times New Roman" w:cs="Times New Roman"/>
          <w:color w:val="000000" w:themeColor="text1"/>
          <w:sz w:val="24"/>
          <w:szCs w:val="24"/>
        </w:rPr>
        <w:t xml:space="preserve"> (Table 4).</w:t>
      </w:r>
    </w:p>
    <w:p w14:paraId="0F01075C" w14:textId="160C8628" w:rsidR="00745659" w:rsidRPr="00277A1D" w:rsidRDefault="00745659" w:rsidP="00277A1D">
      <w:pPr>
        <w:spacing w:line="240" w:lineRule="auto"/>
        <w:ind w:firstLine="720"/>
        <w:jc w:val="both"/>
        <w:rPr>
          <w:rFonts w:ascii="Times New Roman" w:hAnsi="Times New Roman" w:cs="Times New Roman"/>
          <w:color w:val="000000" w:themeColor="text1"/>
          <w:sz w:val="24"/>
          <w:szCs w:val="24"/>
        </w:rPr>
      </w:pPr>
      <w:r w:rsidRPr="00277A1D">
        <w:rPr>
          <w:rFonts w:ascii="Times New Roman" w:hAnsi="Times New Roman" w:cs="Times New Roman"/>
          <w:sz w:val="24"/>
          <w:szCs w:val="24"/>
        </w:rPr>
        <w:t>Finally, the simulated biomass also improved in M</w:t>
      </w:r>
      <w:r w:rsidRPr="00277A1D">
        <w:rPr>
          <w:rFonts w:ascii="Times New Roman" w:hAnsi="Times New Roman" w:cs="Times New Roman"/>
          <w:sz w:val="24"/>
          <w:szCs w:val="24"/>
          <w:vertAlign w:val="subscript"/>
        </w:rPr>
        <w:t>LAI+BM+ET</w:t>
      </w:r>
      <w:r w:rsidRPr="00277A1D">
        <w:rPr>
          <w:rFonts w:ascii="Times New Roman" w:hAnsi="Times New Roman" w:cs="Times New Roman"/>
          <w:sz w:val="24"/>
          <w:szCs w:val="24"/>
        </w:rPr>
        <w:t xml:space="preserve"> compared to M</w:t>
      </w:r>
      <w:r w:rsidRPr="00277A1D">
        <w:rPr>
          <w:rFonts w:ascii="Times New Roman" w:hAnsi="Times New Roman" w:cs="Times New Roman"/>
          <w:sz w:val="24"/>
          <w:szCs w:val="24"/>
          <w:vertAlign w:val="subscript"/>
        </w:rPr>
        <w:t>0</w:t>
      </w:r>
      <w:r w:rsidRPr="00277A1D">
        <w:rPr>
          <w:rFonts w:ascii="Times New Roman" w:hAnsi="Times New Roman" w:cs="Times New Roman"/>
          <w:sz w:val="24"/>
          <w:szCs w:val="24"/>
        </w:rPr>
        <w:t>, based on USDA reported biomass reference data (Fig. 4). The average annual forest biomass simulated in M</w:t>
      </w:r>
      <w:r w:rsidRPr="00277A1D">
        <w:rPr>
          <w:rFonts w:ascii="Times New Roman" w:hAnsi="Times New Roman" w:cs="Times New Roman"/>
          <w:sz w:val="24"/>
          <w:szCs w:val="24"/>
          <w:vertAlign w:val="subscript"/>
        </w:rPr>
        <w:t>0</w:t>
      </w:r>
      <w:r w:rsidRPr="00277A1D">
        <w:rPr>
          <w:rFonts w:ascii="Times New Roman" w:hAnsi="Times New Roman" w:cs="Times New Roman"/>
          <w:sz w:val="24"/>
          <w:szCs w:val="24"/>
        </w:rPr>
        <w:t xml:space="preserve"> was 92 </w:t>
      </w:r>
      <w:r w:rsidRPr="00277A1D">
        <w:rPr>
          <w:rFonts w:ascii="Times New Roman" w:hAnsi="Times New Roman" w:cs="Times New Roman"/>
          <w:color w:val="000000" w:themeColor="text1"/>
          <w:sz w:val="24"/>
          <w:szCs w:val="24"/>
        </w:rPr>
        <w:t xml:space="preserve">± 45 tons/ha, which is significantly lower than the USDA reported average of 120 ± 37 tons/ha. The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LAI+BM+ET</w:t>
      </w:r>
      <w:r w:rsidRPr="00277A1D">
        <w:rPr>
          <w:rFonts w:ascii="Times New Roman" w:hAnsi="Times New Roman" w:cs="Times New Roman"/>
          <w:color w:val="000000" w:themeColor="text1"/>
          <w:sz w:val="24"/>
          <w:szCs w:val="24"/>
        </w:rPr>
        <w:t xml:space="preserve"> model configuration increased annual average biomass estimates by 40% compared with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hAnsi="Times New Roman" w:cs="Times New Roman"/>
          <w:color w:val="000000" w:themeColor="text1"/>
          <w:sz w:val="24"/>
          <w:szCs w:val="24"/>
        </w:rPr>
        <w:t xml:space="preserve">, resulting in 153 ± 50 tons/ha of biomass during 1998-2018. The improved model parameterization also ameliorated the spatial pattern of forest biomass, especially in the central portion of the watershed, where </w:t>
      </w:r>
      <w:r w:rsidRPr="00277A1D">
        <w:rPr>
          <w:rFonts w:ascii="Times New Roman" w:hAnsi="Times New Roman" w:cs="Times New Roman"/>
          <w:sz w:val="24"/>
          <w:szCs w:val="24"/>
        </w:rPr>
        <w:t>M</w:t>
      </w:r>
      <w:r w:rsidRPr="00277A1D">
        <w:rPr>
          <w:rFonts w:ascii="Times New Roman" w:hAnsi="Times New Roman" w:cs="Times New Roman"/>
          <w:sz w:val="24"/>
          <w:szCs w:val="24"/>
          <w:vertAlign w:val="subscript"/>
        </w:rPr>
        <w:t>0</w:t>
      </w:r>
      <w:r w:rsidRPr="00277A1D">
        <w:rPr>
          <w:rFonts w:ascii="Times New Roman" w:hAnsi="Times New Roman" w:cs="Times New Roman"/>
          <w:color w:val="000000" w:themeColor="text1"/>
          <w:sz w:val="24"/>
          <w:szCs w:val="24"/>
        </w:rPr>
        <w:t xml:space="preserve"> substantially underestimated biomass accumulation. Previous studies reported similar findings </w:t>
      </w:r>
      <w:r w:rsidRPr="00277A1D">
        <w:rPr>
          <w:rFonts w:ascii="Times New Roman" w:hAnsi="Times New Roman" w:cs="Times New Roman"/>
          <w:color w:val="000000" w:themeColor="text1"/>
          <w:sz w:val="24"/>
          <w:szCs w:val="24"/>
        </w:rPr>
        <w:fldChar w:fldCharType="begin"/>
      </w:r>
      <w:r w:rsidRPr="00277A1D">
        <w:rPr>
          <w:rFonts w:ascii="Times New Roman" w:hAnsi="Times New Roman" w:cs="Times New Roman"/>
          <w:color w:val="000000" w:themeColor="text1"/>
          <w:sz w:val="24"/>
          <w:szCs w:val="24"/>
        </w:rPr>
        <w:instrText xml:space="preserve"> ADDIN ZOTERO_ITEM CSL_CITATION {"citationID":"l5KnuJRd","properties":{"formattedCitation":"(Yang et al., 2018; Yang and Zhang, 2016)","plainCitation":"(Yang et al., 2018; Yang and Zhang, 2016)","noteIndex":0},"citationItems":[{"id":8,"uris":["http://zotero.org/users/5947859/items/9F4IUXRC"],"uri":["http://zotero.org/users/5947859/items/9F4IUXRC"],"itemData":{"id":8,"type":"article-journal","abstract":"Forests often cover a signiﬁcant portion of a watershed and play an important role in water, carbon, and nutrient cycling. The widely-used Soil and Water Assessment Tool (SWAT) has not been thoroughly tested for simulating forest ecosystems and associated impacts on watershed-scale water resource assessment. Using the St. Croix River basin as a testbed, we examined SWAT simulations of forest biomass, net primary productivity (NPP), evapotranspiration (ET), and water yield with default and improved model settings. Model simulations with the default parameterization signiﬁcantly underestimated forest biomass, ET, and NPP relative to benchmark data. With adjusted forest growth and development parameters, including radiation use eﬃciency, temperature control on plant growth, and leaf to biomass fraction, as well as a new phosphorus supply module, the SWAT model’s performance with respect to the above variables was substantially improved. These improvements also enhanced SWAT estimates of water yield, streamﬂow, and sediment loads at the watershed scale. Results of this study show the important role of forest ecosystems in watershed scale water balance and the connections between terrestrial and aquatic processes via lateral water and sediment ﬂuxes. We suggested that watershed models, such as SWAT, should be assessed for both terrestrial and aquatic processes in order to provide credible water quantity and quality simulations at the watershed scale. Calibrated forest parameters and the phosphorus input algorithms will be applicable to future SWAT simulations of watershed hydrology.","container-title":"Ecological Engineering","DOI":"10.1016/j.ecoleng.2018.06.020","ISSN":"09258574","journalAbbreviation":"Ecological Engineering","language":"en","page":"422-431","source":"DOI.org (Crossref)","title":"Enhancing SWAT simulation of forest ecosystems for water resource assessment: A case study in the St. Croix River basin","title-short":"Enhancing SWAT simulation of forest ecosystems for water resource assessment","volume":"120","author":[{"family":"Yang","given":"Qichun"},{"family":"Almendinger","given":"James E."},{"family":"Zhang","given":"Xuesong"},{"family":"Huang","given":"Maoyi"},{"family":"Chen","given":"Xingyuan"},{"family":"Leng","given":"Guoyong"},{"family":"Zhou","given":"Yuyu"},{"family":"Zhao","given":"Kaiguang"},{"family":"Asrar","given":"Ghassem R."},{"family":"Srinivasan","given":"Raghavan"},{"family":"Li","given":"Xia"}],"issued":{"date-parts":[["2018",9]]}}},{"id":55,"uris":["http://zotero.org/users/5947859/items/8K62DNV4"],"uri":["http://zotero.org/users/5947859/items/8K62DNV4"],"itemData":{"id":55,"type":"article-journal","abstract":"As a widely used watershed model for assessing impacts of anthropogenic and natural disturbances on water quantity and quality, the Soil and Water Assessment Tool (SWAT) has not been extensively tested in simulating water and carbon fluxes of forest ecosystems. Here, we examine SWAT simulations of evapotranspiration (ET), net primary productivity (NPP), net ecosystem exchange (NEE), and plant biomass at ten AmeriFlux forest sites across the U.S. We identify unrealistic radiation use efficiency (Bio_E), large leaf to biomass fraction (Bio_LEAF), and missing phosphorus supply from parent material weathering as the primary causes for the inadequate performance of the default SWAT model in simulating forest dynamics. By further revising the relevant parameters and processes, SWAT's performance is substantially improved. Based on the comparison between the improved SWAT simulations and flux tower observations, we discuss future research directions for further enhancing model parameterization and representation of water and carbon cycling for forests.","container-title":"Science of The Total Environment","DOI":"10.1016/j.scitotenv.2016.06.238","ISSN":"0048-9697","journalAbbreviation":"Science of The Total Environment","page":"1478-1488","source":"ScienceDirect","title":"Improving SWAT for simulating water and carbon fluxes of forest ecosystems","volume":"569-570","author":[{"family":"Yang","given":"Qichun"},{"family":"Zhang","given":"Xuesong"}],"issued":{"date-parts":[["2016",11,1]]}}}],"schema":"https://github.com/citation-style-language/schema/raw/master/csl-citation.json"} </w:instrText>
      </w:r>
      <w:r w:rsidRPr="00277A1D">
        <w:rPr>
          <w:rFonts w:ascii="Times New Roman" w:hAnsi="Times New Roman" w:cs="Times New Roman"/>
          <w:color w:val="000000" w:themeColor="text1"/>
          <w:sz w:val="24"/>
          <w:szCs w:val="24"/>
        </w:rPr>
        <w:fldChar w:fldCharType="separate"/>
      </w:r>
      <w:r w:rsidRPr="00277A1D">
        <w:rPr>
          <w:rFonts w:ascii="Times New Roman" w:hAnsi="Times New Roman" w:cs="Times New Roman"/>
          <w:sz w:val="24"/>
          <w:szCs w:val="24"/>
        </w:rPr>
        <w:t>(Yang et al., 2018; Yang and Zhang, 2016)</w:t>
      </w:r>
      <w:r w:rsidRPr="00277A1D">
        <w:rPr>
          <w:rFonts w:ascii="Times New Roman" w:hAnsi="Times New Roman" w:cs="Times New Roman"/>
          <w:color w:val="000000" w:themeColor="text1"/>
          <w:sz w:val="24"/>
          <w:szCs w:val="24"/>
        </w:rPr>
        <w:fldChar w:fldCharType="end"/>
      </w:r>
      <w:r w:rsidRPr="00277A1D">
        <w:rPr>
          <w:rFonts w:ascii="Times New Roman" w:hAnsi="Times New Roman" w:cs="Times New Roman"/>
          <w:color w:val="000000" w:themeColor="text1"/>
          <w:sz w:val="24"/>
          <w:szCs w:val="24"/>
        </w:rPr>
        <w:t>, revealing that the default SWAT model presents some shortcomings in simulating tree biomass.</w:t>
      </w:r>
    </w:p>
    <w:sectPr w:rsidR="00745659" w:rsidRPr="00277A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7C1A"/>
    <w:multiLevelType w:val="hybridMultilevel"/>
    <w:tmpl w:val="80F0E4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071A41"/>
    <w:multiLevelType w:val="hybridMultilevel"/>
    <w:tmpl w:val="D974B6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4B00B1"/>
    <w:multiLevelType w:val="multilevel"/>
    <w:tmpl w:val="8D30CD20"/>
    <w:lvl w:ilvl="0">
      <w:start w:val="1"/>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5B4B2182"/>
    <w:multiLevelType w:val="multilevel"/>
    <w:tmpl w:val="A1F2377C"/>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6CF41A55"/>
    <w:multiLevelType w:val="multilevel"/>
    <w:tmpl w:val="7D4C4AE6"/>
    <w:lvl w:ilvl="0">
      <w:start w:val="2"/>
      <w:numFmt w:val="decimal"/>
      <w:lvlText w:val="%1."/>
      <w:lvlJc w:val="left"/>
      <w:pPr>
        <w:ind w:left="1440" w:hanging="360"/>
      </w:pPr>
      <w:rPr>
        <w:rFonts w:hint="default"/>
      </w:rPr>
    </w:lvl>
    <w:lvl w:ilvl="1">
      <w:start w:val="1"/>
      <w:numFmt w:val="decimal"/>
      <w:isLgl/>
      <w:lvlText w:val="%2."/>
      <w:lvlJc w:val="left"/>
      <w:pPr>
        <w:ind w:left="1440" w:hanging="360"/>
      </w:pPr>
      <w:rPr>
        <w:rFonts w:ascii="Times New Roman" w:eastAsiaTheme="minorHAnsi" w:hAnsi="Times New Roman" w:cs="Times New Roman"/>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5" w15:restartNumberingAfterBreak="0">
    <w:nsid w:val="77BB070E"/>
    <w:multiLevelType w:val="multilevel"/>
    <w:tmpl w:val="C13A4E94"/>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784B245C"/>
    <w:multiLevelType w:val="hybridMultilevel"/>
    <w:tmpl w:val="6D561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4"/>
  </w:num>
  <w:num w:numId="5">
    <w:abstractNumId w:val="5"/>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NjI1MzEwNDY2NDNQ0lEKTi0uzszPAykwrgUAq2DBQCwAAAA="/>
  </w:docVars>
  <w:rsids>
    <w:rsidRoot w:val="00C04D90"/>
    <w:rsid w:val="00002B88"/>
    <w:rsid w:val="000129AC"/>
    <w:rsid w:val="00013DF8"/>
    <w:rsid w:val="00037A21"/>
    <w:rsid w:val="00166721"/>
    <w:rsid w:val="00172CC8"/>
    <w:rsid w:val="00185E13"/>
    <w:rsid w:val="001B57DA"/>
    <w:rsid w:val="001D63F1"/>
    <w:rsid w:val="00227B12"/>
    <w:rsid w:val="002639F0"/>
    <w:rsid w:val="00277A1D"/>
    <w:rsid w:val="002839B7"/>
    <w:rsid w:val="002E2992"/>
    <w:rsid w:val="00310469"/>
    <w:rsid w:val="003764BF"/>
    <w:rsid w:val="003C6A83"/>
    <w:rsid w:val="003E2441"/>
    <w:rsid w:val="004073C0"/>
    <w:rsid w:val="00445BE1"/>
    <w:rsid w:val="004930B2"/>
    <w:rsid w:val="00551C79"/>
    <w:rsid w:val="00554F47"/>
    <w:rsid w:val="00570553"/>
    <w:rsid w:val="005A4379"/>
    <w:rsid w:val="005E0397"/>
    <w:rsid w:val="005F1DEC"/>
    <w:rsid w:val="00631425"/>
    <w:rsid w:val="00645572"/>
    <w:rsid w:val="0069102F"/>
    <w:rsid w:val="006A36F5"/>
    <w:rsid w:val="006B5BCC"/>
    <w:rsid w:val="00735FC7"/>
    <w:rsid w:val="00743125"/>
    <w:rsid w:val="00744101"/>
    <w:rsid w:val="00745659"/>
    <w:rsid w:val="0074749A"/>
    <w:rsid w:val="007478EF"/>
    <w:rsid w:val="00757263"/>
    <w:rsid w:val="00761963"/>
    <w:rsid w:val="007809B3"/>
    <w:rsid w:val="007C6E84"/>
    <w:rsid w:val="007F7E90"/>
    <w:rsid w:val="008016FD"/>
    <w:rsid w:val="00873A92"/>
    <w:rsid w:val="008C1D6C"/>
    <w:rsid w:val="008C6ADB"/>
    <w:rsid w:val="00902075"/>
    <w:rsid w:val="009079EA"/>
    <w:rsid w:val="00962963"/>
    <w:rsid w:val="00A04F14"/>
    <w:rsid w:val="00A31B2C"/>
    <w:rsid w:val="00A92FD6"/>
    <w:rsid w:val="00AE7B7D"/>
    <w:rsid w:val="00AF7C6C"/>
    <w:rsid w:val="00B37B37"/>
    <w:rsid w:val="00B456AE"/>
    <w:rsid w:val="00B77D33"/>
    <w:rsid w:val="00B91A31"/>
    <w:rsid w:val="00B93602"/>
    <w:rsid w:val="00BC091E"/>
    <w:rsid w:val="00C04D90"/>
    <w:rsid w:val="00C2013E"/>
    <w:rsid w:val="00C249E1"/>
    <w:rsid w:val="00C32768"/>
    <w:rsid w:val="00C54C55"/>
    <w:rsid w:val="00C57A10"/>
    <w:rsid w:val="00D67222"/>
    <w:rsid w:val="00D7189B"/>
    <w:rsid w:val="00D767D5"/>
    <w:rsid w:val="00D77A00"/>
    <w:rsid w:val="00DA1ADB"/>
    <w:rsid w:val="00DC4BF0"/>
    <w:rsid w:val="00DE4558"/>
    <w:rsid w:val="00E02B48"/>
    <w:rsid w:val="00E86C96"/>
    <w:rsid w:val="00E972B9"/>
    <w:rsid w:val="00EC3226"/>
    <w:rsid w:val="00ED2E9A"/>
    <w:rsid w:val="00ED5D02"/>
    <w:rsid w:val="00EE6F2C"/>
    <w:rsid w:val="00F03289"/>
    <w:rsid w:val="00F456D0"/>
    <w:rsid w:val="00FB40E0"/>
    <w:rsid w:val="00FC2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0782A"/>
  <w15:chartTrackingRefBased/>
  <w15:docId w15:val="{5E6E4AE8-7085-4C6D-AA02-1018548A7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7189B"/>
    <w:pPr>
      <w:spacing w:after="200" w:line="240" w:lineRule="auto"/>
    </w:pPr>
    <w:rPr>
      <w:i/>
      <w:iCs/>
      <w:color w:val="44546A" w:themeColor="text2"/>
      <w:sz w:val="18"/>
      <w:szCs w:val="18"/>
    </w:rPr>
  </w:style>
  <w:style w:type="table" w:styleId="ListTable6Colorful">
    <w:name w:val="List Table 6 Colorful"/>
    <w:basedOn w:val="TableNormal"/>
    <w:uiPriority w:val="51"/>
    <w:rsid w:val="00D7189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D7189B"/>
    <w:rPr>
      <w:sz w:val="16"/>
      <w:szCs w:val="16"/>
    </w:rPr>
  </w:style>
  <w:style w:type="paragraph" w:styleId="CommentText">
    <w:name w:val="annotation text"/>
    <w:basedOn w:val="Normal"/>
    <w:link w:val="CommentTextChar"/>
    <w:uiPriority w:val="99"/>
    <w:semiHidden/>
    <w:unhideWhenUsed/>
    <w:rsid w:val="00D7189B"/>
    <w:pPr>
      <w:spacing w:line="240" w:lineRule="auto"/>
    </w:pPr>
    <w:rPr>
      <w:sz w:val="20"/>
      <w:szCs w:val="20"/>
    </w:rPr>
  </w:style>
  <w:style w:type="character" w:customStyle="1" w:styleId="CommentTextChar">
    <w:name w:val="Comment Text Char"/>
    <w:basedOn w:val="DefaultParagraphFont"/>
    <w:link w:val="CommentText"/>
    <w:uiPriority w:val="99"/>
    <w:semiHidden/>
    <w:rsid w:val="00D7189B"/>
    <w:rPr>
      <w:sz w:val="20"/>
      <w:szCs w:val="20"/>
    </w:rPr>
  </w:style>
  <w:style w:type="paragraph" w:styleId="BalloonText">
    <w:name w:val="Balloon Text"/>
    <w:basedOn w:val="Normal"/>
    <w:link w:val="BalloonTextChar"/>
    <w:uiPriority w:val="99"/>
    <w:semiHidden/>
    <w:unhideWhenUsed/>
    <w:rsid w:val="00D718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89B"/>
    <w:rPr>
      <w:rFonts w:ascii="Segoe UI" w:hAnsi="Segoe UI" w:cs="Segoe UI"/>
      <w:sz w:val="18"/>
      <w:szCs w:val="18"/>
    </w:rPr>
  </w:style>
  <w:style w:type="character" w:styleId="Hyperlink">
    <w:name w:val="Hyperlink"/>
    <w:basedOn w:val="DefaultParagraphFont"/>
    <w:uiPriority w:val="99"/>
    <w:unhideWhenUsed/>
    <w:rsid w:val="00EE6F2C"/>
    <w:rPr>
      <w:color w:val="0563C1" w:themeColor="hyperlink"/>
      <w:u w:val="single"/>
    </w:rPr>
  </w:style>
  <w:style w:type="table" w:customStyle="1" w:styleId="FurkanTableStyle">
    <w:name w:val="Furkan_TableStyle"/>
    <w:basedOn w:val="TableNormal"/>
    <w:uiPriority w:val="99"/>
    <w:rsid w:val="007809B3"/>
    <w:pPr>
      <w:spacing w:after="0" w:line="240" w:lineRule="auto"/>
    </w:pPr>
    <w:rPr>
      <w:rFonts w:ascii="Times New Roman" w:eastAsia="SimSun" w:hAnsi="Times New Roman" w:cs="Times New Roman"/>
      <w:sz w:val="24"/>
      <w:szCs w:val="24"/>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tcPr>
    </w:tblStylePr>
  </w:style>
  <w:style w:type="paragraph" w:styleId="CommentSubject">
    <w:name w:val="annotation subject"/>
    <w:basedOn w:val="CommentText"/>
    <w:next w:val="CommentText"/>
    <w:link w:val="CommentSubjectChar"/>
    <w:uiPriority w:val="99"/>
    <w:semiHidden/>
    <w:unhideWhenUsed/>
    <w:rsid w:val="00AE7B7D"/>
    <w:rPr>
      <w:b/>
      <w:bCs/>
    </w:rPr>
  </w:style>
  <w:style w:type="character" w:customStyle="1" w:styleId="CommentSubjectChar">
    <w:name w:val="Comment Subject Char"/>
    <w:basedOn w:val="CommentTextChar"/>
    <w:link w:val="CommentSubject"/>
    <w:uiPriority w:val="99"/>
    <w:semiHidden/>
    <w:rsid w:val="00AE7B7D"/>
    <w:rPr>
      <w:b/>
      <w:bCs/>
      <w:sz w:val="20"/>
      <w:szCs w:val="20"/>
    </w:rPr>
  </w:style>
  <w:style w:type="paragraph" w:styleId="ListParagraph">
    <w:name w:val="List Paragraph"/>
    <w:basedOn w:val="Normal"/>
    <w:uiPriority w:val="34"/>
    <w:qFormat/>
    <w:rsid w:val="007456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92852">
      <w:bodyDiv w:val="1"/>
      <w:marLeft w:val="0"/>
      <w:marRight w:val="0"/>
      <w:marTop w:val="0"/>
      <w:marBottom w:val="0"/>
      <w:divBdr>
        <w:top w:val="none" w:sz="0" w:space="0" w:color="auto"/>
        <w:left w:val="none" w:sz="0" w:space="0" w:color="auto"/>
        <w:bottom w:val="none" w:sz="0" w:space="0" w:color="auto"/>
        <w:right w:val="none" w:sz="0" w:space="0" w:color="auto"/>
      </w:divBdr>
    </w:div>
    <w:div w:id="123994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Upatoi</a:t>
            </a:r>
            <a:r>
              <a:rPr lang="en-US" sz="1200" baseline="0">
                <a:solidFill>
                  <a:sysClr val="windowText" lastClr="000000"/>
                </a:solidFill>
                <a:latin typeface="Times New Roman" panose="02020603050405020304" pitchFamily="18" charset="0"/>
                <a:cs typeface="Times New Roman" panose="02020603050405020304" pitchFamily="18" charset="0"/>
              </a:rPr>
              <a:t> Creek watershed</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l">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2"/>
          <c:tx>
            <c:strRef>
              <c:f>Sheet1!$D$1</c:f>
              <c:strCache>
                <c:ptCount val="1"/>
                <c:pt idx="0">
                  <c:v>ET</c:v>
                </c:pt>
              </c:strCache>
            </c:strRef>
          </c:tx>
          <c:spPr>
            <a:pattFill prst="pct10">
              <a:fgClr>
                <a:srgbClr val="00B0F0"/>
              </a:fgClr>
              <a:bgClr>
                <a:schemeClr val="bg1"/>
              </a:bgClr>
            </a:pattFill>
            <a:ln>
              <a:solidFill>
                <a:srgbClr val="00B0F0"/>
              </a:solidFill>
            </a:ln>
            <a:effectLst/>
          </c:spPr>
          <c:invertIfNegative val="0"/>
          <c:cat>
            <c:strRef>
              <c:f>Sheet1!$A$2:$A$5</c:f>
              <c:strCache>
                <c:ptCount val="4"/>
                <c:pt idx="0">
                  <c:v>M0</c:v>
                </c:pt>
                <c:pt idx="1">
                  <c:v>MLAI+BM</c:v>
                </c:pt>
                <c:pt idx="2">
                  <c:v>MLAI+BM+ET</c:v>
                </c:pt>
                <c:pt idx="3">
                  <c:v>MET</c:v>
                </c:pt>
              </c:strCache>
            </c:strRef>
          </c:cat>
          <c:val>
            <c:numRef>
              <c:f>Sheet1!$D$2:$D$5</c:f>
              <c:numCache>
                <c:formatCode>General</c:formatCode>
                <c:ptCount val="4"/>
                <c:pt idx="0">
                  <c:v>616.4</c:v>
                </c:pt>
                <c:pt idx="1">
                  <c:v>483</c:v>
                </c:pt>
                <c:pt idx="2">
                  <c:v>817</c:v>
                </c:pt>
                <c:pt idx="3">
                  <c:v>825</c:v>
                </c:pt>
              </c:numCache>
            </c:numRef>
          </c:val>
          <c:extLst>
            <c:ext xmlns:c16="http://schemas.microsoft.com/office/drawing/2014/chart" uri="{C3380CC4-5D6E-409C-BE32-E72D297353CC}">
              <c16:uniqueId val="{00000000-BED2-48A5-8FF3-E1AD66367C36}"/>
            </c:ext>
          </c:extLst>
        </c:ser>
        <c:ser>
          <c:idx val="1"/>
          <c:order val="3"/>
          <c:tx>
            <c:strRef>
              <c:f>Sheet1!$E$1</c:f>
              <c:strCache>
                <c:ptCount val="1"/>
                <c:pt idx="0">
                  <c:v>Baseflow</c:v>
                </c:pt>
              </c:strCache>
            </c:strRef>
          </c:tx>
          <c:spPr>
            <a:pattFill prst="ltHorz">
              <a:fgClr>
                <a:srgbClr val="FF0000"/>
              </a:fgClr>
              <a:bgClr>
                <a:schemeClr val="bg1"/>
              </a:bgClr>
            </a:pattFill>
            <a:ln>
              <a:solidFill>
                <a:srgbClr val="FF0000"/>
              </a:solidFill>
            </a:ln>
            <a:effectLst/>
          </c:spPr>
          <c:invertIfNegative val="0"/>
          <c:cat>
            <c:strRef>
              <c:f>Sheet1!$A$2:$A$5</c:f>
              <c:strCache>
                <c:ptCount val="4"/>
                <c:pt idx="0">
                  <c:v>M0</c:v>
                </c:pt>
                <c:pt idx="1">
                  <c:v>MLAI+BM</c:v>
                </c:pt>
                <c:pt idx="2">
                  <c:v>MLAI+BM+ET</c:v>
                </c:pt>
                <c:pt idx="3">
                  <c:v>MET</c:v>
                </c:pt>
              </c:strCache>
            </c:strRef>
          </c:cat>
          <c:val>
            <c:numRef>
              <c:f>Sheet1!$E$2:$E$5</c:f>
              <c:numCache>
                <c:formatCode>General</c:formatCode>
                <c:ptCount val="4"/>
                <c:pt idx="0">
                  <c:v>397.54753119999998</c:v>
                </c:pt>
                <c:pt idx="1">
                  <c:v>475.25986410000002</c:v>
                </c:pt>
                <c:pt idx="2">
                  <c:v>260.1204262</c:v>
                </c:pt>
                <c:pt idx="3">
                  <c:v>255.1622491</c:v>
                </c:pt>
              </c:numCache>
            </c:numRef>
          </c:val>
          <c:extLst>
            <c:ext xmlns:c16="http://schemas.microsoft.com/office/drawing/2014/chart" uri="{C3380CC4-5D6E-409C-BE32-E72D297353CC}">
              <c16:uniqueId val="{00000001-BED2-48A5-8FF3-E1AD66367C36}"/>
            </c:ext>
          </c:extLst>
        </c:ser>
        <c:dLbls>
          <c:showLegendKey val="0"/>
          <c:showVal val="0"/>
          <c:showCatName val="0"/>
          <c:showSerName val="0"/>
          <c:showPercent val="0"/>
          <c:showBubbleSize val="0"/>
        </c:dLbls>
        <c:gapWidth val="219"/>
        <c:axId val="578809976"/>
        <c:axId val="578812928"/>
      </c:barChart>
      <c:lineChart>
        <c:grouping val="standard"/>
        <c:varyColors val="0"/>
        <c:ser>
          <c:idx val="2"/>
          <c:order val="0"/>
          <c:tx>
            <c:strRef>
              <c:f>Sheet1!$B$1</c:f>
              <c:strCache>
                <c:ptCount val="1"/>
                <c:pt idx="0">
                  <c:v>Observed ET</c:v>
                </c:pt>
              </c:strCache>
            </c:strRef>
          </c:tx>
          <c:spPr>
            <a:ln w="28575" cap="rnd">
              <a:solidFill>
                <a:srgbClr val="00B0F0"/>
              </a:solidFill>
              <a:round/>
            </a:ln>
            <a:effectLst/>
          </c:spPr>
          <c:marker>
            <c:symbol val="square"/>
            <c:size val="7"/>
            <c:spPr>
              <a:solidFill>
                <a:srgbClr val="00B0F0"/>
              </a:solidFill>
              <a:ln w="9525">
                <a:solidFill>
                  <a:srgbClr val="00B0F0"/>
                </a:solidFill>
              </a:ln>
              <a:effectLst/>
            </c:spPr>
          </c:marker>
          <c:cat>
            <c:strRef>
              <c:f>Sheet1!$A$2:$A$5</c:f>
              <c:strCache>
                <c:ptCount val="4"/>
                <c:pt idx="0">
                  <c:v>M0</c:v>
                </c:pt>
                <c:pt idx="1">
                  <c:v>MLAI+BM</c:v>
                </c:pt>
                <c:pt idx="2">
                  <c:v>MLAI+BM+ET</c:v>
                </c:pt>
                <c:pt idx="3">
                  <c:v>MET</c:v>
                </c:pt>
              </c:strCache>
            </c:strRef>
          </c:cat>
          <c:val>
            <c:numRef>
              <c:f>Sheet1!$B$2:$B$5</c:f>
              <c:numCache>
                <c:formatCode>General</c:formatCode>
                <c:ptCount val="4"/>
                <c:pt idx="0">
                  <c:v>815</c:v>
                </c:pt>
                <c:pt idx="1">
                  <c:v>815</c:v>
                </c:pt>
                <c:pt idx="2">
                  <c:v>815</c:v>
                </c:pt>
                <c:pt idx="3">
                  <c:v>815</c:v>
                </c:pt>
              </c:numCache>
            </c:numRef>
          </c:val>
          <c:smooth val="0"/>
          <c:extLst>
            <c:ext xmlns:c16="http://schemas.microsoft.com/office/drawing/2014/chart" uri="{C3380CC4-5D6E-409C-BE32-E72D297353CC}">
              <c16:uniqueId val="{00000002-BED2-48A5-8FF3-E1AD66367C36}"/>
            </c:ext>
          </c:extLst>
        </c:ser>
        <c:ser>
          <c:idx val="3"/>
          <c:order val="1"/>
          <c:tx>
            <c:strRef>
              <c:f>Sheet1!$C$1</c:f>
              <c:strCache>
                <c:ptCount val="1"/>
                <c:pt idx="0">
                  <c:v>Observed baseflow</c:v>
                </c:pt>
              </c:strCache>
            </c:strRef>
          </c:tx>
          <c:spPr>
            <a:ln w="28575" cap="rnd">
              <a:solidFill>
                <a:srgbClr val="FF0000"/>
              </a:solidFill>
              <a:round/>
            </a:ln>
            <a:effectLst/>
          </c:spPr>
          <c:marker>
            <c:symbol val="triangle"/>
            <c:size val="8"/>
            <c:spPr>
              <a:solidFill>
                <a:srgbClr val="FF0000"/>
              </a:solidFill>
              <a:ln w="9525">
                <a:solidFill>
                  <a:srgbClr val="FF0000"/>
                </a:solidFill>
              </a:ln>
              <a:effectLst/>
            </c:spPr>
          </c:marker>
          <c:cat>
            <c:strRef>
              <c:f>Sheet1!$A$2:$A$5</c:f>
              <c:strCache>
                <c:ptCount val="4"/>
                <c:pt idx="0">
                  <c:v>M0</c:v>
                </c:pt>
                <c:pt idx="1">
                  <c:v>MLAI+BM</c:v>
                </c:pt>
                <c:pt idx="2">
                  <c:v>MLAI+BM+ET</c:v>
                </c:pt>
                <c:pt idx="3">
                  <c:v>MET</c:v>
                </c:pt>
              </c:strCache>
            </c:strRef>
          </c:cat>
          <c:val>
            <c:numRef>
              <c:f>Sheet1!$C$2:$C$5</c:f>
              <c:numCache>
                <c:formatCode>General</c:formatCode>
                <c:ptCount val="4"/>
                <c:pt idx="0">
                  <c:v>256.98048799999998</c:v>
                </c:pt>
                <c:pt idx="1">
                  <c:v>256.98048799999998</c:v>
                </c:pt>
                <c:pt idx="2">
                  <c:v>256.98048799999998</c:v>
                </c:pt>
                <c:pt idx="3">
                  <c:v>256.98048799999998</c:v>
                </c:pt>
              </c:numCache>
            </c:numRef>
          </c:val>
          <c:smooth val="0"/>
          <c:extLst>
            <c:ext xmlns:c16="http://schemas.microsoft.com/office/drawing/2014/chart" uri="{C3380CC4-5D6E-409C-BE32-E72D297353CC}">
              <c16:uniqueId val="{00000003-BED2-48A5-8FF3-E1AD66367C36}"/>
            </c:ext>
          </c:extLst>
        </c:ser>
        <c:dLbls>
          <c:showLegendKey val="0"/>
          <c:showVal val="0"/>
          <c:showCatName val="0"/>
          <c:showSerName val="0"/>
          <c:showPercent val="0"/>
          <c:showBubbleSize val="0"/>
        </c:dLbls>
        <c:marker val="1"/>
        <c:smooth val="0"/>
        <c:axId val="578809976"/>
        <c:axId val="578812928"/>
      </c:lineChart>
      <c:catAx>
        <c:axId val="5788099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Model</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8812928"/>
        <c:crosses val="autoZero"/>
        <c:auto val="1"/>
        <c:lblAlgn val="ctr"/>
        <c:lblOffset val="100"/>
        <c:noMultiLvlLbl val="0"/>
      </c:catAx>
      <c:valAx>
        <c:axId val="57881292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Annual</a:t>
                </a:r>
                <a:r>
                  <a:rPr lang="en-US" sz="1000" baseline="0">
                    <a:solidFill>
                      <a:sysClr val="windowText" lastClr="000000"/>
                    </a:solidFill>
                    <a:latin typeface="Times New Roman" panose="02020603050405020304" pitchFamily="18" charset="0"/>
                    <a:cs typeface="Times New Roman" panose="02020603050405020304" pitchFamily="18" charset="0"/>
                  </a:rPr>
                  <a:t> flux (mm)</a:t>
                </a: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8809976"/>
        <c:crosses val="autoZero"/>
        <c:crossBetween val="between"/>
        <c:majorUnit val="4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Upper Santa Fe River</a:t>
            </a:r>
            <a:r>
              <a:rPr lang="en-US" sz="1200" baseline="0">
                <a:solidFill>
                  <a:sysClr val="windowText" lastClr="000000"/>
                </a:solidFill>
                <a:latin typeface="Times New Roman" panose="02020603050405020304" pitchFamily="18" charset="0"/>
                <a:cs typeface="Times New Roman" panose="02020603050405020304" pitchFamily="18" charset="0"/>
              </a:rPr>
              <a:t> watershed</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lgn="l">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2"/>
          <c:tx>
            <c:strRef>
              <c:f>Sheet1!$D$1</c:f>
              <c:strCache>
                <c:ptCount val="1"/>
                <c:pt idx="0">
                  <c:v>ET</c:v>
                </c:pt>
              </c:strCache>
            </c:strRef>
          </c:tx>
          <c:spPr>
            <a:pattFill prst="pct10">
              <a:fgClr>
                <a:srgbClr val="00B0F0"/>
              </a:fgClr>
              <a:bgClr>
                <a:schemeClr val="bg1"/>
              </a:bgClr>
            </a:pattFill>
            <a:ln>
              <a:solidFill>
                <a:srgbClr val="00B0F0"/>
              </a:solidFill>
            </a:ln>
            <a:effectLst/>
          </c:spPr>
          <c:invertIfNegative val="0"/>
          <c:cat>
            <c:strRef>
              <c:f>Sheet1!$A$2:$A$5</c:f>
              <c:strCache>
                <c:ptCount val="4"/>
                <c:pt idx="0">
                  <c:v>M0</c:v>
                </c:pt>
                <c:pt idx="1">
                  <c:v>MLAI+BM</c:v>
                </c:pt>
                <c:pt idx="2">
                  <c:v>MLAI+BM+ET</c:v>
                </c:pt>
                <c:pt idx="3">
                  <c:v>MET</c:v>
                </c:pt>
              </c:strCache>
            </c:strRef>
          </c:cat>
          <c:val>
            <c:numRef>
              <c:f>Sheet1!$D$2:$D$5</c:f>
              <c:numCache>
                <c:formatCode>General</c:formatCode>
                <c:ptCount val="4"/>
                <c:pt idx="0">
                  <c:v>616.4</c:v>
                </c:pt>
                <c:pt idx="1">
                  <c:v>483</c:v>
                </c:pt>
                <c:pt idx="2">
                  <c:v>817</c:v>
                </c:pt>
                <c:pt idx="3">
                  <c:v>825</c:v>
                </c:pt>
              </c:numCache>
            </c:numRef>
          </c:val>
          <c:extLst>
            <c:ext xmlns:c16="http://schemas.microsoft.com/office/drawing/2014/chart" uri="{C3380CC4-5D6E-409C-BE32-E72D297353CC}">
              <c16:uniqueId val="{00000000-22AE-4AE2-A592-4E9C98FF97E5}"/>
            </c:ext>
          </c:extLst>
        </c:ser>
        <c:ser>
          <c:idx val="1"/>
          <c:order val="3"/>
          <c:tx>
            <c:strRef>
              <c:f>Sheet1!$E$1</c:f>
              <c:strCache>
                <c:ptCount val="1"/>
                <c:pt idx="0">
                  <c:v>Baseflow</c:v>
                </c:pt>
              </c:strCache>
            </c:strRef>
          </c:tx>
          <c:spPr>
            <a:pattFill prst="ltHorz">
              <a:fgClr>
                <a:srgbClr val="FF0000"/>
              </a:fgClr>
              <a:bgClr>
                <a:schemeClr val="bg1"/>
              </a:bgClr>
            </a:pattFill>
            <a:ln>
              <a:solidFill>
                <a:srgbClr val="FF0000"/>
              </a:solidFill>
            </a:ln>
            <a:effectLst/>
          </c:spPr>
          <c:invertIfNegative val="0"/>
          <c:cat>
            <c:strRef>
              <c:f>Sheet1!$A$2:$A$5</c:f>
              <c:strCache>
                <c:ptCount val="4"/>
                <c:pt idx="0">
                  <c:v>M0</c:v>
                </c:pt>
                <c:pt idx="1">
                  <c:v>MLAI+BM</c:v>
                </c:pt>
                <c:pt idx="2">
                  <c:v>MLAI+BM+ET</c:v>
                </c:pt>
                <c:pt idx="3">
                  <c:v>MET</c:v>
                </c:pt>
              </c:strCache>
            </c:strRef>
          </c:cat>
          <c:val>
            <c:numRef>
              <c:f>Sheet1!$E$2:$E$5</c:f>
              <c:numCache>
                <c:formatCode>General</c:formatCode>
                <c:ptCount val="4"/>
                <c:pt idx="0">
                  <c:v>397.54753119999998</c:v>
                </c:pt>
                <c:pt idx="1">
                  <c:v>475.25986410000002</c:v>
                </c:pt>
                <c:pt idx="2">
                  <c:v>260.1204262</c:v>
                </c:pt>
                <c:pt idx="3">
                  <c:v>255.1622491</c:v>
                </c:pt>
              </c:numCache>
            </c:numRef>
          </c:val>
          <c:extLst>
            <c:ext xmlns:c16="http://schemas.microsoft.com/office/drawing/2014/chart" uri="{C3380CC4-5D6E-409C-BE32-E72D297353CC}">
              <c16:uniqueId val="{00000001-22AE-4AE2-A592-4E9C98FF97E5}"/>
            </c:ext>
          </c:extLst>
        </c:ser>
        <c:dLbls>
          <c:showLegendKey val="0"/>
          <c:showVal val="0"/>
          <c:showCatName val="0"/>
          <c:showSerName val="0"/>
          <c:showPercent val="0"/>
          <c:showBubbleSize val="0"/>
        </c:dLbls>
        <c:gapWidth val="219"/>
        <c:axId val="578809976"/>
        <c:axId val="578812928"/>
      </c:barChart>
      <c:lineChart>
        <c:grouping val="standard"/>
        <c:varyColors val="0"/>
        <c:ser>
          <c:idx val="2"/>
          <c:order val="0"/>
          <c:tx>
            <c:strRef>
              <c:f>Sheet1!$B$1</c:f>
              <c:strCache>
                <c:ptCount val="1"/>
                <c:pt idx="0">
                  <c:v>Observed ET</c:v>
                </c:pt>
              </c:strCache>
            </c:strRef>
          </c:tx>
          <c:spPr>
            <a:ln w="28575" cap="rnd">
              <a:solidFill>
                <a:srgbClr val="00B0F0"/>
              </a:solidFill>
              <a:round/>
            </a:ln>
            <a:effectLst/>
          </c:spPr>
          <c:marker>
            <c:symbol val="square"/>
            <c:size val="7"/>
            <c:spPr>
              <a:solidFill>
                <a:srgbClr val="00B0F0"/>
              </a:solidFill>
              <a:ln w="9525">
                <a:solidFill>
                  <a:srgbClr val="00B0F0"/>
                </a:solidFill>
              </a:ln>
              <a:effectLst/>
            </c:spPr>
          </c:marker>
          <c:cat>
            <c:strRef>
              <c:f>Sheet1!$A$2:$A$5</c:f>
              <c:strCache>
                <c:ptCount val="4"/>
                <c:pt idx="0">
                  <c:v>M0</c:v>
                </c:pt>
                <c:pt idx="1">
                  <c:v>MLAI+BM</c:v>
                </c:pt>
                <c:pt idx="2">
                  <c:v>MLAI+BM+ET</c:v>
                </c:pt>
                <c:pt idx="3">
                  <c:v>MET</c:v>
                </c:pt>
              </c:strCache>
            </c:strRef>
          </c:cat>
          <c:val>
            <c:numRef>
              <c:f>Sheet1!$B$2:$B$5</c:f>
              <c:numCache>
                <c:formatCode>General</c:formatCode>
                <c:ptCount val="4"/>
                <c:pt idx="0">
                  <c:v>815</c:v>
                </c:pt>
                <c:pt idx="1">
                  <c:v>815</c:v>
                </c:pt>
                <c:pt idx="2">
                  <c:v>815</c:v>
                </c:pt>
                <c:pt idx="3">
                  <c:v>815</c:v>
                </c:pt>
              </c:numCache>
            </c:numRef>
          </c:val>
          <c:smooth val="0"/>
          <c:extLst>
            <c:ext xmlns:c16="http://schemas.microsoft.com/office/drawing/2014/chart" uri="{C3380CC4-5D6E-409C-BE32-E72D297353CC}">
              <c16:uniqueId val="{00000002-22AE-4AE2-A592-4E9C98FF97E5}"/>
            </c:ext>
          </c:extLst>
        </c:ser>
        <c:ser>
          <c:idx val="3"/>
          <c:order val="1"/>
          <c:tx>
            <c:strRef>
              <c:f>Sheet1!$C$1</c:f>
              <c:strCache>
                <c:ptCount val="1"/>
                <c:pt idx="0">
                  <c:v>Observed baseflow</c:v>
                </c:pt>
              </c:strCache>
            </c:strRef>
          </c:tx>
          <c:spPr>
            <a:ln w="28575" cap="rnd">
              <a:solidFill>
                <a:srgbClr val="FF0000"/>
              </a:solidFill>
              <a:round/>
            </a:ln>
            <a:effectLst/>
          </c:spPr>
          <c:marker>
            <c:symbol val="triangle"/>
            <c:size val="8"/>
            <c:spPr>
              <a:solidFill>
                <a:srgbClr val="FF0000"/>
              </a:solidFill>
              <a:ln w="9525">
                <a:solidFill>
                  <a:srgbClr val="FF0000"/>
                </a:solidFill>
              </a:ln>
              <a:effectLst/>
            </c:spPr>
          </c:marker>
          <c:cat>
            <c:strRef>
              <c:f>Sheet1!$A$2:$A$5</c:f>
              <c:strCache>
                <c:ptCount val="4"/>
                <c:pt idx="0">
                  <c:v>M0</c:v>
                </c:pt>
                <c:pt idx="1">
                  <c:v>MLAI+BM</c:v>
                </c:pt>
                <c:pt idx="2">
                  <c:v>MLAI+BM+ET</c:v>
                </c:pt>
                <c:pt idx="3">
                  <c:v>MET</c:v>
                </c:pt>
              </c:strCache>
            </c:strRef>
          </c:cat>
          <c:val>
            <c:numRef>
              <c:f>Sheet1!$C$2:$C$5</c:f>
              <c:numCache>
                <c:formatCode>General</c:formatCode>
                <c:ptCount val="4"/>
                <c:pt idx="0">
                  <c:v>256.98048799999998</c:v>
                </c:pt>
                <c:pt idx="1">
                  <c:v>256.98048799999998</c:v>
                </c:pt>
                <c:pt idx="2">
                  <c:v>256.98048799999998</c:v>
                </c:pt>
                <c:pt idx="3">
                  <c:v>256.98048799999998</c:v>
                </c:pt>
              </c:numCache>
            </c:numRef>
          </c:val>
          <c:smooth val="0"/>
          <c:extLst>
            <c:ext xmlns:c16="http://schemas.microsoft.com/office/drawing/2014/chart" uri="{C3380CC4-5D6E-409C-BE32-E72D297353CC}">
              <c16:uniqueId val="{00000003-22AE-4AE2-A592-4E9C98FF97E5}"/>
            </c:ext>
          </c:extLst>
        </c:ser>
        <c:dLbls>
          <c:showLegendKey val="0"/>
          <c:showVal val="0"/>
          <c:showCatName val="0"/>
          <c:showSerName val="0"/>
          <c:showPercent val="0"/>
          <c:showBubbleSize val="0"/>
        </c:dLbls>
        <c:marker val="1"/>
        <c:smooth val="0"/>
        <c:axId val="578809976"/>
        <c:axId val="578812928"/>
      </c:lineChart>
      <c:catAx>
        <c:axId val="5788099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Model</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8812928"/>
        <c:crosses val="autoZero"/>
        <c:auto val="1"/>
        <c:lblAlgn val="ctr"/>
        <c:lblOffset val="100"/>
        <c:noMultiLvlLbl val="0"/>
      </c:catAx>
      <c:valAx>
        <c:axId val="57881292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solidFill>
                      <a:sysClr val="windowText" lastClr="000000"/>
                    </a:solidFill>
                    <a:latin typeface="Times New Roman" panose="02020603050405020304" pitchFamily="18" charset="0"/>
                    <a:cs typeface="Times New Roman" panose="02020603050405020304" pitchFamily="18" charset="0"/>
                  </a:rPr>
                  <a:t>Annual</a:t>
                </a:r>
                <a:r>
                  <a:rPr lang="en-US" sz="1000" baseline="0">
                    <a:solidFill>
                      <a:sysClr val="windowText" lastClr="000000"/>
                    </a:solidFill>
                    <a:latin typeface="Times New Roman" panose="02020603050405020304" pitchFamily="18" charset="0"/>
                    <a:cs typeface="Times New Roman" panose="02020603050405020304" pitchFamily="18" charset="0"/>
                  </a:rPr>
                  <a:t> flux (mm)</a:t>
                </a:r>
                <a:endParaRPr lang="en-US" sz="10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8809976"/>
        <c:crosses val="autoZero"/>
        <c:crossBetween val="between"/>
        <c:majorUnit val="4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545A6-2AA6-4C6A-B18D-5B7EC38B4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3471</Words>
  <Characters>19787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AU</Company>
  <LinksUpToDate>false</LinksUpToDate>
  <CharactersWithSpaces>23212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Henrique Haas</dc:creator>
  <cp:keywords/>
  <dc:description/>
  <cp:lastModifiedBy>Henrique Haas</cp:lastModifiedBy>
  <cp:revision>2</cp:revision>
  <cp:lastPrinted>2020-07-02T22:02:00Z</cp:lastPrinted>
  <dcterms:created xsi:type="dcterms:W3CDTF">2021-11-11T01:14:00Z</dcterms:created>
  <dcterms:modified xsi:type="dcterms:W3CDTF">2021-11-11T01:14:00Z</dcterms:modified>
</cp:coreProperties>
</file>