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5DD9A" w14:textId="437352E5" w:rsidR="00B15DE3" w:rsidRDefault="00B15DE3" w:rsidP="00B15DE3">
      <w:pPr>
        <w:spacing w:line="480" w:lineRule="auto"/>
        <w:ind w:left="720" w:hanging="720"/>
        <w:jc w:val="center"/>
        <w:rPr>
          <w:rFonts w:ascii="Arial" w:eastAsia="Arial" w:hAnsi="Arial" w:cs="Arial"/>
          <w:b/>
          <w:sz w:val="22"/>
          <w:szCs w:val="22"/>
        </w:rPr>
      </w:pPr>
      <w:r>
        <w:rPr>
          <w:rFonts w:ascii="Arial" w:eastAsia="Arial" w:hAnsi="Arial" w:cs="Arial"/>
          <w:b/>
          <w:sz w:val="22"/>
          <w:szCs w:val="22"/>
        </w:rPr>
        <w:t>Supplementary Material</w:t>
      </w:r>
    </w:p>
    <w:p w14:paraId="41B0D0B3" w14:textId="77777777" w:rsidR="00B01D17" w:rsidRDefault="00B01D17" w:rsidP="00B01D17">
      <w:pPr>
        <w:jc w:val="center"/>
        <w:rPr>
          <w:rFonts w:ascii="Arial" w:eastAsia="Arial" w:hAnsi="Arial" w:cs="Arial"/>
          <w:b/>
          <w:sz w:val="22"/>
          <w:szCs w:val="22"/>
        </w:rPr>
      </w:pPr>
      <w:r>
        <w:rPr>
          <w:rFonts w:ascii="Arial" w:eastAsia="Arial" w:hAnsi="Arial" w:cs="Arial"/>
          <w:b/>
          <w:sz w:val="22"/>
          <w:szCs w:val="22"/>
        </w:rPr>
        <w:t xml:space="preserve">Supplemental Table 1: Search terms used in the scoping review. </w:t>
      </w:r>
    </w:p>
    <w:p w14:paraId="3743458F" w14:textId="77777777" w:rsidR="00B01D17" w:rsidRDefault="00B01D17" w:rsidP="00B01D17">
      <w:pPr>
        <w:rPr>
          <w:rFonts w:ascii="Arial" w:eastAsia="Arial" w:hAnsi="Arial" w:cs="Arial"/>
          <w:sz w:val="22"/>
          <w:szCs w:val="22"/>
        </w:rPr>
      </w:pPr>
    </w:p>
    <w:tbl>
      <w:tblPr>
        <w:tblW w:w="935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45"/>
        <w:gridCol w:w="3870"/>
        <w:gridCol w:w="3235"/>
      </w:tblGrid>
      <w:tr w:rsidR="00B01D17" w14:paraId="2757E8BF" w14:textId="77777777" w:rsidTr="00CC7673">
        <w:trPr>
          <w:jc w:val="center"/>
        </w:trPr>
        <w:tc>
          <w:tcPr>
            <w:tcW w:w="2245" w:type="dxa"/>
          </w:tcPr>
          <w:p w14:paraId="2AD05352" w14:textId="77777777" w:rsidR="00B01D17" w:rsidRDefault="00B01D17" w:rsidP="00CC7673">
            <w:pPr>
              <w:rPr>
                <w:rFonts w:ascii="Arial" w:eastAsia="Arial" w:hAnsi="Arial" w:cs="Arial"/>
                <w:b/>
              </w:rPr>
            </w:pPr>
            <w:r>
              <w:rPr>
                <w:rFonts w:ascii="Arial" w:eastAsia="Arial" w:hAnsi="Arial" w:cs="Arial"/>
                <w:b/>
              </w:rPr>
              <w:t>Database</w:t>
            </w:r>
          </w:p>
        </w:tc>
        <w:tc>
          <w:tcPr>
            <w:tcW w:w="3870" w:type="dxa"/>
          </w:tcPr>
          <w:p w14:paraId="15193880" w14:textId="77777777" w:rsidR="00B01D17" w:rsidRDefault="00B01D17" w:rsidP="00CC7673">
            <w:pPr>
              <w:rPr>
                <w:rFonts w:ascii="Arial" w:eastAsia="Arial" w:hAnsi="Arial" w:cs="Arial"/>
                <w:b/>
              </w:rPr>
            </w:pPr>
            <w:r>
              <w:rPr>
                <w:rFonts w:ascii="Arial" w:eastAsia="Arial" w:hAnsi="Arial" w:cs="Arial"/>
                <w:b/>
              </w:rPr>
              <w:t>Search terms used</w:t>
            </w:r>
          </w:p>
        </w:tc>
        <w:tc>
          <w:tcPr>
            <w:tcW w:w="3235" w:type="dxa"/>
          </w:tcPr>
          <w:p w14:paraId="03993376" w14:textId="77777777" w:rsidR="00B01D17" w:rsidRDefault="00B01D17" w:rsidP="00CC7673">
            <w:pPr>
              <w:rPr>
                <w:rFonts w:ascii="Arial" w:eastAsia="Arial" w:hAnsi="Arial" w:cs="Arial"/>
                <w:b/>
              </w:rPr>
            </w:pPr>
            <w:r>
              <w:rPr>
                <w:rFonts w:ascii="Arial" w:eastAsia="Arial" w:hAnsi="Arial" w:cs="Arial"/>
                <w:b/>
              </w:rPr>
              <w:t>Additional constraints</w:t>
            </w:r>
          </w:p>
        </w:tc>
      </w:tr>
      <w:tr w:rsidR="00B01D17" w14:paraId="7FF85C88" w14:textId="77777777" w:rsidTr="00CC7673">
        <w:trPr>
          <w:jc w:val="center"/>
        </w:trPr>
        <w:tc>
          <w:tcPr>
            <w:tcW w:w="2245" w:type="dxa"/>
          </w:tcPr>
          <w:p w14:paraId="7288A7AC" w14:textId="77777777" w:rsidR="00B01D17" w:rsidRDefault="00B01D17" w:rsidP="00CC7673">
            <w:pPr>
              <w:rPr>
                <w:rFonts w:ascii="Arial" w:eastAsia="Arial" w:hAnsi="Arial" w:cs="Arial"/>
              </w:rPr>
            </w:pPr>
            <w:r>
              <w:rPr>
                <w:rFonts w:ascii="Arial" w:eastAsia="Arial" w:hAnsi="Arial" w:cs="Arial"/>
              </w:rPr>
              <w:t>PubMed</w:t>
            </w:r>
          </w:p>
        </w:tc>
        <w:tc>
          <w:tcPr>
            <w:tcW w:w="3870" w:type="dxa"/>
          </w:tcPr>
          <w:p w14:paraId="7F956BD7" w14:textId="77777777" w:rsidR="00B01D17" w:rsidRDefault="00B01D17" w:rsidP="00CC7673">
            <w:pPr>
              <w:rPr>
                <w:rFonts w:ascii="Arial" w:eastAsia="Arial" w:hAnsi="Arial" w:cs="Arial"/>
              </w:rPr>
            </w:pPr>
            <w:r>
              <w:rPr>
                <w:rFonts w:ascii="Arial" w:eastAsia="Arial" w:hAnsi="Arial" w:cs="Arial"/>
              </w:rPr>
              <w:t>("health" OR "public health") AND ("forest fires" OR "bush fires" OR "wildfires" OR "wildfire") AND ("long term" OR "long-term")</w:t>
            </w:r>
          </w:p>
        </w:tc>
        <w:tc>
          <w:tcPr>
            <w:tcW w:w="3235" w:type="dxa"/>
          </w:tcPr>
          <w:p w14:paraId="225708C6" w14:textId="77777777" w:rsidR="00B01D17" w:rsidRDefault="00B01D17" w:rsidP="00CC7673">
            <w:pPr>
              <w:rPr>
                <w:rFonts w:ascii="Arial" w:eastAsia="Arial" w:hAnsi="Arial" w:cs="Arial"/>
              </w:rPr>
            </w:pPr>
            <w:r>
              <w:rPr>
                <w:rFonts w:ascii="Arial" w:eastAsia="Arial" w:hAnsi="Arial" w:cs="Arial"/>
              </w:rPr>
              <w:t>Search was narrowed to between the years 2011 and 2021.</w:t>
            </w:r>
          </w:p>
        </w:tc>
      </w:tr>
      <w:tr w:rsidR="00B01D17" w14:paraId="2CF19088" w14:textId="77777777" w:rsidTr="00CC7673">
        <w:trPr>
          <w:jc w:val="center"/>
        </w:trPr>
        <w:tc>
          <w:tcPr>
            <w:tcW w:w="2245" w:type="dxa"/>
          </w:tcPr>
          <w:p w14:paraId="7602CDFB" w14:textId="77777777" w:rsidR="00B01D17" w:rsidRDefault="00B01D17" w:rsidP="00CC7673">
            <w:pPr>
              <w:rPr>
                <w:rFonts w:ascii="Arial" w:eastAsia="Arial" w:hAnsi="Arial" w:cs="Arial"/>
              </w:rPr>
            </w:pPr>
            <w:r>
              <w:rPr>
                <w:rFonts w:ascii="Arial" w:eastAsia="Arial" w:hAnsi="Arial" w:cs="Arial"/>
              </w:rPr>
              <w:t>Embase</w:t>
            </w:r>
          </w:p>
        </w:tc>
        <w:tc>
          <w:tcPr>
            <w:tcW w:w="3870" w:type="dxa"/>
          </w:tcPr>
          <w:p w14:paraId="64A50AB2" w14:textId="77777777" w:rsidR="00B01D17" w:rsidRDefault="00B01D17" w:rsidP="00CC7673">
            <w:pPr>
              <w:rPr>
                <w:rFonts w:ascii="Arial" w:eastAsia="Arial" w:hAnsi="Arial" w:cs="Arial"/>
              </w:rPr>
            </w:pPr>
            <w:r>
              <w:rPr>
                <w:rFonts w:ascii="Arial" w:eastAsia="Arial" w:hAnsi="Arial" w:cs="Arial"/>
              </w:rPr>
              <w:t>("health" OR "public health") AND ("forest fires" OR "bush fires" OR "wildfires" OR "wildfire") AND ("long term" OR "long-term")</w:t>
            </w:r>
          </w:p>
        </w:tc>
        <w:tc>
          <w:tcPr>
            <w:tcW w:w="3235" w:type="dxa"/>
          </w:tcPr>
          <w:p w14:paraId="2A9839E3" w14:textId="77777777" w:rsidR="00B01D17" w:rsidRDefault="00B01D17" w:rsidP="00CC7673">
            <w:pPr>
              <w:rPr>
                <w:rFonts w:ascii="Arial" w:eastAsia="Arial" w:hAnsi="Arial" w:cs="Arial"/>
              </w:rPr>
            </w:pPr>
            <w:r>
              <w:rPr>
                <w:rFonts w:ascii="Arial" w:eastAsia="Arial" w:hAnsi="Arial" w:cs="Arial"/>
              </w:rPr>
              <w:t>Search was narrowed to between the years 2011 and 2021; search was constrained to “academically rigorous studies.”</w:t>
            </w:r>
          </w:p>
        </w:tc>
      </w:tr>
      <w:tr w:rsidR="00B01D17" w14:paraId="2AE66F31" w14:textId="77777777" w:rsidTr="00CC7673">
        <w:trPr>
          <w:jc w:val="center"/>
        </w:trPr>
        <w:tc>
          <w:tcPr>
            <w:tcW w:w="2245" w:type="dxa"/>
          </w:tcPr>
          <w:p w14:paraId="4A428DCB" w14:textId="77777777" w:rsidR="00B01D17" w:rsidRDefault="00B01D17" w:rsidP="00CC7673">
            <w:pPr>
              <w:rPr>
                <w:rFonts w:ascii="Arial" w:eastAsia="Arial" w:hAnsi="Arial" w:cs="Arial"/>
              </w:rPr>
            </w:pPr>
            <w:r>
              <w:rPr>
                <w:rFonts w:ascii="Arial" w:eastAsia="Arial" w:hAnsi="Arial" w:cs="Arial"/>
              </w:rPr>
              <w:t>Cochrane Review</w:t>
            </w:r>
          </w:p>
        </w:tc>
        <w:tc>
          <w:tcPr>
            <w:tcW w:w="3870" w:type="dxa"/>
          </w:tcPr>
          <w:p w14:paraId="76467D29" w14:textId="77777777" w:rsidR="00B01D17" w:rsidRDefault="00B01D17" w:rsidP="00CC7673">
            <w:pPr>
              <w:rPr>
                <w:rFonts w:ascii="Arial" w:eastAsia="Arial" w:hAnsi="Arial" w:cs="Arial"/>
              </w:rPr>
            </w:pPr>
            <w:r>
              <w:rPr>
                <w:rFonts w:ascii="Arial" w:eastAsia="Arial" w:hAnsi="Arial" w:cs="Arial"/>
              </w:rPr>
              <w:t xml:space="preserve">*fire </w:t>
            </w:r>
          </w:p>
          <w:p w14:paraId="093C74A0" w14:textId="77777777" w:rsidR="00B01D17" w:rsidRDefault="00B01D17" w:rsidP="00CC7673">
            <w:pPr>
              <w:rPr>
                <w:rFonts w:ascii="Arial" w:eastAsia="Arial" w:hAnsi="Arial" w:cs="Arial"/>
              </w:rPr>
            </w:pPr>
          </w:p>
          <w:p w14:paraId="6F52D2CC" w14:textId="77777777" w:rsidR="00B01D17" w:rsidRDefault="00B01D17" w:rsidP="00CC7673">
            <w:pPr>
              <w:rPr>
                <w:rFonts w:ascii="Arial" w:eastAsia="Arial" w:hAnsi="Arial" w:cs="Arial"/>
              </w:rPr>
            </w:pPr>
          </w:p>
        </w:tc>
        <w:tc>
          <w:tcPr>
            <w:tcW w:w="3235" w:type="dxa"/>
          </w:tcPr>
          <w:p w14:paraId="576DD08C" w14:textId="77777777" w:rsidR="00B01D17" w:rsidRDefault="00B01D17" w:rsidP="00CC7673">
            <w:pPr>
              <w:rPr>
                <w:rFonts w:ascii="Arial" w:eastAsia="Arial" w:hAnsi="Arial" w:cs="Arial"/>
              </w:rPr>
            </w:pPr>
            <w:r>
              <w:rPr>
                <w:rFonts w:ascii="Arial" w:eastAsia="Arial" w:hAnsi="Arial" w:cs="Arial"/>
              </w:rPr>
              <w:t>This search was simplified to a single keyword when additional searches failed to return any results.</w:t>
            </w:r>
          </w:p>
        </w:tc>
      </w:tr>
    </w:tbl>
    <w:p w14:paraId="3A3FEE96" w14:textId="54D9AE51" w:rsidR="00B01D17" w:rsidRDefault="00B01D17" w:rsidP="00B15DE3">
      <w:pPr>
        <w:spacing w:line="480" w:lineRule="auto"/>
        <w:ind w:left="720" w:hanging="720"/>
        <w:jc w:val="center"/>
        <w:rPr>
          <w:rFonts w:ascii="Arial" w:eastAsia="Arial" w:hAnsi="Arial" w:cs="Arial"/>
          <w:b/>
          <w:sz w:val="22"/>
          <w:szCs w:val="22"/>
        </w:rPr>
      </w:pPr>
    </w:p>
    <w:p w14:paraId="3E014998" w14:textId="77777777" w:rsidR="00B01D17" w:rsidRDefault="00B01D17">
      <w:pPr>
        <w:rPr>
          <w:rFonts w:ascii="Arial" w:eastAsia="Arial" w:hAnsi="Arial" w:cs="Arial"/>
          <w:b/>
          <w:sz w:val="22"/>
          <w:szCs w:val="22"/>
        </w:rPr>
      </w:pPr>
      <w:r>
        <w:rPr>
          <w:rFonts w:ascii="Arial" w:eastAsia="Arial" w:hAnsi="Arial" w:cs="Arial"/>
          <w:b/>
          <w:sz w:val="22"/>
          <w:szCs w:val="22"/>
        </w:rPr>
        <w:br w:type="page"/>
      </w:r>
    </w:p>
    <w:p w14:paraId="595CB6B2" w14:textId="77777777" w:rsidR="00B01D17" w:rsidRDefault="00B01D17" w:rsidP="00B15DE3">
      <w:pPr>
        <w:spacing w:line="480" w:lineRule="auto"/>
        <w:ind w:left="720" w:hanging="720"/>
        <w:jc w:val="center"/>
        <w:rPr>
          <w:rFonts w:ascii="Arial" w:eastAsia="Arial" w:hAnsi="Arial" w:cs="Arial"/>
          <w:b/>
          <w:sz w:val="22"/>
          <w:szCs w:val="22"/>
        </w:rPr>
      </w:pPr>
    </w:p>
    <w:p w14:paraId="2A01E6D8" w14:textId="6E756659" w:rsidR="00B15DE3" w:rsidRDefault="00B01D17" w:rsidP="00B01D17">
      <w:pPr>
        <w:spacing w:line="480" w:lineRule="auto"/>
        <w:jc w:val="center"/>
        <w:rPr>
          <w:rFonts w:ascii="Arial" w:eastAsia="Arial" w:hAnsi="Arial" w:cs="Arial"/>
          <w:b/>
          <w:sz w:val="22"/>
          <w:szCs w:val="22"/>
        </w:rPr>
      </w:pPr>
      <w:r>
        <w:rPr>
          <w:rFonts w:ascii="Arial" w:eastAsia="Arial" w:hAnsi="Arial" w:cs="Arial"/>
          <w:b/>
          <w:sz w:val="22"/>
          <w:szCs w:val="22"/>
        </w:rPr>
        <w:t>Supplemental Table 2</w:t>
      </w:r>
      <w:r w:rsidR="00B15DE3">
        <w:rPr>
          <w:rFonts w:ascii="Arial" w:eastAsia="Arial" w:hAnsi="Arial" w:cs="Arial"/>
          <w:b/>
          <w:sz w:val="22"/>
          <w:szCs w:val="22"/>
        </w:rPr>
        <w:t>: Glossary of Industry-Specific Terms</w:t>
      </w:r>
    </w:p>
    <w:p w14:paraId="2601C14A" w14:textId="77777777" w:rsidR="00B15DE3" w:rsidRDefault="00B15DE3" w:rsidP="00B15DE3">
      <w:pPr>
        <w:spacing w:after="120"/>
        <w:ind w:left="3600" w:hanging="3600"/>
        <w:rPr>
          <w:rFonts w:ascii="Arial" w:eastAsia="Arial" w:hAnsi="Arial" w:cs="Arial"/>
          <w:sz w:val="22"/>
          <w:szCs w:val="22"/>
        </w:rPr>
      </w:pPr>
      <w:r>
        <w:rPr>
          <w:rFonts w:ascii="Arial" w:eastAsia="Arial" w:hAnsi="Arial" w:cs="Arial"/>
          <w:sz w:val="22"/>
          <w:szCs w:val="22"/>
        </w:rPr>
        <w:t>Aeolian dust</w:t>
      </w:r>
      <w:r>
        <w:rPr>
          <w:rFonts w:ascii="Arial" w:eastAsia="Arial" w:hAnsi="Arial" w:cs="Arial"/>
          <w:sz w:val="22"/>
          <w:szCs w:val="22"/>
        </w:rPr>
        <w:tab/>
        <w:t>Fine sediment which is transported by wind, often deposited in a different geographic location.</w:t>
      </w:r>
    </w:p>
    <w:p w14:paraId="2C60FF0A" w14:textId="77777777" w:rsidR="00B15DE3" w:rsidRDefault="00B15DE3" w:rsidP="00B15DE3">
      <w:pPr>
        <w:spacing w:after="120"/>
        <w:ind w:left="3600" w:hanging="3600"/>
        <w:rPr>
          <w:rFonts w:ascii="Arial" w:eastAsia="Arial" w:hAnsi="Arial" w:cs="Arial"/>
          <w:sz w:val="22"/>
          <w:szCs w:val="22"/>
        </w:rPr>
      </w:pPr>
      <w:r>
        <w:rPr>
          <w:rFonts w:ascii="Arial" w:eastAsia="Arial" w:hAnsi="Arial" w:cs="Arial"/>
          <w:sz w:val="22"/>
          <w:szCs w:val="22"/>
        </w:rPr>
        <w:t>Anthropogenic sources</w:t>
      </w:r>
      <w:r>
        <w:rPr>
          <w:rFonts w:ascii="Arial" w:eastAsia="Arial" w:hAnsi="Arial" w:cs="Arial"/>
          <w:sz w:val="22"/>
          <w:szCs w:val="22"/>
        </w:rPr>
        <w:tab/>
        <w:t>Sources of air pollution which result from human activity. These generally refer to air pollution caused by the combustion of fossil fuels.</w:t>
      </w:r>
    </w:p>
    <w:p w14:paraId="2024DD3B" w14:textId="77777777" w:rsidR="00B15DE3" w:rsidRDefault="00B15DE3" w:rsidP="00B15DE3">
      <w:pPr>
        <w:spacing w:after="120"/>
        <w:ind w:left="3600" w:hanging="3600"/>
        <w:rPr>
          <w:rFonts w:ascii="Arial" w:eastAsia="Arial" w:hAnsi="Arial" w:cs="Arial"/>
          <w:sz w:val="22"/>
          <w:szCs w:val="22"/>
        </w:rPr>
      </w:pPr>
      <w:r>
        <w:rPr>
          <w:rFonts w:ascii="Arial" w:eastAsia="Arial" w:hAnsi="Arial" w:cs="Arial"/>
          <w:sz w:val="22"/>
          <w:szCs w:val="22"/>
        </w:rPr>
        <w:t>General circulation model</w:t>
      </w:r>
      <w:r>
        <w:rPr>
          <w:rFonts w:ascii="Arial" w:eastAsia="Arial" w:hAnsi="Arial" w:cs="Arial"/>
          <w:sz w:val="22"/>
          <w:szCs w:val="22"/>
        </w:rPr>
        <w:tab/>
        <w:t>Numerical models which represent the physical processes in the atmosphere as an effect of changes in temperature.</w:t>
      </w:r>
    </w:p>
    <w:p w14:paraId="4147D58F" w14:textId="77777777" w:rsidR="00B15DE3" w:rsidRDefault="00B15DE3" w:rsidP="00B15DE3">
      <w:pPr>
        <w:spacing w:after="120"/>
        <w:ind w:left="3600" w:hanging="3600"/>
        <w:rPr>
          <w:rFonts w:ascii="Arial" w:eastAsia="Arial" w:hAnsi="Arial" w:cs="Arial"/>
          <w:sz w:val="22"/>
          <w:szCs w:val="22"/>
        </w:rPr>
      </w:pPr>
      <w:r>
        <w:rPr>
          <w:rFonts w:ascii="Arial" w:eastAsia="Arial" w:hAnsi="Arial" w:cs="Arial"/>
          <w:sz w:val="22"/>
          <w:szCs w:val="22"/>
        </w:rPr>
        <w:t>Greenhouse gas</w:t>
      </w:r>
      <w:r>
        <w:rPr>
          <w:rFonts w:ascii="Arial" w:eastAsia="Arial" w:hAnsi="Arial" w:cs="Arial"/>
          <w:sz w:val="22"/>
          <w:szCs w:val="22"/>
        </w:rPr>
        <w:tab/>
        <w:t>Any gas which is trapped in the atmosphere and absorbs and emits radiant energy, causing what is known as a “greenhouse effect”, where heat becomes further trapped within the atmosphere.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7BD8A078" w14:textId="77777777" w:rsidR="00B15DE3" w:rsidRDefault="00B15DE3" w:rsidP="00B15DE3">
      <w:pPr>
        <w:spacing w:after="120"/>
        <w:ind w:left="3600" w:hanging="3600"/>
        <w:rPr>
          <w:rFonts w:ascii="Arial" w:eastAsia="Arial" w:hAnsi="Arial" w:cs="Arial"/>
          <w:sz w:val="22"/>
          <w:szCs w:val="22"/>
        </w:rPr>
      </w:pPr>
      <w:r>
        <w:rPr>
          <w:rFonts w:ascii="Arial" w:eastAsia="Arial" w:hAnsi="Arial" w:cs="Arial"/>
          <w:sz w:val="22"/>
          <w:szCs w:val="22"/>
        </w:rPr>
        <w:t>Hazardous air pollutants</w:t>
      </w:r>
      <w:r>
        <w:rPr>
          <w:rFonts w:ascii="Arial" w:eastAsia="Arial" w:hAnsi="Arial" w:cs="Arial"/>
          <w:sz w:val="22"/>
          <w:szCs w:val="22"/>
        </w:rPr>
        <w:tab/>
        <w:t>Pollutants which are suspended in the air, and are known to cause cancer and other serious health effects. Specifically, this refers to the 187 hazardous air pollutants recognized by the Environmental Protection Agency (EPA) as of June 11, 2021.</w:t>
      </w:r>
    </w:p>
    <w:p w14:paraId="40910D69" w14:textId="2C33FA65" w:rsidR="00B15DE3" w:rsidRDefault="00B15DE3" w:rsidP="00B15DE3">
      <w:pPr>
        <w:spacing w:after="120"/>
        <w:ind w:left="3600" w:hanging="3600"/>
        <w:rPr>
          <w:rFonts w:ascii="Arial" w:eastAsia="Arial" w:hAnsi="Arial" w:cs="Arial"/>
          <w:sz w:val="22"/>
          <w:szCs w:val="22"/>
        </w:rPr>
      </w:pPr>
      <w:r>
        <w:rPr>
          <w:rFonts w:ascii="Arial" w:eastAsia="Arial" w:hAnsi="Arial" w:cs="Arial"/>
          <w:sz w:val="22"/>
          <w:szCs w:val="22"/>
        </w:rPr>
        <w:t>Particulate matter</w:t>
      </w:r>
      <w:r>
        <w:rPr>
          <w:rFonts w:ascii="Arial" w:eastAsia="Arial" w:hAnsi="Arial" w:cs="Arial"/>
          <w:sz w:val="22"/>
          <w:szCs w:val="22"/>
        </w:rPr>
        <w:tab/>
        <w:t xml:space="preserve">Solids or liquids suspended in the air. </w:t>
      </w:r>
      <w:r w:rsidRPr="00032C31">
        <w:rPr>
          <w:rFonts w:ascii="Arial" w:eastAsia="Arial" w:hAnsi="Arial" w:cs="Arial"/>
          <w:sz w:val="22"/>
          <w:szCs w:val="22"/>
        </w:rPr>
        <w:t>The subscript following PM denotes the maximum diameter of the particulate matter, in micrometers. For example, PM</w:t>
      </w:r>
      <w:r w:rsidRPr="00032C31">
        <w:rPr>
          <w:rFonts w:ascii="Arial" w:eastAsia="Arial" w:hAnsi="Arial" w:cs="Arial"/>
          <w:sz w:val="22"/>
          <w:szCs w:val="22"/>
          <w:vertAlign w:val="subscript"/>
        </w:rPr>
        <w:t xml:space="preserve">2.5 </w:t>
      </w:r>
      <w:r w:rsidRPr="00032C31">
        <w:rPr>
          <w:rFonts w:ascii="Arial" w:eastAsia="Arial" w:hAnsi="Arial" w:cs="Arial"/>
          <w:sz w:val="22"/>
          <w:szCs w:val="22"/>
        </w:rPr>
        <w:t>is particulate matter with a diameter of 2.5 micrometers or smaller.</w:t>
      </w:r>
    </w:p>
    <w:p w14:paraId="09287F9F" w14:textId="77777777" w:rsidR="00D44952" w:rsidRDefault="00B01D17"/>
    <w:sectPr w:rsidR="00D44952" w:rsidSect="00B82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DE3"/>
    <w:rsid w:val="00A025A4"/>
    <w:rsid w:val="00B01D17"/>
    <w:rsid w:val="00B15DE3"/>
    <w:rsid w:val="00B822C1"/>
    <w:rsid w:val="00C96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B423A8"/>
  <w15:chartTrackingRefBased/>
  <w15:docId w15:val="{D5E3B644-D20E-4B49-B1AF-6DF1BB49B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DE3"/>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284</Words>
  <Characters>1624</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Emily Joy</dc:creator>
  <cp:keywords/>
  <dc:description/>
  <cp:lastModifiedBy>Grant, Emily Joy</cp:lastModifiedBy>
  <cp:revision>3</cp:revision>
  <dcterms:created xsi:type="dcterms:W3CDTF">2022-01-05T19:48:00Z</dcterms:created>
  <dcterms:modified xsi:type="dcterms:W3CDTF">2022-01-06T04:12:00Z</dcterms:modified>
</cp:coreProperties>
</file>