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83D39" w14:textId="77777777" w:rsidR="00FA1481" w:rsidRDefault="00664A12" w:rsidP="00E40896">
      <w:pPr>
        <w:jc w:val="center"/>
        <w:rPr>
          <w:sz w:val="36"/>
          <w:szCs w:val="36"/>
        </w:rPr>
      </w:pPr>
      <w:r>
        <w:rPr>
          <w:noProof/>
          <w:sz w:val="36"/>
          <w:szCs w:val="36"/>
        </w:rPr>
        <w:drawing>
          <wp:inline distT="0" distB="0" distL="0" distR="0" wp14:anchorId="6720CD11" wp14:editId="7067F797">
            <wp:extent cx="3200400" cy="609600"/>
            <wp:effectExtent l="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7EE184DA" w14:textId="212D117A" w:rsidR="00CE6EAA" w:rsidRPr="008B7286" w:rsidRDefault="000E35E5" w:rsidP="00FF3503">
      <w:pPr>
        <w:spacing w:before="100" w:beforeAutospacing="1" w:after="100" w:afterAutospacing="1"/>
        <w:jc w:val="center"/>
        <w:rPr>
          <w:i/>
          <w:sz w:val="22"/>
          <w:szCs w:val="22"/>
        </w:rPr>
      </w:pPr>
      <w:r>
        <w:rPr>
          <w:i/>
          <w:sz w:val="22"/>
          <w:szCs w:val="22"/>
        </w:rPr>
        <w:t>Journal of Geophysical</w:t>
      </w:r>
      <w:r w:rsidR="00B00A99">
        <w:rPr>
          <w:i/>
          <w:sz w:val="22"/>
          <w:szCs w:val="22"/>
        </w:rPr>
        <w:t xml:space="preserve"> Research</w:t>
      </w:r>
      <w:r>
        <w:rPr>
          <w:i/>
          <w:sz w:val="22"/>
          <w:szCs w:val="22"/>
        </w:rPr>
        <w:t>: Oceans</w:t>
      </w:r>
    </w:p>
    <w:p w14:paraId="2CB29489" w14:textId="77777777" w:rsidR="00FF3503" w:rsidRPr="008B7286" w:rsidRDefault="00FF3503" w:rsidP="00FF3503">
      <w:pPr>
        <w:spacing w:before="100" w:beforeAutospacing="1" w:after="100" w:afterAutospacing="1"/>
        <w:jc w:val="center"/>
        <w:rPr>
          <w:sz w:val="22"/>
          <w:szCs w:val="22"/>
        </w:rPr>
      </w:pPr>
      <w:r w:rsidRPr="008B7286">
        <w:rPr>
          <w:sz w:val="22"/>
          <w:szCs w:val="22"/>
        </w:rPr>
        <w:t>Supporting Information for</w:t>
      </w:r>
    </w:p>
    <w:p w14:paraId="0EC3E3CC" w14:textId="77777777" w:rsidR="000E35E5" w:rsidRPr="000E35E5" w:rsidRDefault="000E35E5" w:rsidP="000E35E5">
      <w:pPr>
        <w:spacing w:before="100" w:beforeAutospacing="1" w:after="100" w:afterAutospacing="1"/>
        <w:jc w:val="center"/>
        <w:rPr>
          <w:b/>
          <w:sz w:val="22"/>
          <w:szCs w:val="22"/>
        </w:rPr>
      </w:pPr>
      <w:r w:rsidRPr="000E35E5">
        <w:rPr>
          <w:b/>
          <w:sz w:val="22"/>
          <w:szCs w:val="22"/>
        </w:rPr>
        <w:t>The role of river discharge and geometric structure on diurnal tidal dynamics, Alabama, USA</w:t>
      </w:r>
    </w:p>
    <w:p w14:paraId="3EB27018" w14:textId="77777777" w:rsidR="000E35E5" w:rsidRPr="000E35E5" w:rsidRDefault="000E35E5" w:rsidP="000E35E5">
      <w:pPr>
        <w:spacing w:before="100" w:beforeAutospacing="1" w:after="100" w:afterAutospacing="1"/>
        <w:jc w:val="center"/>
        <w:rPr>
          <w:bCs/>
          <w:sz w:val="22"/>
          <w:szCs w:val="22"/>
          <w:vertAlign w:val="superscript"/>
        </w:rPr>
      </w:pPr>
      <w:r w:rsidRPr="000E35E5">
        <w:rPr>
          <w:bCs/>
          <w:sz w:val="22"/>
          <w:szCs w:val="22"/>
        </w:rPr>
        <w:t>S. L. Dykstra</w:t>
      </w:r>
      <w:r w:rsidRPr="000E35E5">
        <w:rPr>
          <w:bCs/>
          <w:sz w:val="22"/>
          <w:szCs w:val="22"/>
          <w:vertAlign w:val="superscript"/>
        </w:rPr>
        <w:t>1,2,3*</w:t>
      </w:r>
      <w:r w:rsidRPr="000E35E5">
        <w:rPr>
          <w:bCs/>
          <w:sz w:val="22"/>
          <w:szCs w:val="22"/>
        </w:rPr>
        <w:t>, B. Dzwonkowski</w:t>
      </w:r>
      <w:r w:rsidRPr="000E35E5">
        <w:rPr>
          <w:bCs/>
          <w:sz w:val="22"/>
          <w:szCs w:val="22"/>
          <w:vertAlign w:val="superscript"/>
        </w:rPr>
        <w:t>2,3</w:t>
      </w:r>
      <w:r w:rsidRPr="000E35E5">
        <w:rPr>
          <w:bCs/>
          <w:sz w:val="22"/>
          <w:szCs w:val="22"/>
        </w:rPr>
        <w:t>, and R. Torres</w:t>
      </w:r>
      <w:r w:rsidRPr="000E35E5">
        <w:rPr>
          <w:bCs/>
          <w:sz w:val="22"/>
          <w:szCs w:val="22"/>
          <w:vertAlign w:val="superscript"/>
        </w:rPr>
        <w:t>1</w:t>
      </w:r>
    </w:p>
    <w:p w14:paraId="117471A1" w14:textId="312197F8" w:rsidR="000E35E5" w:rsidRDefault="000E35E5" w:rsidP="000E35E5">
      <w:pPr>
        <w:spacing w:before="100" w:beforeAutospacing="1" w:after="100" w:afterAutospacing="1"/>
        <w:jc w:val="center"/>
        <w:rPr>
          <w:sz w:val="18"/>
          <w:szCs w:val="18"/>
        </w:rPr>
      </w:pPr>
      <w:r w:rsidRPr="000E35E5">
        <w:rPr>
          <w:sz w:val="18"/>
          <w:szCs w:val="18"/>
          <w:vertAlign w:val="superscript"/>
        </w:rPr>
        <w:t>1</w:t>
      </w:r>
      <w:r w:rsidRPr="000E35E5">
        <w:rPr>
          <w:sz w:val="18"/>
          <w:szCs w:val="18"/>
        </w:rPr>
        <w:t>School of Earth, Ocean, and Environment, University of South Carolina, Columbia, SC 29208.</w:t>
      </w:r>
    </w:p>
    <w:p w14:paraId="39EA44EC" w14:textId="7A028F4A" w:rsidR="008B7286" w:rsidRPr="008B7286" w:rsidRDefault="000E35E5" w:rsidP="008B7286">
      <w:pPr>
        <w:spacing w:before="100" w:beforeAutospacing="1" w:after="100" w:afterAutospacing="1"/>
        <w:jc w:val="center"/>
        <w:rPr>
          <w:sz w:val="18"/>
          <w:szCs w:val="18"/>
        </w:rPr>
      </w:pPr>
      <w:r>
        <w:rPr>
          <w:sz w:val="18"/>
          <w:szCs w:val="18"/>
          <w:vertAlign w:val="superscript"/>
        </w:rPr>
        <w:t>2</w:t>
      </w:r>
      <w:r>
        <w:rPr>
          <w:sz w:val="18"/>
          <w:szCs w:val="18"/>
        </w:rPr>
        <w:t>D</w:t>
      </w:r>
      <w:r w:rsidR="008B7286" w:rsidRPr="008B7286">
        <w:rPr>
          <w:sz w:val="18"/>
          <w:szCs w:val="18"/>
        </w:rPr>
        <w:t>epartment of Marine Sciences, University of South Alabama, Dauphin Island Sea Lab, Dauphin Island, AL 36528.</w:t>
      </w:r>
    </w:p>
    <w:p w14:paraId="71891EDF" w14:textId="4D1FFA65" w:rsidR="00094365" w:rsidRPr="006D69A2" w:rsidRDefault="000E35E5" w:rsidP="006D69A2">
      <w:pPr>
        <w:spacing w:before="100" w:beforeAutospacing="1" w:after="100" w:afterAutospacing="1"/>
        <w:jc w:val="center"/>
        <w:rPr>
          <w:sz w:val="18"/>
          <w:szCs w:val="18"/>
        </w:rPr>
      </w:pPr>
      <w:r>
        <w:rPr>
          <w:sz w:val="18"/>
          <w:szCs w:val="18"/>
          <w:vertAlign w:val="superscript"/>
        </w:rPr>
        <w:t>3</w:t>
      </w:r>
      <w:r w:rsidR="008B7286" w:rsidRPr="008B7286">
        <w:rPr>
          <w:sz w:val="18"/>
          <w:szCs w:val="18"/>
        </w:rPr>
        <w:t>Dauphin Island Sea Lab, Dauphin Island, AL 36528.</w:t>
      </w:r>
      <w:r w:rsidR="00A50033" w:rsidRPr="008B7286" w:rsidDel="00A50033">
        <w:rPr>
          <w:sz w:val="22"/>
          <w:szCs w:val="22"/>
        </w:rPr>
        <w:t xml:space="preserve"> </w:t>
      </w:r>
    </w:p>
    <w:p w14:paraId="347237BD" w14:textId="77777777" w:rsidR="00094365" w:rsidRPr="008B7286" w:rsidRDefault="00094365" w:rsidP="008B7286">
      <w:pPr>
        <w:spacing w:before="100" w:beforeAutospacing="1" w:after="100" w:afterAutospacing="1"/>
        <w:rPr>
          <w:sz w:val="22"/>
          <w:szCs w:val="22"/>
        </w:rPr>
      </w:pPr>
    </w:p>
    <w:p w14:paraId="1CD128B3" w14:textId="77777777" w:rsidR="00111843" w:rsidRPr="008B7286" w:rsidRDefault="00111843" w:rsidP="00111843">
      <w:pPr>
        <w:rPr>
          <w:b/>
        </w:rPr>
      </w:pPr>
      <w:r w:rsidRPr="008B7286">
        <w:rPr>
          <w:b/>
        </w:rPr>
        <w:t>Contents of this file</w:t>
      </w:r>
      <w:r w:rsidR="00E43D2D" w:rsidRPr="008B7286">
        <w:rPr>
          <w:b/>
        </w:rPr>
        <w:t xml:space="preserve"> </w:t>
      </w:r>
    </w:p>
    <w:p w14:paraId="3D1CAEA0" w14:textId="7CD50D6C" w:rsidR="00111843" w:rsidRPr="008B7286" w:rsidRDefault="00111843" w:rsidP="008B7286">
      <w:pPr>
        <w:rPr>
          <w:sz w:val="22"/>
          <w:szCs w:val="22"/>
        </w:rPr>
      </w:pPr>
    </w:p>
    <w:p w14:paraId="10640459" w14:textId="047C6026" w:rsidR="00111843" w:rsidRPr="008B7286" w:rsidRDefault="008B7286" w:rsidP="00111843">
      <w:pPr>
        <w:ind w:left="720"/>
        <w:rPr>
          <w:sz w:val="22"/>
          <w:szCs w:val="22"/>
        </w:rPr>
      </w:pPr>
      <w:r>
        <w:rPr>
          <w:sz w:val="22"/>
          <w:szCs w:val="22"/>
        </w:rPr>
        <w:t>Figures S1 to S</w:t>
      </w:r>
      <w:r w:rsidR="006D69A2">
        <w:rPr>
          <w:sz w:val="22"/>
          <w:szCs w:val="22"/>
        </w:rPr>
        <w:t>3</w:t>
      </w:r>
    </w:p>
    <w:p w14:paraId="795CD27E" w14:textId="3E72DEC8" w:rsidR="00111843" w:rsidRPr="008B7286" w:rsidRDefault="008B7286" w:rsidP="008B7286">
      <w:pPr>
        <w:ind w:left="720"/>
        <w:rPr>
          <w:sz w:val="22"/>
          <w:szCs w:val="22"/>
        </w:rPr>
      </w:pPr>
      <w:r>
        <w:rPr>
          <w:sz w:val="22"/>
          <w:szCs w:val="22"/>
        </w:rPr>
        <w:t>Table S1</w:t>
      </w:r>
      <w:r w:rsidR="00AA76F3" w:rsidRPr="008B7286">
        <w:rPr>
          <w:sz w:val="22"/>
          <w:szCs w:val="22"/>
        </w:rPr>
        <w:t xml:space="preserve"> </w:t>
      </w:r>
    </w:p>
    <w:p w14:paraId="7F3B2954" w14:textId="77777777" w:rsidR="00B25D91" w:rsidRPr="00B25D91" w:rsidRDefault="00B25D91" w:rsidP="00B25D91">
      <w:pPr>
        <w:pStyle w:val="SOMHead"/>
        <w:spacing w:before="0" w:line="360" w:lineRule="auto"/>
        <w:rPr>
          <w:sz w:val="22"/>
          <w:szCs w:val="22"/>
        </w:rPr>
      </w:pPr>
      <w:r w:rsidRPr="00B25D91">
        <w:rPr>
          <w:sz w:val="22"/>
          <w:szCs w:val="22"/>
        </w:rPr>
        <w:lastRenderedPageBreak/>
        <w:t>Supporting Figures</w:t>
      </w:r>
    </w:p>
    <w:p w14:paraId="3356A922" w14:textId="77777777" w:rsidR="006D69A2" w:rsidRDefault="006D69A2" w:rsidP="006D69A2">
      <w:r>
        <w:rPr>
          <w:noProof/>
        </w:rPr>
        <w:drawing>
          <wp:inline distT="0" distB="0" distL="0" distR="0" wp14:anchorId="60FDC3EF" wp14:editId="025285A3">
            <wp:extent cx="5943600" cy="4457700"/>
            <wp:effectExtent l="0" t="0" r="0" b="0"/>
            <wp:docPr id="4" name="Picture 4" descr="Graphical user interfac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chart&#10;&#10;Description automatically generated with medium confidence"/>
                    <pic:cNvPicPr/>
                  </pic:nvPicPr>
                  <pic:blipFill>
                    <a:blip r:embed="rId8"/>
                    <a:stretch>
                      <a:fillRect/>
                    </a:stretch>
                  </pic:blipFill>
                  <pic:spPr>
                    <a:xfrm>
                      <a:off x="0" y="0"/>
                      <a:ext cx="5943600" cy="4457700"/>
                    </a:xfrm>
                    <a:prstGeom prst="rect">
                      <a:avLst/>
                    </a:prstGeom>
                  </pic:spPr>
                </pic:pic>
              </a:graphicData>
            </a:graphic>
          </wp:inline>
        </w:drawing>
      </w:r>
    </w:p>
    <w:p w14:paraId="1EA34C54" w14:textId="77777777" w:rsidR="006D69A2" w:rsidRPr="00B9671C" w:rsidRDefault="006D69A2" w:rsidP="006D69A2">
      <w:r>
        <w:rPr>
          <w:b/>
        </w:rPr>
        <w:t>Figure S1.</w:t>
      </w:r>
      <w:r>
        <w:t xml:space="preserve"> An example of river induced tidal attenuation at D100, showing changes in (</w:t>
      </w:r>
      <w:r w:rsidRPr="00DE6C54">
        <w:t>a</w:t>
      </w:r>
      <w:r>
        <w:t xml:space="preserve">) </w:t>
      </w:r>
      <w:r w:rsidRPr="00DE6C54">
        <w:t>tidal</w:t>
      </w:r>
      <w:r>
        <w:t xml:space="preserve"> current amplitudes and (b) their corresponding velocities, capturing peak flood currents.  (a) Amplitudes were found using the band-pass filtered velocity (3–40-hour Lanczos filter), capturing peaks above a 0.02ms</w:t>
      </w:r>
      <w:r>
        <w:rPr>
          <w:vertAlign w:val="superscript"/>
        </w:rPr>
        <w:t>-1</w:t>
      </w:r>
      <w:r>
        <w:t xml:space="preserve"> threshold with periods of 24.8±2 hours and removing outliers (n=1,024; black dots).  Amplitude scatter along the y-axis captures spring-neap variability.  To calculate the mean amplitude for a given river discharge, amplitudes were sorted by river discharge and averaged with a moving mean (red line). Using a box size of 31, the mean captured 33 degrees of freedom and closely matched a fitted decay curve (U</w:t>
      </w:r>
      <w:r>
        <w:rPr>
          <w:vertAlign w:val="subscript"/>
        </w:rPr>
        <w:t>t</w:t>
      </w:r>
      <w:r>
        <w:t>=0.31e</w:t>
      </w:r>
      <w:r>
        <w:rPr>
          <w:vertAlign w:val="superscript"/>
        </w:rPr>
        <w:t>Qr/1100</w:t>
      </w:r>
      <w:r>
        <w:t>; yellow line).  (b) The time at which tidal amplitude peaked, in the unfiltered velocity, corresponds with peak flood velocity, from which a moving-mean and moving-standard deviation analysis was completed, also using a box size of 31.  Using sinusoidal data (i.e., spring-neap cycle), the mean captures the 50</w:t>
      </w:r>
      <w:r w:rsidRPr="00D27D56">
        <w:rPr>
          <w:vertAlign w:val="superscript"/>
        </w:rPr>
        <w:t>th</w:t>
      </w:r>
      <w:r>
        <w:t xml:space="preserve"> percentile (red line) and the </w:t>
      </w:r>
      <w:proofErr w:type="spellStart"/>
      <w:r>
        <w:t>mean+standard</w:t>
      </w:r>
      <w:proofErr w:type="spellEnd"/>
      <w:r>
        <w:t xml:space="preserve"> deviation captures the 71</w:t>
      </w:r>
      <w:r w:rsidRPr="00173460">
        <w:rPr>
          <w:vertAlign w:val="superscript"/>
        </w:rPr>
        <w:t>st</w:t>
      </w:r>
      <w:r>
        <w:t xml:space="preserve"> percentile (blue line), which is representative of spring tides.  As the peak flood velocity becomes smaller with river discharge, the moving </w:t>
      </w:r>
      <w:proofErr w:type="spellStart"/>
      <w:r>
        <w:t>mean+moving</w:t>
      </w:r>
      <w:proofErr w:type="spellEnd"/>
      <w:r>
        <w:t xml:space="preserve"> standard deviation line intercepts the x-axis, capturing the river discharge at which tides no longer reverse flow (i.e., flood limit). This analysis was applied to all velocity stations in figure 6b.  (a) Because the tidal amplitude moving-mean ‘asymptotes’ near the threshold above 3,000 m</w:t>
      </w:r>
      <w:r>
        <w:rPr>
          <w:vertAlign w:val="superscript"/>
        </w:rPr>
        <w:t>3</w:t>
      </w:r>
      <w:r>
        <w:t>s</w:t>
      </w:r>
      <w:r>
        <w:rPr>
          <w:vertAlign w:val="superscript"/>
        </w:rPr>
        <w:t>-1</w:t>
      </w:r>
      <w:r>
        <w:t xml:space="preserve">, the amplitudes at higher river discharge are interpreted as noise.   </w:t>
      </w:r>
    </w:p>
    <w:p w14:paraId="79B3F739" w14:textId="77777777" w:rsidR="006D69A2" w:rsidRDefault="006D69A2" w:rsidP="006D69A2">
      <w:r>
        <w:rPr>
          <w:noProof/>
        </w:rPr>
        <w:lastRenderedPageBreak/>
        <w:drawing>
          <wp:inline distT="0" distB="0" distL="0" distR="0" wp14:anchorId="32DD8194" wp14:editId="76C0C98E">
            <wp:extent cx="5943600" cy="4457700"/>
            <wp:effectExtent l="0" t="0" r="0"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9"/>
                    <a:stretch>
                      <a:fillRect/>
                    </a:stretch>
                  </pic:blipFill>
                  <pic:spPr>
                    <a:xfrm>
                      <a:off x="0" y="0"/>
                      <a:ext cx="5943600" cy="4457700"/>
                    </a:xfrm>
                    <a:prstGeom prst="rect">
                      <a:avLst/>
                    </a:prstGeom>
                  </pic:spPr>
                </pic:pic>
              </a:graphicData>
            </a:graphic>
          </wp:inline>
        </w:drawing>
      </w:r>
    </w:p>
    <w:p w14:paraId="08203534" w14:textId="77777777" w:rsidR="006D69A2" w:rsidRDefault="006D69A2" w:rsidP="006D69A2">
      <w:r>
        <w:rPr>
          <w:b/>
        </w:rPr>
        <w:t>Figure S2.</w:t>
      </w:r>
      <w:r>
        <w:t xml:space="preserve"> An example of river induced tidal attenuation at D100, same as Figure S1, but instead of river discharge on the x-axis, river velocity is shown (calculated using a 40-hour lowpass Lanczos filter).  (a) Tidal amplitude decays exponentially with subtidal river velocity, approaching the threshold where </w:t>
      </w:r>
      <w:proofErr w:type="spellStart"/>
      <w:r>
        <w:t>u</w:t>
      </w:r>
      <w:r>
        <w:rPr>
          <w:vertAlign w:val="subscript"/>
        </w:rPr>
        <w:t>r</w:t>
      </w:r>
      <w:proofErr w:type="spellEnd"/>
      <w:r>
        <w:t>/U</w:t>
      </w:r>
      <w:r>
        <w:rPr>
          <w:vertAlign w:val="subscript"/>
        </w:rPr>
        <w:t>t</w:t>
      </w:r>
      <w:r>
        <w:t>=Q</w:t>
      </w:r>
      <w:r>
        <w:rPr>
          <w:vertAlign w:val="subscript"/>
        </w:rPr>
        <w:t>rf</w:t>
      </w:r>
      <w:r>
        <w:t>~20, a valued used to approximate the location of the tidal limit (Figure 9). (b) The relationship between the subtidal river velocity and peak flood velocity, captured with the moving-mean (red line), is nearly linear and fits the function: flood velocity=</w:t>
      </w:r>
      <w:r w:rsidRPr="00FE2C8C">
        <w:t>1.30u</w:t>
      </w:r>
      <w:r>
        <w:rPr>
          <w:vertAlign w:val="subscript"/>
        </w:rPr>
        <w:t>r</w:t>
      </w:r>
      <w:r w:rsidRPr="00FE2C8C">
        <w:t>+0.24</w:t>
      </w:r>
      <w:r>
        <w:t>.</w:t>
      </w:r>
    </w:p>
    <w:p w14:paraId="56A5CA28" w14:textId="77777777" w:rsidR="006D69A2" w:rsidRDefault="006D69A2" w:rsidP="006D69A2">
      <w:r>
        <w:rPr>
          <w:noProof/>
        </w:rPr>
        <w:lastRenderedPageBreak/>
        <w:drawing>
          <wp:inline distT="0" distB="0" distL="0" distR="0" wp14:anchorId="5D0145AB" wp14:editId="14DA9F58">
            <wp:extent cx="5933440" cy="4450080"/>
            <wp:effectExtent l="0" t="0" r="10160" b="0"/>
            <wp:docPr id="2" name="Picture 2" descr="Macintosh HD:Users:stevenldykstra:Google Drive:Manuscripts:FMT_Spatial_Shifts:Figures:Map_Geometry:FTMSS_Area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venldykstra:Google Drive:Manuscripts:FMT_Spatial_Shifts:Figures:Map_Geometry:FTMSS_Area_v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3440" cy="4450080"/>
                    </a:xfrm>
                    <a:prstGeom prst="rect">
                      <a:avLst/>
                    </a:prstGeom>
                    <a:noFill/>
                    <a:ln>
                      <a:noFill/>
                    </a:ln>
                  </pic:spPr>
                </pic:pic>
              </a:graphicData>
            </a:graphic>
          </wp:inline>
        </w:drawing>
      </w:r>
    </w:p>
    <w:p w14:paraId="31493833" w14:textId="77777777" w:rsidR="006D69A2" w:rsidRDefault="006D69A2" w:rsidP="006D69A2">
      <w:r>
        <w:rPr>
          <w:b/>
        </w:rPr>
        <w:t>Figure S3.</w:t>
      </w:r>
      <w:r>
        <w:t xml:space="preserve"> Area below sea level estimate of the channel, along the fluvial-marine transition (red, blue), and the total area, along the cardinal direction of 0 degrees north (yellow, purple).  Log fits capturing convergence are completed following the delineated sections of figure 4 (blue, purple).  Because the channel area fit for the Tombigbee River did not change by extending it to the geomorphic change point in the Mobile River (</w:t>
      </w:r>
      <w:proofErr w:type="gramStart"/>
      <w:r>
        <w:t>i.e.</w:t>
      </w:r>
      <w:proofErr w:type="gramEnd"/>
      <w:r>
        <w:t xml:space="preserve"> L</w:t>
      </w:r>
      <w:r>
        <w:rPr>
          <w:vertAlign w:val="subscript"/>
        </w:rPr>
        <w:t>a</w:t>
      </w:r>
      <w:r>
        <w:t>=111km), one line is shown.  (Note: the channel estimate only captures the areas surveyed by the Army Corps of Engineers, missing some of the shoals.  The total area landward of the bayhead (dotted line at 48km) does not match the distance inland along the sinuous longitudinal transect.  Due to these limitations, this figure was not included as part of figure 4.)</w:t>
      </w:r>
    </w:p>
    <w:p w14:paraId="1A4EC3A3" w14:textId="77777777" w:rsidR="00B25D91" w:rsidRPr="00B25D91" w:rsidRDefault="00B25D91" w:rsidP="00B25D91">
      <w:pPr>
        <w:rPr>
          <w:sz w:val="22"/>
          <w:szCs w:val="22"/>
        </w:rPr>
        <w:sectPr w:rsidR="00B25D91" w:rsidRPr="00B25D91" w:rsidSect="00710ECB">
          <w:headerReference w:type="default" r:id="rId11"/>
          <w:footerReference w:type="default" r:id="rId12"/>
          <w:headerReference w:type="first" r:id="rId13"/>
          <w:pgSz w:w="12240" w:h="15840"/>
          <w:pgMar w:top="1440" w:right="1440" w:bottom="1440" w:left="1440" w:header="432" w:footer="720" w:gutter="0"/>
          <w:lnNumType w:countBy="1" w:restart="continuous"/>
          <w:cols w:space="720"/>
          <w:docGrid w:linePitch="360"/>
        </w:sectPr>
      </w:pPr>
    </w:p>
    <w:p w14:paraId="37EE7913" w14:textId="0A242EAB" w:rsidR="00B25D91" w:rsidRDefault="00B25D91" w:rsidP="00B25D91">
      <w:pPr>
        <w:pStyle w:val="Body"/>
        <w:spacing w:line="360" w:lineRule="auto"/>
        <w:rPr>
          <w:rFonts w:ascii="Times New Roman" w:hAnsi="Times New Roman" w:cs="Times New Roman"/>
          <w:b/>
          <w:noProof/>
          <w:sz w:val="22"/>
          <w:szCs w:val="22"/>
        </w:rPr>
      </w:pPr>
      <w:r>
        <w:rPr>
          <w:rFonts w:ascii="Times New Roman" w:hAnsi="Times New Roman" w:cs="Times New Roman"/>
          <w:b/>
          <w:noProof/>
          <w:sz w:val="22"/>
          <w:szCs w:val="22"/>
        </w:rPr>
        <w:lastRenderedPageBreak/>
        <w:t>Supporting Tables</w:t>
      </w:r>
    </w:p>
    <w:p w14:paraId="10AC01A6" w14:textId="77777777" w:rsidR="006D69A2" w:rsidRDefault="006D69A2" w:rsidP="006D69A2">
      <w:r w:rsidRPr="006E334A">
        <w:rPr>
          <w:b/>
        </w:rPr>
        <w:t xml:space="preserve">Table S1. </w:t>
      </w:r>
      <w:r>
        <w:t xml:space="preserve">Station locations, length of records and data sources. </w:t>
      </w:r>
      <w:r w:rsidRPr="003E2C6D">
        <w:rPr>
          <w:noProof/>
        </w:rPr>
        <w:drawing>
          <wp:inline distT="0" distB="0" distL="0" distR="0" wp14:anchorId="4FD9ADF5" wp14:editId="6CF377A1">
            <wp:extent cx="7767204" cy="2204027"/>
            <wp:effectExtent l="318"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14"/>
                    <a:stretch>
                      <a:fillRect/>
                    </a:stretch>
                  </pic:blipFill>
                  <pic:spPr>
                    <a:xfrm rot="16200000">
                      <a:off x="0" y="0"/>
                      <a:ext cx="7771272" cy="2205181"/>
                    </a:xfrm>
                    <a:prstGeom prst="rect">
                      <a:avLst/>
                    </a:prstGeom>
                  </pic:spPr>
                </pic:pic>
              </a:graphicData>
            </a:graphic>
          </wp:inline>
        </w:drawing>
      </w:r>
      <w:r w:rsidRPr="003E2C6D">
        <w:rPr>
          <w:noProof/>
        </w:rPr>
        <w:t xml:space="preserve"> </w:t>
      </w:r>
    </w:p>
    <w:p w14:paraId="31C807DC" w14:textId="77777777" w:rsidR="006D69A2" w:rsidRPr="00986435" w:rsidRDefault="006D69A2" w:rsidP="006D69A2">
      <w:r w:rsidRPr="00986435">
        <w:lastRenderedPageBreak/>
        <w:t>*</w:t>
      </w:r>
      <w:proofErr w:type="gramStart"/>
      <w:r w:rsidRPr="00986435">
        <w:t>distance</w:t>
      </w:r>
      <w:proofErr w:type="gramEnd"/>
      <w:r w:rsidRPr="00986435">
        <w:t xml:space="preserve"> inland from Main Pass</w:t>
      </w:r>
    </w:p>
    <w:p w14:paraId="6E06AA13" w14:textId="5198A420" w:rsidR="00D3705F" w:rsidRPr="006D69A2" w:rsidRDefault="006D69A2" w:rsidP="006D69A2">
      <w:r w:rsidRPr="00986435">
        <w:t xml:space="preserve">**Alterative data access is available through the National Center for Environmental Information (https://data.nodc.noaa.gov/cgi-bin/iso?id=gov.noaa.nodc:DISL_ARCOS;view=html) for B0 (0114998, 0141141, 0159582, 0172587), B12 (0117373, 0140929, 0159581, 0172811), and B22 (0117376, 0141138, 0159585, 0172809) </w:t>
      </w:r>
    </w:p>
    <w:sectPr w:rsidR="00D3705F" w:rsidRPr="006D69A2" w:rsidSect="006D69A2">
      <w:headerReference w:type="default" r:id="rId15"/>
      <w:footerReference w:type="default" r:id="rId16"/>
      <w:headerReference w:type="first" r:id="rId17"/>
      <w:pgSz w:w="12240" w:h="15840"/>
      <w:pgMar w:top="1440" w:right="1800" w:bottom="1440" w:left="180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EDDFA" w14:textId="77777777" w:rsidR="00450223" w:rsidRDefault="00450223">
      <w:r>
        <w:separator/>
      </w:r>
    </w:p>
  </w:endnote>
  <w:endnote w:type="continuationSeparator" w:id="0">
    <w:p w14:paraId="69C174A9" w14:textId="77777777" w:rsidR="00450223" w:rsidRDefault="0045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C53E0" w14:textId="77777777" w:rsidR="00710ECB" w:rsidRDefault="00710ECB" w:rsidP="00710EC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80ED" w14:textId="77777777" w:rsidR="00710ECB" w:rsidRDefault="00710ECB" w:rsidP="00710E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844E7" w14:textId="77777777" w:rsidR="00450223" w:rsidRDefault="00450223">
      <w:r>
        <w:separator/>
      </w:r>
    </w:p>
  </w:footnote>
  <w:footnote w:type="continuationSeparator" w:id="0">
    <w:p w14:paraId="72855BE7" w14:textId="77777777" w:rsidR="00450223" w:rsidRDefault="00450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E40CD" w14:textId="0FA13A40" w:rsidR="00710ECB" w:rsidRDefault="00710ECB" w:rsidP="00710EC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D20F3" w14:textId="77777777" w:rsidR="00710ECB" w:rsidRDefault="00710ECB" w:rsidP="00710ECB">
    <w:pPr>
      <w:pStyle w:val="Header"/>
      <w:jc w:val="center"/>
    </w:pPr>
    <w:r>
      <w:t xml:space="preserve">Confidential manuscript submitted to </w:t>
    </w:r>
    <w:r>
      <w:rPr>
        <w:i/>
      </w:rPr>
      <w:t xml:space="preserve">replace this text with name of </w:t>
    </w:r>
    <w:r w:rsidRPr="007778ED">
      <w:rPr>
        <w:i/>
      </w:rPr>
      <w:t>AGU journal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1E567" w14:textId="209D90C7" w:rsidR="00710ECB" w:rsidRDefault="00710ECB" w:rsidP="00710ECB">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796F" w14:textId="4D4E96CF" w:rsidR="00710ECB" w:rsidRDefault="00710ECB" w:rsidP="00710EC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0F"/>
    <w:rsid w:val="00015F74"/>
    <w:rsid w:val="00043571"/>
    <w:rsid w:val="00043B2B"/>
    <w:rsid w:val="00065EBD"/>
    <w:rsid w:val="00083B44"/>
    <w:rsid w:val="000850DC"/>
    <w:rsid w:val="00094365"/>
    <w:rsid w:val="000B2E64"/>
    <w:rsid w:val="000C2771"/>
    <w:rsid w:val="000D68BD"/>
    <w:rsid w:val="000E0A7F"/>
    <w:rsid w:val="000E35E5"/>
    <w:rsid w:val="000F0DCE"/>
    <w:rsid w:val="0010277F"/>
    <w:rsid w:val="00111843"/>
    <w:rsid w:val="00112C5B"/>
    <w:rsid w:val="00113908"/>
    <w:rsid w:val="00114193"/>
    <w:rsid w:val="001154E6"/>
    <w:rsid w:val="00115A38"/>
    <w:rsid w:val="0011687B"/>
    <w:rsid w:val="00124F82"/>
    <w:rsid w:val="001278E3"/>
    <w:rsid w:val="00130743"/>
    <w:rsid w:val="00130B50"/>
    <w:rsid w:val="00154BE1"/>
    <w:rsid w:val="00161ABF"/>
    <w:rsid w:val="0016337A"/>
    <w:rsid w:val="00164269"/>
    <w:rsid w:val="00167157"/>
    <w:rsid w:val="001966FD"/>
    <w:rsid w:val="00197826"/>
    <w:rsid w:val="001A1BDE"/>
    <w:rsid w:val="001C7B4E"/>
    <w:rsid w:val="001F0876"/>
    <w:rsid w:val="001F167C"/>
    <w:rsid w:val="001F5E91"/>
    <w:rsid w:val="0020183F"/>
    <w:rsid w:val="002077B9"/>
    <w:rsid w:val="00221C70"/>
    <w:rsid w:val="00223B20"/>
    <w:rsid w:val="002251AF"/>
    <w:rsid w:val="00227AF9"/>
    <w:rsid w:val="00227D86"/>
    <w:rsid w:val="00227F49"/>
    <w:rsid w:val="002350CE"/>
    <w:rsid w:val="00243B68"/>
    <w:rsid w:val="00262D72"/>
    <w:rsid w:val="002800B6"/>
    <w:rsid w:val="00295016"/>
    <w:rsid w:val="002B35D4"/>
    <w:rsid w:val="002C030F"/>
    <w:rsid w:val="002F3966"/>
    <w:rsid w:val="0030204F"/>
    <w:rsid w:val="00320E2C"/>
    <w:rsid w:val="00331D75"/>
    <w:rsid w:val="00355362"/>
    <w:rsid w:val="00363E44"/>
    <w:rsid w:val="00372726"/>
    <w:rsid w:val="00395E86"/>
    <w:rsid w:val="003A2FD8"/>
    <w:rsid w:val="003B40E6"/>
    <w:rsid w:val="003C007A"/>
    <w:rsid w:val="003E1980"/>
    <w:rsid w:val="003F6E14"/>
    <w:rsid w:val="00405336"/>
    <w:rsid w:val="004114FF"/>
    <w:rsid w:val="00427EF2"/>
    <w:rsid w:val="00450223"/>
    <w:rsid w:val="004568BC"/>
    <w:rsid w:val="004571D5"/>
    <w:rsid w:val="00462F1B"/>
    <w:rsid w:val="0046356B"/>
    <w:rsid w:val="004740E0"/>
    <w:rsid w:val="00477182"/>
    <w:rsid w:val="004779CB"/>
    <w:rsid w:val="00481118"/>
    <w:rsid w:val="004A5B82"/>
    <w:rsid w:val="004B2481"/>
    <w:rsid w:val="004D2A8C"/>
    <w:rsid w:val="004E42D8"/>
    <w:rsid w:val="004E7BA2"/>
    <w:rsid w:val="004F7EDF"/>
    <w:rsid w:val="005001AC"/>
    <w:rsid w:val="00517016"/>
    <w:rsid w:val="00523886"/>
    <w:rsid w:val="00527D71"/>
    <w:rsid w:val="00527D84"/>
    <w:rsid w:val="005314B5"/>
    <w:rsid w:val="0054432F"/>
    <w:rsid w:val="00550FBD"/>
    <w:rsid w:val="00552C23"/>
    <w:rsid w:val="005607DD"/>
    <w:rsid w:val="00572DFF"/>
    <w:rsid w:val="00581594"/>
    <w:rsid w:val="005A558C"/>
    <w:rsid w:val="005B186E"/>
    <w:rsid w:val="005C6651"/>
    <w:rsid w:val="005D6D71"/>
    <w:rsid w:val="005E28F8"/>
    <w:rsid w:val="005E6513"/>
    <w:rsid w:val="0060592E"/>
    <w:rsid w:val="006102EA"/>
    <w:rsid w:val="00611F9E"/>
    <w:rsid w:val="006237D4"/>
    <w:rsid w:val="00632409"/>
    <w:rsid w:val="006372F1"/>
    <w:rsid w:val="00651114"/>
    <w:rsid w:val="00660F00"/>
    <w:rsid w:val="006622CF"/>
    <w:rsid w:val="00664A12"/>
    <w:rsid w:val="0066722B"/>
    <w:rsid w:val="00670299"/>
    <w:rsid w:val="00683228"/>
    <w:rsid w:val="0068469F"/>
    <w:rsid w:val="00687625"/>
    <w:rsid w:val="00691985"/>
    <w:rsid w:val="006962C1"/>
    <w:rsid w:val="006A1B64"/>
    <w:rsid w:val="006B03AD"/>
    <w:rsid w:val="006D69A2"/>
    <w:rsid w:val="006E3581"/>
    <w:rsid w:val="006F602A"/>
    <w:rsid w:val="007108F5"/>
    <w:rsid w:val="00710ECB"/>
    <w:rsid w:val="00713AF2"/>
    <w:rsid w:val="00713E5B"/>
    <w:rsid w:val="00732C99"/>
    <w:rsid w:val="007402FC"/>
    <w:rsid w:val="007411A1"/>
    <w:rsid w:val="007432ED"/>
    <w:rsid w:val="007563F2"/>
    <w:rsid w:val="00764008"/>
    <w:rsid w:val="007A3EC1"/>
    <w:rsid w:val="007B5873"/>
    <w:rsid w:val="00807D35"/>
    <w:rsid w:val="008115D9"/>
    <w:rsid w:val="008116F2"/>
    <w:rsid w:val="00825950"/>
    <w:rsid w:val="00865DF7"/>
    <w:rsid w:val="008806C0"/>
    <w:rsid w:val="00883716"/>
    <w:rsid w:val="00885C9B"/>
    <w:rsid w:val="008927D0"/>
    <w:rsid w:val="008B7286"/>
    <w:rsid w:val="008D5D2A"/>
    <w:rsid w:val="008E2CF1"/>
    <w:rsid w:val="008F08DC"/>
    <w:rsid w:val="008F5A8A"/>
    <w:rsid w:val="009055D1"/>
    <w:rsid w:val="00906599"/>
    <w:rsid w:val="00914B63"/>
    <w:rsid w:val="00922705"/>
    <w:rsid w:val="00924546"/>
    <w:rsid w:val="00932FE5"/>
    <w:rsid w:val="009354F3"/>
    <w:rsid w:val="009447DC"/>
    <w:rsid w:val="00961BA5"/>
    <w:rsid w:val="00972F74"/>
    <w:rsid w:val="009743A9"/>
    <w:rsid w:val="00975720"/>
    <w:rsid w:val="009859A7"/>
    <w:rsid w:val="009A5287"/>
    <w:rsid w:val="009B2AC5"/>
    <w:rsid w:val="009B7984"/>
    <w:rsid w:val="009F3AB6"/>
    <w:rsid w:val="009F4BED"/>
    <w:rsid w:val="009F7D93"/>
    <w:rsid w:val="00A25726"/>
    <w:rsid w:val="00A276DF"/>
    <w:rsid w:val="00A3084A"/>
    <w:rsid w:val="00A3403B"/>
    <w:rsid w:val="00A50033"/>
    <w:rsid w:val="00A51A12"/>
    <w:rsid w:val="00A627D4"/>
    <w:rsid w:val="00A74DA2"/>
    <w:rsid w:val="00A92733"/>
    <w:rsid w:val="00AA76F3"/>
    <w:rsid w:val="00AB78D0"/>
    <w:rsid w:val="00AC7DA6"/>
    <w:rsid w:val="00AD499C"/>
    <w:rsid w:val="00B00A99"/>
    <w:rsid w:val="00B018E8"/>
    <w:rsid w:val="00B052DE"/>
    <w:rsid w:val="00B25D91"/>
    <w:rsid w:val="00B30334"/>
    <w:rsid w:val="00B3147F"/>
    <w:rsid w:val="00B36869"/>
    <w:rsid w:val="00B4350B"/>
    <w:rsid w:val="00B43B31"/>
    <w:rsid w:val="00B45BAF"/>
    <w:rsid w:val="00B47CFA"/>
    <w:rsid w:val="00B57F00"/>
    <w:rsid w:val="00B626CB"/>
    <w:rsid w:val="00B7560C"/>
    <w:rsid w:val="00B77E40"/>
    <w:rsid w:val="00B82C22"/>
    <w:rsid w:val="00B93DBA"/>
    <w:rsid w:val="00B9440A"/>
    <w:rsid w:val="00B952C1"/>
    <w:rsid w:val="00B968D7"/>
    <w:rsid w:val="00BA0382"/>
    <w:rsid w:val="00BA3953"/>
    <w:rsid w:val="00BB2D2A"/>
    <w:rsid w:val="00BD58CF"/>
    <w:rsid w:val="00BD64BA"/>
    <w:rsid w:val="00BF1BEB"/>
    <w:rsid w:val="00BF1BF9"/>
    <w:rsid w:val="00C04CC1"/>
    <w:rsid w:val="00C071FC"/>
    <w:rsid w:val="00C22C02"/>
    <w:rsid w:val="00C27F6F"/>
    <w:rsid w:val="00C30E83"/>
    <w:rsid w:val="00C50C6D"/>
    <w:rsid w:val="00C600D9"/>
    <w:rsid w:val="00C634D7"/>
    <w:rsid w:val="00C73E09"/>
    <w:rsid w:val="00C7711A"/>
    <w:rsid w:val="00CC1384"/>
    <w:rsid w:val="00CD3720"/>
    <w:rsid w:val="00CE6EAA"/>
    <w:rsid w:val="00CF1848"/>
    <w:rsid w:val="00CF5C2F"/>
    <w:rsid w:val="00D04BCF"/>
    <w:rsid w:val="00D10134"/>
    <w:rsid w:val="00D143D9"/>
    <w:rsid w:val="00D3705F"/>
    <w:rsid w:val="00D4372A"/>
    <w:rsid w:val="00D60BB0"/>
    <w:rsid w:val="00D65708"/>
    <w:rsid w:val="00D8159F"/>
    <w:rsid w:val="00DD1D04"/>
    <w:rsid w:val="00DD4931"/>
    <w:rsid w:val="00DD79D7"/>
    <w:rsid w:val="00DE1B77"/>
    <w:rsid w:val="00E20431"/>
    <w:rsid w:val="00E257C8"/>
    <w:rsid w:val="00E40896"/>
    <w:rsid w:val="00E43D2D"/>
    <w:rsid w:val="00E449CB"/>
    <w:rsid w:val="00E63760"/>
    <w:rsid w:val="00E64049"/>
    <w:rsid w:val="00E779AE"/>
    <w:rsid w:val="00E9773B"/>
    <w:rsid w:val="00EC13A3"/>
    <w:rsid w:val="00EC7C85"/>
    <w:rsid w:val="00ED69CA"/>
    <w:rsid w:val="00EE35AB"/>
    <w:rsid w:val="00EF25A3"/>
    <w:rsid w:val="00F125EE"/>
    <w:rsid w:val="00F12E98"/>
    <w:rsid w:val="00F22029"/>
    <w:rsid w:val="00F23E46"/>
    <w:rsid w:val="00F3515C"/>
    <w:rsid w:val="00F47BA3"/>
    <w:rsid w:val="00F56E67"/>
    <w:rsid w:val="00F630EA"/>
    <w:rsid w:val="00F6474F"/>
    <w:rsid w:val="00F7007E"/>
    <w:rsid w:val="00F73193"/>
    <w:rsid w:val="00F74F95"/>
    <w:rsid w:val="00F80705"/>
    <w:rsid w:val="00F81423"/>
    <w:rsid w:val="00FA1481"/>
    <w:rsid w:val="00FB1C42"/>
    <w:rsid w:val="00FB32EC"/>
    <w:rsid w:val="00FC3B85"/>
    <w:rsid w:val="00FC7FFA"/>
    <w:rsid w:val="00FE133C"/>
    <w:rsid w:val="00FF04E3"/>
    <w:rsid w:val="00FF3503"/>
    <w:rsid w:val="00FF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CD9FF7"/>
  <w15:docId w15:val="{C90FEACF-A2FB-DC49-B17A-DAB94D9C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uiPriority w:val="99"/>
    <w:rsid w:val="00405336"/>
    <w:pPr>
      <w:tabs>
        <w:tab w:val="center" w:pos="4680"/>
        <w:tab w:val="right" w:pos="9360"/>
      </w:tabs>
    </w:pPr>
  </w:style>
  <w:style w:type="character" w:customStyle="1" w:styleId="FooterChar">
    <w:name w:val="Footer Char"/>
    <w:link w:val="Footer"/>
    <w:uiPriority w:val="99"/>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uiPriority w:val="99"/>
    <w:rsid w:val="00405336"/>
    <w:pPr>
      <w:tabs>
        <w:tab w:val="center" w:pos="4680"/>
        <w:tab w:val="right" w:pos="9360"/>
      </w:tabs>
    </w:pPr>
  </w:style>
  <w:style w:type="character" w:customStyle="1" w:styleId="HeaderChar">
    <w:name w:val="Header Char"/>
    <w:link w:val="Header"/>
    <w:uiPriority w:val="99"/>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 w:type="paragraph" w:customStyle="1" w:styleId="Body">
    <w:name w:val="Body"/>
    <w:rsid w:val="00B25D91"/>
    <w:pPr>
      <w:pBdr>
        <w:top w:val="nil"/>
        <w:left w:val="nil"/>
        <w:bottom w:val="nil"/>
        <w:right w:val="nil"/>
        <w:between w:val="nil"/>
        <w:bar w:val="nil"/>
      </w:pBdr>
    </w:pPr>
    <w:rPr>
      <w:rFonts w:ascii="Cambria" w:eastAsia="Arial Unicode MS" w:hAnsi="Cambria" w:cs="Arial Unicode MS"/>
      <w:color w:val="000000"/>
      <w:sz w:val="24"/>
      <w:szCs w:val="24"/>
      <w:u w:color="000000"/>
      <w:bdr w:val="nil"/>
    </w:rPr>
  </w:style>
  <w:style w:type="paragraph" w:customStyle="1" w:styleId="SOMHead">
    <w:name w:val="SOMHead"/>
    <w:basedOn w:val="Normal"/>
    <w:rsid w:val="00B25D91"/>
    <w:pPr>
      <w:keepNext/>
      <w:spacing w:before="240"/>
      <w:outlineLvl w:val="0"/>
    </w:pPr>
    <w:rPr>
      <w:b/>
      <w:kern w:val="28"/>
      <w:szCs w:val="24"/>
    </w:rPr>
  </w:style>
  <w:style w:type="character" w:styleId="LineNumber">
    <w:name w:val="line number"/>
    <w:basedOn w:val="DefaultParagraphFont"/>
    <w:semiHidden/>
    <w:rsid w:val="00B25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472528192">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190147246">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 w:id="1662999761">
      <w:bodyDiv w:val="1"/>
      <w:marLeft w:val="0"/>
      <w:marRight w:val="0"/>
      <w:marTop w:val="0"/>
      <w:marBottom w:val="0"/>
      <w:divBdr>
        <w:top w:val="none" w:sz="0" w:space="0" w:color="auto"/>
        <w:left w:val="none" w:sz="0" w:space="0" w:color="auto"/>
        <w:bottom w:val="none" w:sz="0" w:space="0" w:color="auto"/>
        <w:right w:val="none" w:sz="0" w:space="0" w:color="auto"/>
      </w:divBdr>
    </w:div>
    <w:div w:id="17661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591</Words>
  <Characters>3426</Characters>
  <Application>Microsoft Office Word</Application>
  <DocSecurity>0</DocSecurity>
  <Lines>76</Lines>
  <Paragraphs>47</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Dykstra, Steven</cp:lastModifiedBy>
  <cp:revision>4</cp:revision>
  <cp:lastPrinted>2014-09-30T16:49:00Z</cp:lastPrinted>
  <dcterms:created xsi:type="dcterms:W3CDTF">2021-09-15T00:32:00Z</dcterms:created>
  <dcterms:modified xsi:type="dcterms:W3CDTF">2021-09-15T00:40:00Z</dcterms:modified>
</cp:coreProperties>
</file>