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theme/theme1.xml" ContentType="application/vnd.openxmlformats-officedocument.theme+xml"/>
  <Override PartName="/word/document.xml" ContentType="application/vnd.openxmlformats-officedocument.wordprocessingml.document.main+xml"/>
  <Override PartName="/word/media/image6.tif" ContentType="image/tiff"/>
  <Override PartName="/word/media/image4.tif" ContentType="image/tiff"/>
  <Override PartName="/word/media/image2.tif" ContentType="image/tiff"/>
  <Override PartName="/word/media/image7.tif" ContentType="image/tiff"/>
  <Override PartName="/word/media/image1.png" ContentType="image/png"/>
  <Override PartName="/word/media/image5.png" ContentType="image/png"/>
  <Override PartName="/word/media/image3.png" ContentType="image/png"/>
  <Override PartName="/word/media/image8.png" ContentType="image/png"/>
  <Override PartName="/word/media/image9.png" ContentType="image/png"/>
  <Override PartName="/word/media/image20.png" ContentType="image/png"/>
  <Override PartName="/word/media/image19.png" ContentType="image/png"/>
  <Override PartName="/word/media/image18.png" ContentType="image/png"/>
  <Override PartName="/word/media/image17.png" ContentType="image/png"/>
  <Override PartName="/word/media/image15.png" ContentType="image/png"/>
  <Override PartName="/word/media/image13.png" ContentType="image/png"/>
  <Override PartName="/word/media/image11.png" ContentType="image/png"/>
  <Override PartName="/word/media/image10.png" ContentType="image/png"/>
  <Override PartName="/word/media/image12.png" ContentType="image/png"/>
  <Override PartName="/word/media/image16.tif" ContentType="image/tiff"/>
  <Override PartName="/word/media/image14.tif" ContentType="image/tiff"/>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position w:val="7"/>
        </w:rPr>
        <w:t>Supplemental materials</w:t>
      </w:r>
      <w:r>
        <w:rPr/>
        <w:t xml:space="preserve"> of:</w:t>
      </w:r>
    </w:p>
    <w:p>
      <w:pPr>
        <w:pStyle w:val="Normal"/>
        <w:rPr/>
      </w:pPr>
      <w:r>
        <w:rPr/>
      </w:r>
    </w:p>
    <w:p>
      <w:pPr>
        <w:pStyle w:val="CHAPTERTITLE"/>
        <w:jc w:val="left"/>
        <w:rPr/>
      </w:pPr>
      <w:r>
        <w:rPr/>
        <w:t>Potential effect of low-rise, downcast artificial lights on nocturnally migrating land birds</w:t>
      </w:r>
    </w:p>
    <w:p>
      <w:pPr>
        <w:pStyle w:val="Normal"/>
        <w:rPr>
          <w:vertAlign w:val="superscript"/>
          <w:lang w:val="es-MX"/>
        </w:rPr>
      </w:pPr>
      <w:r>
        <w:rPr>
          <w:lang w:val="es-MX"/>
        </w:rPr>
        <w:t>Sergio A. Cabrera-Cruz</w:t>
      </w:r>
      <w:r>
        <w:rPr>
          <w:vertAlign w:val="superscript"/>
          <w:lang w:val="es-MX"/>
        </w:rPr>
        <w:t>1</w:t>
      </w:r>
      <w:r>
        <w:rPr>
          <w:lang w:val="es-MX"/>
        </w:rPr>
        <w:t>, Ronald P. Larkin</w:t>
      </w:r>
      <w:r>
        <w:rPr>
          <w:vertAlign w:val="superscript"/>
          <w:lang w:val="es-MX"/>
        </w:rPr>
        <w:t>2</w:t>
      </w:r>
      <w:r>
        <w:rPr>
          <w:lang w:val="es-MX"/>
        </w:rPr>
        <w:t>, Maren E. Gimpel</w:t>
      </w:r>
      <w:r>
        <w:rPr>
          <w:vertAlign w:val="superscript"/>
          <w:lang w:val="es-MX"/>
        </w:rPr>
        <w:t>3</w:t>
      </w:r>
      <w:r>
        <w:rPr>
          <w:lang w:val="es-MX"/>
        </w:rPr>
        <w:t>, James G. Gruber</w:t>
      </w:r>
      <w:r>
        <w:rPr>
          <w:vertAlign w:val="superscript"/>
          <w:lang w:val="es-MX"/>
        </w:rPr>
        <w:t>3</w:t>
      </w:r>
      <w:r>
        <w:rPr>
          <w:lang w:val="es-MX"/>
        </w:rPr>
        <w:t>, Theodore J. Zenzal</w:t>
      </w:r>
      <w:r>
        <w:rPr>
          <w:vertAlign w:val="superscript"/>
          <w:lang w:val="es-MX"/>
        </w:rPr>
        <w:t>4,5</w:t>
      </w:r>
      <w:r>
        <w:rPr>
          <w:lang w:val="es-MX"/>
        </w:rPr>
        <w:t>, Jeffrey J. Buler</w:t>
      </w:r>
      <w:r>
        <w:rPr>
          <w:vertAlign w:val="superscript"/>
          <w:lang w:val="es-MX"/>
        </w:rPr>
        <w:t>1</w:t>
      </w:r>
    </w:p>
    <w:p>
      <w:pPr>
        <w:pStyle w:val="Normal"/>
        <w:rPr>
          <w:lang w:val="es-MX"/>
        </w:rPr>
      </w:pPr>
      <w:r>
        <w:rPr>
          <w:lang w:val="es-MX"/>
        </w:rPr>
      </w:r>
    </w:p>
    <w:p>
      <w:pPr>
        <w:pStyle w:val="Normal"/>
        <w:rPr/>
      </w:pPr>
      <w:r>
        <w:rPr>
          <w:vertAlign w:val="superscript"/>
        </w:rPr>
        <w:t xml:space="preserve">1 </w:t>
      </w:r>
      <w:r>
        <w:rPr/>
        <w:t>Department of Entomology and Wildlife Ecology, University of Delaware, Delaware, USA</w:t>
      </w:r>
    </w:p>
    <w:p>
      <w:pPr>
        <w:pStyle w:val="Normal"/>
        <w:rPr/>
      </w:pPr>
      <w:r>
        <w:rPr>
          <w:vertAlign w:val="superscript"/>
        </w:rPr>
        <w:t xml:space="preserve">2 </w:t>
      </w:r>
      <w:r>
        <w:rPr/>
        <w:t>Illinois Natural History Survey, Prairie Research Institute, University of Illinois, Champaign, IL, USA</w:t>
      </w:r>
    </w:p>
    <w:p>
      <w:pPr>
        <w:pStyle w:val="Normal"/>
        <w:rPr/>
      </w:pPr>
      <w:r>
        <w:rPr>
          <w:vertAlign w:val="superscript"/>
        </w:rPr>
        <w:t>3</w:t>
      </w:r>
      <w:r>
        <w:rPr/>
        <w:t xml:space="preserve"> Foreman’s Branch Bird Observatory, Washington College, Chestertown, MD, USA</w:t>
      </w:r>
    </w:p>
    <w:p>
      <w:pPr>
        <w:pStyle w:val="Normal"/>
        <w:rPr/>
      </w:pPr>
      <w:r>
        <w:rPr>
          <w:vertAlign w:val="superscript"/>
        </w:rPr>
        <w:t>4</w:t>
      </w:r>
      <w:r>
        <w:rPr/>
        <w:t xml:space="preserve"> U.S. Geological Survey Wetland and Aquatic Research Center, Lafayette, LA, USA</w:t>
      </w:r>
    </w:p>
    <w:p>
      <w:pPr>
        <w:pStyle w:val="Normal"/>
        <w:rPr/>
      </w:pPr>
      <w:r>
        <w:rPr>
          <w:vertAlign w:val="superscript"/>
        </w:rPr>
        <w:t>5</w:t>
      </w:r>
      <w:r>
        <w:rPr/>
        <w:t xml:space="preserve"> School of Biological, Environmental, and Earth Sciences, University of Southern Mississippi, Hattiesburg, MS, USA</w:t>
      </w:r>
    </w:p>
    <w:p>
      <w:pPr>
        <w:pStyle w:val="Normal"/>
        <w:spacing w:lineRule="auto" w:line="259" w:before="0" w:after="160"/>
        <w:rPr/>
      </w:pPr>
      <w:r>
        <w:rPr/>
      </w:r>
      <w:r>
        <w:br w:type="page"/>
      </w:r>
    </w:p>
    <w:p>
      <w:pPr>
        <w:pStyle w:val="Tablecaption"/>
        <w:numPr>
          <w:ilvl w:val="0"/>
          <w:numId w:val="0"/>
        </w:numPr>
        <w:rPr/>
      </w:pPr>
      <w:bookmarkStart w:id="0" w:name="_Toc61687513"/>
      <w:r>
        <w:rPr/>
        <w:t>Supplementary Table 1. Environmental variables from EnvDATA used to annotate flight trajectories. Details obtained during data download.</w:t>
      </w:r>
      <w:bookmarkEnd w:id="0"/>
    </w:p>
    <w:tbl>
      <w:tblPr>
        <w:tblStyle w:val="TableGrid"/>
        <w:tblW w:w="8275" w:type="dxa"/>
        <w:jc w:val="left"/>
        <w:tblInd w:w="0" w:type="dxa"/>
        <w:tblCellMar>
          <w:top w:w="0" w:type="dxa"/>
          <w:left w:w="108" w:type="dxa"/>
          <w:bottom w:w="0" w:type="dxa"/>
          <w:right w:w="108" w:type="dxa"/>
        </w:tblCellMar>
        <w:tblLook w:noVBand="1" w:val="04a0" w:noHBand="0" w:lastColumn="0" w:firstColumn="1" w:lastRow="0" w:firstRow="1"/>
      </w:tblPr>
      <w:tblGrid>
        <w:gridCol w:w="2570"/>
        <w:gridCol w:w="3275"/>
        <w:gridCol w:w="720"/>
        <w:gridCol w:w="1709"/>
      </w:tblGrid>
      <w:tr>
        <w:trPr/>
        <w:tc>
          <w:tcPr>
            <w:tcW w:w="2570" w:type="dxa"/>
            <w:tcBorders/>
            <w:shd w:fill="auto" w:val="clear"/>
          </w:tcPr>
          <w:p>
            <w:pPr>
              <w:pStyle w:val="Tablecontent"/>
              <w:spacing w:lineRule="auto" w:line="240" w:before="0" w:after="0"/>
              <w:rPr>
                <w:b/>
                <w:b/>
              </w:rPr>
            </w:pPr>
            <w:r>
              <w:rPr>
                <w:rFonts w:eastAsia="Times New Roman" w:cs="Times New Roman"/>
                <w:b/>
                <w:szCs w:val="20"/>
              </w:rPr>
              <w:t>Variable</w:t>
            </w:r>
          </w:p>
        </w:tc>
        <w:tc>
          <w:tcPr>
            <w:tcW w:w="3275" w:type="dxa"/>
            <w:tcBorders/>
            <w:shd w:fill="auto" w:val="clear"/>
          </w:tcPr>
          <w:p>
            <w:pPr>
              <w:pStyle w:val="Tablecontent"/>
              <w:spacing w:lineRule="auto" w:line="240" w:before="0" w:after="0"/>
              <w:rPr>
                <w:b/>
                <w:b/>
              </w:rPr>
            </w:pPr>
            <w:r>
              <w:rPr>
                <w:rFonts w:eastAsia="Times New Roman" w:cs="Times New Roman"/>
                <w:b/>
                <w:szCs w:val="20"/>
              </w:rPr>
              <w:t>Description</w:t>
            </w:r>
          </w:p>
        </w:tc>
        <w:tc>
          <w:tcPr>
            <w:tcW w:w="720" w:type="dxa"/>
            <w:tcBorders/>
            <w:shd w:fill="auto" w:val="clear"/>
          </w:tcPr>
          <w:p>
            <w:pPr>
              <w:pStyle w:val="Tablecontent"/>
              <w:spacing w:lineRule="auto" w:line="240" w:before="0" w:after="0"/>
              <w:rPr>
                <w:b/>
                <w:b/>
              </w:rPr>
            </w:pPr>
            <w:r>
              <w:rPr>
                <w:rFonts w:eastAsia="Times New Roman" w:cs="Times New Roman"/>
                <w:b/>
                <w:szCs w:val="20"/>
              </w:rPr>
              <w:t>Unit</w:t>
            </w:r>
          </w:p>
        </w:tc>
        <w:tc>
          <w:tcPr>
            <w:tcW w:w="1709" w:type="dxa"/>
            <w:tcBorders/>
            <w:shd w:fill="auto" w:val="clear"/>
          </w:tcPr>
          <w:p>
            <w:pPr>
              <w:pStyle w:val="Tablecontent"/>
              <w:spacing w:lineRule="auto" w:line="240" w:before="0" w:after="0"/>
              <w:rPr>
                <w:b/>
                <w:b/>
              </w:rPr>
            </w:pPr>
            <w:r>
              <w:rPr>
                <w:rFonts w:eastAsia="Times New Roman" w:cs="Times New Roman"/>
                <w:b/>
                <w:szCs w:val="20"/>
              </w:rPr>
              <w:t>Interpolation</w:t>
            </w:r>
          </w:p>
        </w:tc>
      </w:tr>
      <w:tr>
        <w:trPr/>
        <w:tc>
          <w:tcPr>
            <w:tcW w:w="2570" w:type="dxa"/>
            <w:tcBorders/>
            <w:shd w:fill="auto" w:val="clear"/>
          </w:tcPr>
          <w:p>
            <w:pPr>
              <w:pStyle w:val="Tablecontent"/>
              <w:spacing w:lineRule="auto" w:line="240" w:before="0" w:after="0"/>
              <w:rPr>
                <w:lang w:val="es-MX"/>
              </w:rPr>
            </w:pPr>
            <w:r>
              <w:rPr>
                <w:rFonts w:eastAsia="Times New Roman" w:cs="Times New Roman"/>
                <w:szCs w:val="20"/>
                <w:lang w:val="es-MX"/>
              </w:rPr>
              <w:t xml:space="preserve">NCEP NARR </w:t>
            </w:r>
            <w:r>
              <w:rPr>
                <w:rFonts w:eastAsia="Times New Roman" w:cs="Times New Roman"/>
                <w:szCs w:val="20"/>
                <w:u w:val="single"/>
                <w:lang w:val="es-MX"/>
              </w:rPr>
              <w:t xml:space="preserve">3D </w:t>
            </w:r>
            <w:r>
              <w:rPr>
                <w:rFonts w:eastAsia="Times New Roman" w:cs="Times New Roman"/>
                <w:i/>
                <w:szCs w:val="20"/>
                <w:u w:val="single"/>
                <w:lang w:val="es-MX"/>
              </w:rPr>
              <w:t>U Wind</w:t>
            </w:r>
          </w:p>
        </w:tc>
        <w:tc>
          <w:tcPr>
            <w:tcW w:w="3275" w:type="dxa"/>
            <w:tcBorders/>
            <w:shd w:fill="auto" w:val="clear"/>
          </w:tcPr>
          <w:p>
            <w:pPr>
              <w:pStyle w:val="Tablecontent"/>
              <w:spacing w:lineRule="auto" w:line="240" w:before="0" w:after="0"/>
              <w:rPr>
                <w:lang w:val="es-MX"/>
              </w:rPr>
            </w:pPr>
            <w:r>
              <w:rPr>
                <w:rFonts w:eastAsia="Times New Roman" w:cs="Times New Roman"/>
                <w:szCs w:val="20"/>
              </w:rPr>
              <w:t>Velocity of the east-west (zonal) component of wind. Positive values indicate west to east flow. Direction is relative to true north.</w:t>
            </w:r>
          </w:p>
        </w:tc>
        <w:tc>
          <w:tcPr>
            <w:tcW w:w="720" w:type="dxa"/>
            <w:tcBorders/>
            <w:shd w:fill="auto" w:val="clear"/>
          </w:tcPr>
          <w:p>
            <w:pPr>
              <w:pStyle w:val="Tablecontent"/>
              <w:spacing w:lineRule="auto" w:line="240" w:before="0" w:after="0"/>
              <w:rPr>
                <w:lang w:val="es-MX"/>
              </w:rPr>
            </w:pPr>
            <w:r>
              <w:rPr>
                <w:rFonts w:eastAsia="Times New Roman" w:cs="Times New Roman"/>
                <w:szCs w:val="20"/>
              </w:rPr>
              <w:t>m/s</w:t>
            </w:r>
          </w:p>
        </w:tc>
        <w:tc>
          <w:tcPr>
            <w:tcW w:w="170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Bilinear</w:t>
            </w:r>
          </w:p>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Z-Dimension: interpolated to animal height</w:t>
            </w:r>
          </w:p>
        </w:tc>
      </w:tr>
      <w:tr>
        <w:trPr/>
        <w:tc>
          <w:tcPr>
            <w:tcW w:w="257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 xml:space="preserve">NCEP NARR </w:t>
            </w:r>
            <w:r>
              <w:rPr>
                <w:rFonts w:eastAsia="Times New Roman" w:cs="Times New Roman"/>
                <w:szCs w:val="20"/>
                <w:u w:val="single"/>
              </w:rPr>
              <w:t xml:space="preserve">3D </w:t>
            </w:r>
            <w:r>
              <w:rPr>
                <w:rFonts w:eastAsia="Times New Roman" w:cs="Times New Roman"/>
                <w:i/>
                <w:szCs w:val="20"/>
                <w:u w:val="single"/>
              </w:rPr>
              <w:t>V Wind</w:t>
            </w:r>
          </w:p>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32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Velocity of the north-south (meridional) component of wind. Positive values indicate south to north flow. Direction is relative to true north.</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m/s</w:t>
            </w:r>
          </w:p>
        </w:tc>
        <w:tc>
          <w:tcPr>
            <w:tcW w:w="170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Bilinear</w:t>
            </w:r>
          </w:p>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Z-Dimension: interpolated to animal heigh</w:t>
            </w:r>
          </w:p>
        </w:tc>
      </w:tr>
      <w:tr>
        <w:trPr/>
        <w:tc>
          <w:tcPr>
            <w:tcW w:w="257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lang w:val="es-MX"/>
              </w:rPr>
              <w:t xml:space="preserve">NCEP NARR FLX </w:t>
            </w:r>
            <w:r>
              <w:rPr>
                <w:rFonts w:eastAsia="Times New Roman" w:cs="Times New Roman"/>
                <w:i/>
                <w:szCs w:val="20"/>
                <w:u w:val="single"/>
                <w:lang w:val="es-MX"/>
              </w:rPr>
              <w:t>U Wind</w:t>
            </w:r>
          </w:p>
        </w:tc>
        <w:tc>
          <w:tcPr>
            <w:tcW w:w="32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Wind at 30m above ground</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70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c>
          <w:tcPr>
            <w:tcW w:w="257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 xml:space="preserve">NCEP NARR FLX </w:t>
            </w:r>
            <w:r>
              <w:rPr>
                <w:rFonts w:eastAsia="Times New Roman" w:cs="Times New Roman"/>
                <w:i/>
                <w:szCs w:val="20"/>
                <w:u w:val="single"/>
              </w:rPr>
              <w:t>V Wind</w:t>
            </w:r>
          </w:p>
        </w:tc>
        <w:tc>
          <w:tcPr>
            <w:tcW w:w="32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Wind at 30m above ground</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70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c>
          <w:tcPr>
            <w:tcW w:w="257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NCEP NARR SFC Visibility at Surface</w:t>
            </w:r>
          </w:p>
        </w:tc>
        <w:tc>
          <w:tcPr>
            <w:tcW w:w="32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w:t>
            </w:r>
          </w:p>
        </w:tc>
        <w:tc>
          <w:tcPr>
            <w:tcW w:w="170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bilinear</w:t>
            </w:r>
          </w:p>
        </w:tc>
      </w:tr>
      <w:tr>
        <w:trPr/>
        <w:tc>
          <w:tcPr>
            <w:tcW w:w="257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ASTER ASTGTM2 Elevation</w:t>
            </w:r>
          </w:p>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32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Ground elevation above mean sea level</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w:t>
            </w:r>
          </w:p>
        </w:tc>
        <w:tc>
          <w:tcPr>
            <w:tcW w:w="170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bilinear</w:t>
            </w:r>
          </w:p>
        </w:tc>
      </w:tr>
      <w:tr>
        <w:trPr/>
        <w:tc>
          <w:tcPr>
            <w:tcW w:w="257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NCEP NARR SFC Temperature at Surface</w:t>
            </w:r>
          </w:p>
        </w:tc>
        <w:tc>
          <w:tcPr>
            <w:tcW w:w="32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Air temperature.</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K</w:t>
            </w:r>
          </w:p>
        </w:tc>
        <w:tc>
          <w:tcPr>
            <w:tcW w:w="170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bilinear</w:t>
            </w:r>
          </w:p>
        </w:tc>
      </w:tr>
      <w:tr>
        <w:trPr/>
        <w:tc>
          <w:tcPr>
            <w:tcW w:w="257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ECMWF Interim Full Daily SFC Total Cloud Cover</w:t>
            </w:r>
          </w:p>
        </w:tc>
        <w:tc>
          <w:tcPr>
            <w:tcW w:w="32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The proportion of the model grid cell covered by cloud. Calculated for the total atmospheric column from cloud occurring at all model levels.</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w:t>
            </w:r>
          </w:p>
        </w:tc>
        <w:tc>
          <w:tcPr>
            <w:tcW w:w="170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bilinear</w:t>
            </w:r>
          </w:p>
        </w:tc>
      </w:tr>
      <w:tr>
        <w:trPr/>
        <w:tc>
          <w:tcPr>
            <w:tcW w:w="257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NCEP NARR FLX Dew Point Temperature at 2 m above Ground</w:t>
            </w:r>
          </w:p>
        </w:tc>
        <w:tc>
          <w:tcPr>
            <w:tcW w:w="32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The temperature at which the air will be saturated with water, given the current moisture content and pressure of the air. At the dew point temperature, relative humidity is 100 percent.</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K</w:t>
            </w:r>
          </w:p>
        </w:tc>
        <w:tc>
          <w:tcPr>
            <w:tcW w:w="170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No data values: NaN (interpolated)</w:t>
            </w:r>
          </w:p>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Interpolation: bilinear</w:t>
            </w:r>
          </w:p>
        </w:tc>
      </w:tr>
    </w:tbl>
    <w:p>
      <w:pPr>
        <w:pStyle w:val="Tablecontent"/>
        <w:rPr/>
      </w:pPr>
      <w:r>
        <w:rPr/>
      </w:r>
    </w:p>
    <w:p>
      <w:pPr>
        <w:pStyle w:val="Paragraph"/>
        <w:rPr/>
      </w:pPr>
      <w:r>
        <w:rPr/>
        <w:t>We converted air temperature and dew point temperature to estimate the height of the cloud base (in meters): (</w:t>
      </w:r>
      <w:hyperlink r:id="rId2">
        <w:r>
          <w:rPr>
            <w:rStyle w:val="InternetLink"/>
          </w:rPr>
          <w:t>https://www.faa.gov/regulations_policies/handbooks_manuals/aviation/phak/media/14_phak_ch12.pdf</w:t>
        </w:r>
      </w:hyperlink>
      <w:r>
        <w:rPr/>
        <w:t>):</w:t>
      </w:r>
    </w:p>
    <w:p>
      <w:pPr>
        <w:pStyle w:val="Paragraph"/>
        <w:rPr/>
      </w:pPr>
      <w:r>
        <w:rPr/>
        <w:t>“</w:t>
      </w:r>
      <w:r>
        <w:rPr/>
        <w:t>The relationship between dew point and temperature defines the concept of relative humidity.  The  dew  point,  given  in  degrees,  is  the  temperature  at  which  the  air  can  hold  no  more moisture. When the temperature of the air is reduced to the dew point, the air is completely saturated and moisture begins  to  condense  out  of  the  air  in  the  form  of  fog,  dew,  frost, clouds, rain, or snow.</w:t>
      </w:r>
    </w:p>
    <w:p>
      <w:pPr>
        <w:pStyle w:val="Paragraph"/>
        <w:rPr/>
      </w:pPr>
      <w:r>
        <w:rPr/>
        <w:t>As moist, unstable air rises, clouds often form at the altitude where temperature and dew point reach the same value. When lifted, unsaturated air cools at a rate of 5.4 °F per 1,000 feet and the dew point temperature decreases at a rate of 1 °F per 1,000 feet. This results in a convergence of temperature and dew point at a rate of 4.4°F.  Apply the convergence rate to the reported temperature and dew point to determine the height of the cloud base.”</w:t>
      </w:r>
    </w:p>
    <w:p>
      <w:pPr>
        <w:pStyle w:val="Normal"/>
        <w:jc w:val="center"/>
        <w:rPr/>
      </w:pPr>
      <w:r>
        <w:rPr/>
      </w:r>
    </w:p>
    <w:p>
      <w:pPr>
        <w:pStyle w:val="Normal"/>
        <w:jc w:val="center"/>
        <w:rPr/>
      </w:pPr>
      <w:r>
        <w:rPr/>
        <w:drawing>
          <wp:inline distT="0" distB="0" distL="0" distR="0">
            <wp:extent cx="2352675" cy="1331595"/>
            <wp:effectExtent l="0" t="0" r="0" b="0"/>
            <wp:docPr id="1"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6" descr=""/>
                    <pic:cNvPicPr>
                      <a:picLocks noChangeAspect="1" noChangeArrowheads="1"/>
                    </pic:cNvPicPr>
                  </pic:nvPicPr>
                  <pic:blipFill>
                    <a:blip r:embed="rId3"/>
                    <a:stretch>
                      <a:fillRect/>
                    </a:stretch>
                  </pic:blipFill>
                  <pic:spPr bwMode="auto">
                    <a:xfrm>
                      <a:off x="0" y="0"/>
                      <a:ext cx="2352675" cy="1331595"/>
                    </a:xfrm>
                    <a:prstGeom prst="rect">
                      <a:avLst/>
                    </a:prstGeom>
                  </pic:spPr>
                </pic:pic>
              </a:graphicData>
            </a:graphic>
          </wp:inline>
        </w:drawing>
      </w:r>
      <w:r>
        <w:br w:type="page"/>
      </w:r>
    </w:p>
    <w:p>
      <w:pPr>
        <w:pStyle w:val="Tablecaption"/>
        <w:numPr>
          <w:ilvl w:val="0"/>
          <w:numId w:val="0"/>
        </w:numPr>
        <w:rPr/>
      </w:pPr>
      <w:bookmarkStart w:id="1" w:name="_Toc61687514"/>
      <w:r>
        <w:rPr/>
        <w:t>Supplementary Table 2. Number of paths with change points, and number of change points identified when our lights were on and off by season with the top three quantiles of directional change. Top: change points in XY (horizontal plane); bottom: change points in height (vertical plane).</w:t>
      </w:r>
      <w:bookmarkEnd w:id="1"/>
    </w:p>
    <w:p>
      <w:pPr>
        <w:pStyle w:val="Tablecontent"/>
        <w:jc w:val="center"/>
        <w:rPr/>
      </w:pPr>
      <w:r>
        <w:rPr/>
        <w:t>Horizontal plane</w:t>
      </w:r>
    </w:p>
    <w:p>
      <w:pPr>
        <w:pStyle w:val="Normal"/>
        <w:rPr/>
      </w:pPr>
      <w:r>
        <w:rPr/>
      </w:r>
    </w:p>
    <w:tbl>
      <w:tblPr>
        <w:tblStyle w:val="TableGrid"/>
        <w:tblW w:w="5850" w:type="dxa"/>
        <w:jc w:val="center"/>
        <w:tblInd w:w="0" w:type="dxa"/>
        <w:tblCellMar>
          <w:top w:w="0" w:type="dxa"/>
          <w:left w:w="108" w:type="dxa"/>
          <w:bottom w:w="0" w:type="dxa"/>
          <w:right w:w="108" w:type="dxa"/>
        </w:tblCellMar>
        <w:tblLook w:noVBand="1" w:val="04a0" w:noHBand="0" w:lastColumn="0" w:firstColumn="1" w:lastRow="0" w:firstRow="1"/>
      </w:tblPr>
      <w:tblGrid>
        <w:gridCol w:w="1110"/>
        <w:gridCol w:w="1153"/>
        <w:gridCol w:w="802"/>
        <w:gridCol w:w="901"/>
        <w:gridCol w:w="810"/>
        <w:gridCol w:w="1073"/>
      </w:tblGrid>
      <w:tr>
        <w:trPr>
          <w:trHeight w:val="300" w:hRule="atLeast"/>
        </w:trPr>
        <w:tc>
          <w:tcPr>
            <w:tcW w:w="1110" w:type="dxa"/>
            <w:tcBorders/>
            <w:shd w:fill="auto" w:val="clear"/>
            <w:vAlign w:val="center"/>
          </w:tcPr>
          <w:p>
            <w:pPr>
              <w:pStyle w:val="Tablecontent"/>
              <w:spacing w:lineRule="auto" w:line="240" w:before="0" w:after="0"/>
              <w:jc w:val="center"/>
              <w:rPr>
                <w:rFonts w:ascii="Times New Roman" w:hAnsi="Times New Roman" w:eastAsia="Times New Roman" w:cs="Times New Roman"/>
                <w:b/>
                <w:b/>
                <w:szCs w:val="20"/>
              </w:rPr>
            </w:pPr>
            <w:r>
              <w:rPr>
                <w:rFonts w:eastAsia="Times New Roman" w:cs="Times New Roman"/>
                <w:b/>
                <w:szCs w:val="20"/>
              </w:rPr>
            </w:r>
          </w:p>
        </w:tc>
        <w:tc>
          <w:tcPr>
            <w:tcW w:w="1153" w:type="dxa"/>
            <w:tcBorders/>
            <w:shd w:fill="auto" w:val="clear"/>
            <w:vAlign w:val="center"/>
          </w:tcPr>
          <w:p>
            <w:pPr>
              <w:pStyle w:val="Tablecontent"/>
              <w:spacing w:lineRule="auto" w:line="240" w:before="0" w:after="0"/>
              <w:jc w:val="center"/>
              <w:rPr>
                <w:rFonts w:ascii="Times New Roman" w:hAnsi="Times New Roman" w:eastAsia="Times New Roman" w:cs="Times New Roman"/>
                <w:b/>
                <w:b/>
                <w:szCs w:val="20"/>
              </w:rPr>
            </w:pPr>
            <w:r>
              <w:rPr>
                <w:rFonts w:eastAsia="Times New Roman" w:cs="Times New Roman"/>
                <w:b/>
                <w:szCs w:val="20"/>
              </w:rPr>
            </w:r>
          </w:p>
        </w:tc>
        <w:tc>
          <w:tcPr>
            <w:tcW w:w="3586" w:type="dxa"/>
            <w:gridSpan w:val="4"/>
            <w:tcBorders/>
            <w:shd w:fill="auto" w:val="clear"/>
            <w:vAlign w:val="center"/>
          </w:tcPr>
          <w:p>
            <w:pPr>
              <w:pStyle w:val="Tablecontent"/>
              <w:spacing w:lineRule="auto" w:line="240" w:before="0" w:after="0"/>
              <w:jc w:val="center"/>
              <w:rPr>
                <w:b/>
                <w:b/>
              </w:rPr>
            </w:pPr>
            <w:r>
              <w:rPr>
                <w:rFonts w:eastAsia="Times New Roman" w:cs="Times New Roman"/>
                <w:b/>
                <w:szCs w:val="20"/>
              </w:rPr>
              <w:t>Number of paths with change points</w:t>
            </w:r>
          </w:p>
        </w:tc>
      </w:tr>
      <w:tr>
        <w:trPr>
          <w:trHeight w:val="300" w:hRule="atLeast"/>
        </w:trPr>
        <w:tc>
          <w:tcPr>
            <w:tcW w:w="1110" w:type="dxa"/>
            <w:tcBorders/>
            <w:shd w:fill="auto" w:val="clear"/>
            <w:vAlign w:val="center"/>
          </w:tcPr>
          <w:p>
            <w:pPr>
              <w:pStyle w:val="Tablecontent"/>
              <w:spacing w:lineRule="auto" w:line="240" w:before="0" w:after="0"/>
              <w:jc w:val="center"/>
              <w:rPr>
                <w:rFonts w:ascii="Times New Roman" w:hAnsi="Times New Roman" w:eastAsia="Times New Roman" w:cs="Times New Roman"/>
                <w:b/>
                <w:b/>
                <w:szCs w:val="20"/>
              </w:rPr>
            </w:pPr>
            <w:r>
              <w:rPr>
                <w:rFonts w:eastAsia="Times New Roman" w:cs="Times New Roman"/>
                <w:b/>
                <w:szCs w:val="20"/>
              </w:rPr>
            </w:r>
          </w:p>
        </w:tc>
        <w:tc>
          <w:tcPr>
            <w:tcW w:w="1153" w:type="dxa"/>
            <w:tcBorders/>
            <w:shd w:fill="auto" w:val="clear"/>
            <w:vAlign w:val="center"/>
          </w:tcPr>
          <w:p>
            <w:pPr>
              <w:pStyle w:val="Tablecontent"/>
              <w:spacing w:lineRule="auto" w:line="240" w:before="0" w:after="0"/>
              <w:jc w:val="center"/>
              <w:rPr>
                <w:rFonts w:ascii="Times New Roman" w:hAnsi="Times New Roman" w:eastAsia="Times New Roman" w:cs="Times New Roman"/>
                <w:b/>
                <w:b/>
                <w:szCs w:val="20"/>
              </w:rPr>
            </w:pPr>
            <w:r>
              <w:rPr>
                <w:rFonts w:eastAsia="Times New Roman" w:cs="Times New Roman"/>
                <w:b/>
                <w:szCs w:val="20"/>
              </w:rPr>
            </w:r>
          </w:p>
        </w:tc>
        <w:tc>
          <w:tcPr>
            <w:tcW w:w="1703" w:type="dxa"/>
            <w:gridSpan w:val="2"/>
            <w:tcBorders/>
            <w:shd w:fill="auto" w:val="clear"/>
            <w:vAlign w:val="center"/>
          </w:tcPr>
          <w:p>
            <w:pPr>
              <w:pStyle w:val="Tablecontent"/>
              <w:spacing w:lineRule="auto" w:line="240" w:before="0" w:after="0"/>
              <w:jc w:val="center"/>
              <w:rPr>
                <w:b/>
                <w:b/>
                <w:lang w:val="es-MX"/>
              </w:rPr>
            </w:pPr>
            <w:r>
              <w:rPr>
                <w:rFonts w:eastAsia="Times New Roman" w:cs="Times New Roman"/>
                <w:b/>
                <w:szCs w:val="20"/>
              </w:rPr>
              <w:t>Spring</w:t>
            </w:r>
          </w:p>
        </w:tc>
        <w:tc>
          <w:tcPr>
            <w:tcW w:w="1883" w:type="dxa"/>
            <w:gridSpan w:val="2"/>
            <w:tcBorders/>
            <w:shd w:fill="auto" w:val="clear"/>
            <w:vAlign w:val="center"/>
          </w:tcPr>
          <w:p>
            <w:pPr>
              <w:pStyle w:val="Tablecontent"/>
              <w:spacing w:lineRule="auto" w:line="240" w:before="0" w:after="0"/>
              <w:jc w:val="center"/>
              <w:rPr>
                <w:b/>
                <w:b/>
                <w:lang w:val="es-MX"/>
              </w:rPr>
            </w:pPr>
            <w:r>
              <w:rPr>
                <w:rFonts w:eastAsia="Times New Roman" w:cs="Times New Roman"/>
                <w:b/>
                <w:szCs w:val="20"/>
              </w:rPr>
              <w:t>Autumn</w:t>
            </w:r>
          </w:p>
        </w:tc>
      </w:tr>
      <w:tr>
        <w:trPr>
          <w:trHeight w:val="300" w:hRule="atLeast"/>
        </w:trPr>
        <w:tc>
          <w:tcPr>
            <w:tcW w:w="1110" w:type="dxa"/>
            <w:tcBorders/>
            <w:shd w:fill="auto" w:val="clear"/>
            <w:vAlign w:val="center"/>
          </w:tcPr>
          <w:p>
            <w:pPr>
              <w:pStyle w:val="Tablecontent"/>
              <w:spacing w:lineRule="auto" w:line="240" w:before="0" w:after="0"/>
              <w:jc w:val="center"/>
              <w:rPr>
                <w:b/>
                <w:b/>
                <w:lang w:val="es-MX"/>
              </w:rPr>
            </w:pPr>
            <w:r>
              <w:rPr>
                <w:rFonts w:eastAsia="Times New Roman" w:cs="Times New Roman"/>
                <w:b/>
                <w:szCs w:val="20"/>
                <w:lang w:val="es-MX"/>
              </w:rPr>
              <w:t>Quantile</w:t>
            </w:r>
          </w:p>
        </w:tc>
        <w:tc>
          <w:tcPr>
            <w:tcW w:w="1153" w:type="dxa"/>
            <w:tcBorders/>
            <w:shd w:fill="auto" w:val="clear"/>
            <w:vAlign w:val="center"/>
          </w:tcPr>
          <w:p>
            <w:pPr>
              <w:pStyle w:val="Tablecontent"/>
              <w:spacing w:lineRule="auto" w:line="240" w:before="0" w:after="0"/>
              <w:jc w:val="center"/>
              <w:rPr>
                <w:b/>
                <w:b/>
                <w:lang w:val="es-MX"/>
              </w:rPr>
            </w:pPr>
            <w:r>
              <w:rPr>
                <w:rFonts w:eastAsia="Times New Roman" w:cs="Times New Roman"/>
                <w:b/>
                <w:szCs w:val="20"/>
                <w:lang w:val="es-MX"/>
              </w:rPr>
              <w:t>Paths with change points</w:t>
            </w:r>
          </w:p>
        </w:tc>
        <w:tc>
          <w:tcPr>
            <w:tcW w:w="802" w:type="dxa"/>
            <w:tcBorders/>
            <w:shd w:fill="auto" w:val="clear"/>
            <w:vAlign w:val="center"/>
          </w:tcPr>
          <w:p>
            <w:pPr>
              <w:pStyle w:val="Tablecontent"/>
              <w:spacing w:lineRule="auto" w:line="240" w:before="0" w:after="0"/>
              <w:jc w:val="center"/>
              <w:rPr>
                <w:b/>
                <w:b/>
                <w:lang w:val="es-MX"/>
              </w:rPr>
            </w:pPr>
            <w:r>
              <w:rPr>
                <w:rFonts w:eastAsia="Times New Roman" w:cs="Times New Roman"/>
                <w:b/>
                <w:szCs w:val="20"/>
                <w:lang w:val="es-MX"/>
              </w:rPr>
              <w:t>On</w:t>
            </w:r>
          </w:p>
        </w:tc>
        <w:tc>
          <w:tcPr>
            <w:tcW w:w="901" w:type="dxa"/>
            <w:tcBorders/>
            <w:shd w:fill="auto" w:val="clear"/>
            <w:vAlign w:val="center"/>
          </w:tcPr>
          <w:p>
            <w:pPr>
              <w:pStyle w:val="Tablecontent"/>
              <w:spacing w:lineRule="auto" w:line="240" w:before="0" w:after="0"/>
              <w:jc w:val="center"/>
              <w:rPr>
                <w:b/>
                <w:b/>
                <w:lang w:val="es-MX"/>
              </w:rPr>
            </w:pPr>
            <w:r>
              <w:rPr>
                <w:rFonts w:eastAsia="Times New Roman" w:cs="Times New Roman"/>
                <w:b/>
                <w:szCs w:val="20"/>
                <w:lang w:val="es-MX"/>
              </w:rPr>
              <w:t>Off</w:t>
            </w:r>
          </w:p>
        </w:tc>
        <w:tc>
          <w:tcPr>
            <w:tcW w:w="810" w:type="dxa"/>
            <w:tcBorders/>
            <w:shd w:fill="auto" w:val="clear"/>
            <w:vAlign w:val="center"/>
          </w:tcPr>
          <w:p>
            <w:pPr>
              <w:pStyle w:val="Tablecontent"/>
              <w:spacing w:lineRule="auto" w:line="240" w:before="0" w:after="0"/>
              <w:jc w:val="center"/>
              <w:rPr>
                <w:b/>
                <w:b/>
                <w:lang w:val="es-MX"/>
              </w:rPr>
            </w:pPr>
            <w:r>
              <w:rPr>
                <w:rFonts w:eastAsia="Times New Roman" w:cs="Times New Roman"/>
                <w:b/>
                <w:szCs w:val="20"/>
                <w:lang w:val="es-MX"/>
              </w:rPr>
              <w:t>On</w:t>
            </w:r>
          </w:p>
        </w:tc>
        <w:tc>
          <w:tcPr>
            <w:tcW w:w="1073" w:type="dxa"/>
            <w:tcBorders/>
            <w:shd w:fill="auto" w:val="clear"/>
            <w:vAlign w:val="center"/>
          </w:tcPr>
          <w:p>
            <w:pPr>
              <w:pStyle w:val="Tablecontent"/>
              <w:spacing w:lineRule="auto" w:line="240" w:before="0" w:after="0"/>
              <w:jc w:val="center"/>
              <w:rPr>
                <w:b/>
                <w:b/>
                <w:lang w:val="es-MX"/>
              </w:rPr>
            </w:pPr>
            <w:r>
              <w:rPr>
                <w:rFonts w:eastAsia="Times New Roman" w:cs="Times New Roman"/>
                <w:b/>
                <w:szCs w:val="20"/>
                <w:lang w:val="es-MX"/>
              </w:rPr>
              <w:t>Off</w:t>
            </w:r>
          </w:p>
        </w:tc>
      </w:tr>
      <w:tr>
        <w:trPr>
          <w:trHeight w:val="300" w:hRule="atLeast"/>
        </w:trPr>
        <w:tc>
          <w:tcPr>
            <w:tcW w:w="1110" w:type="dxa"/>
            <w:tcBorders/>
            <w:shd w:fill="auto" w:val="clear"/>
            <w:vAlign w:val="center"/>
          </w:tcPr>
          <w:p>
            <w:pPr>
              <w:pStyle w:val="Tablecontent"/>
              <w:spacing w:lineRule="auto" w:line="240" w:before="0" w:after="0"/>
              <w:rPr>
                <w:lang w:val="es-MX"/>
              </w:rPr>
            </w:pPr>
            <w:r>
              <w:rPr>
                <w:rFonts w:eastAsia="Times New Roman" w:cs="Times New Roman"/>
                <w:szCs w:val="20"/>
                <w:lang w:val="es-MX"/>
              </w:rPr>
              <w:t>90%</w:t>
            </w:r>
          </w:p>
        </w:tc>
        <w:tc>
          <w:tcPr>
            <w:tcW w:w="1153" w:type="dxa"/>
            <w:tcBorders/>
            <w:shd w:fill="auto" w:val="clear"/>
            <w:vAlign w:val="center"/>
          </w:tcPr>
          <w:p>
            <w:pPr>
              <w:pStyle w:val="Tablecontent"/>
              <w:spacing w:lineRule="auto" w:line="240" w:before="0" w:after="0"/>
              <w:rPr>
                <w:lang w:val="es-MX"/>
              </w:rPr>
            </w:pPr>
            <w:r>
              <w:rPr>
                <w:rFonts w:eastAsia="Times New Roman" w:cs="Times New Roman"/>
                <w:szCs w:val="20"/>
                <w:lang w:val="es-MX"/>
              </w:rPr>
              <w:t>715</w:t>
            </w:r>
          </w:p>
        </w:tc>
        <w:tc>
          <w:tcPr>
            <w:tcW w:w="802" w:type="dxa"/>
            <w:tcBorders/>
            <w:shd w:fill="auto" w:val="clear"/>
            <w:vAlign w:val="center"/>
          </w:tcPr>
          <w:p>
            <w:pPr>
              <w:pStyle w:val="Tablecontent"/>
              <w:spacing w:lineRule="auto" w:line="240" w:before="0" w:after="0"/>
              <w:rPr>
                <w:lang w:val="es-MX"/>
              </w:rPr>
            </w:pPr>
            <w:r>
              <w:rPr>
                <w:rFonts w:eastAsia="Times New Roman" w:cs="Times New Roman"/>
                <w:szCs w:val="20"/>
                <w:lang w:val="es-MX"/>
              </w:rPr>
              <w:t>206</w:t>
            </w:r>
          </w:p>
        </w:tc>
        <w:tc>
          <w:tcPr>
            <w:tcW w:w="901" w:type="dxa"/>
            <w:tcBorders/>
            <w:shd w:fill="auto" w:val="clear"/>
            <w:vAlign w:val="center"/>
          </w:tcPr>
          <w:p>
            <w:pPr>
              <w:pStyle w:val="Tablecontent"/>
              <w:spacing w:lineRule="auto" w:line="240" w:before="0" w:after="0"/>
              <w:rPr>
                <w:lang w:val="es-MX"/>
              </w:rPr>
            </w:pPr>
            <w:r>
              <w:rPr>
                <w:rFonts w:eastAsia="Times New Roman" w:cs="Times New Roman"/>
                <w:szCs w:val="20"/>
                <w:lang w:val="es-MX"/>
              </w:rPr>
              <w:t>308</w:t>
            </w:r>
          </w:p>
        </w:tc>
        <w:tc>
          <w:tcPr>
            <w:tcW w:w="810" w:type="dxa"/>
            <w:tcBorders/>
            <w:shd w:fill="auto" w:val="clear"/>
            <w:vAlign w:val="center"/>
          </w:tcPr>
          <w:p>
            <w:pPr>
              <w:pStyle w:val="Tablecontent"/>
              <w:spacing w:lineRule="auto" w:line="240" w:before="0" w:after="0"/>
              <w:rPr>
                <w:lang w:val="es-MX"/>
              </w:rPr>
            </w:pPr>
            <w:r>
              <w:rPr>
                <w:rFonts w:eastAsia="Times New Roman" w:cs="Times New Roman"/>
                <w:szCs w:val="20"/>
                <w:lang w:val="es-MX"/>
              </w:rPr>
              <w:t>117</w:t>
            </w:r>
          </w:p>
        </w:tc>
        <w:tc>
          <w:tcPr>
            <w:tcW w:w="1073" w:type="dxa"/>
            <w:tcBorders/>
            <w:shd w:fill="auto" w:val="clear"/>
            <w:vAlign w:val="center"/>
          </w:tcPr>
          <w:p>
            <w:pPr>
              <w:pStyle w:val="Tablecontent"/>
              <w:spacing w:lineRule="auto" w:line="240" w:before="0" w:after="0"/>
              <w:rPr>
                <w:lang w:val="es-MX"/>
              </w:rPr>
            </w:pPr>
            <w:r>
              <w:rPr>
                <w:rFonts w:eastAsia="Times New Roman" w:cs="Times New Roman"/>
                <w:szCs w:val="20"/>
                <w:lang w:val="es-MX"/>
              </w:rPr>
              <w:t>84</w:t>
            </w:r>
          </w:p>
        </w:tc>
      </w:tr>
      <w:tr>
        <w:trPr>
          <w:trHeight w:val="300" w:hRule="atLeast"/>
        </w:trPr>
        <w:tc>
          <w:tcPr>
            <w:tcW w:w="1110" w:type="dxa"/>
            <w:tcBorders/>
            <w:shd w:fill="auto" w:val="clear"/>
            <w:vAlign w:val="center"/>
          </w:tcPr>
          <w:p>
            <w:pPr>
              <w:pStyle w:val="Tablecontent"/>
              <w:spacing w:lineRule="auto" w:line="240" w:before="0" w:after="0"/>
              <w:rPr>
                <w:lang w:val="es-MX"/>
              </w:rPr>
            </w:pPr>
            <w:r>
              <w:rPr>
                <w:rFonts w:eastAsia="Times New Roman" w:cs="Times New Roman"/>
                <w:szCs w:val="20"/>
                <w:lang w:val="es-MX"/>
              </w:rPr>
              <w:t>95%</w:t>
            </w:r>
          </w:p>
        </w:tc>
        <w:tc>
          <w:tcPr>
            <w:tcW w:w="1153" w:type="dxa"/>
            <w:tcBorders/>
            <w:shd w:fill="auto" w:val="clear"/>
            <w:vAlign w:val="center"/>
          </w:tcPr>
          <w:p>
            <w:pPr>
              <w:pStyle w:val="Tablecontent"/>
              <w:spacing w:lineRule="auto" w:line="240" w:before="0" w:after="0"/>
              <w:rPr>
                <w:lang w:val="es-MX"/>
              </w:rPr>
            </w:pPr>
            <w:r>
              <w:rPr>
                <w:rFonts w:eastAsia="Times New Roman" w:cs="Times New Roman"/>
                <w:szCs w:val="20"/>
                <w:lang w:val="es-MX"/>
              </w:rPr>
              <w:t>573</w:t>
            </w:r>
          </w:p>
        </w:tc>
        <w:tc>
          <w:tcPr>
            <w:tcW w:w="802" w:type="dxa"/>
            <w:tcBorders/>
            <w:shd w:fill="auto" w:val="clear"/>
            <w:vAlign w:val="center"/>
          </w:tcPr>
          <w:p>
            <w:pPr>
              <w:pStyle w:val="Tablecontent"/>
              <w:spacing w:lineRule="auto" w:line="240" w:before="0" w:after="0"/>
              <w:rPr>
                <w:lang w:val="es-MX"/>
              </w:rPr>
            </w:pPr>
            <w:r>
              <w:rPr>
                <w:rFonts w:eastAsia="Times New Roman" w:cs="Times New Roman"/>
                <w:szCs w:val="20"/>
                <w:lang w:val="es-MX"/>
              </w:rPr>
              <w:t>175</w:t>
            </w:r>
          </w:p>
        </w:tc>
        <w:tc>
          <w:tcPr>
            <w:tcW w:w="901" w:type="dxa"/>
            <w:tcBorders/>
            <w:shd w:fill="auto" w:val="clear"/>
            <w:vAlign w:val="center"/>
          </w:tcPr>
          <w:p>
            <w:pPr>
              <w:pStyle w:val="Tablecontent"/>
              <w:spacing w:lineRule="auto" w:line="240" w:before="0" w:after="0"/>
              <w:rPr>
                <w:lang w:val="es-MX"/>
              </w:rPr>
            </w:pPr>
            <w:r>
              <w:rPr>
                <w:rFonts w:eastAsia="Times New Roman" w:cs="Times New Roman"/>
                <w:szCs w:val="20"/>
                <w:lang w:val="es-MX"/>
              </w:rPr>
              <w:t>247</w:t>
            </w:r>
          </w:p>
        </w:tc>
        <w:tc>
          <w:tcPr>
            <w:tcW w:w="810" w:type="dxa"/>
            <w:tcBorders/>
            <w:shd w:fill="auto" w:val="clear"/>
            <w:vAlign w:val="center"/>
          </w:tcPr>
          <w:p>
            <w:pPr>
              <w:pStyle w:val="Tablecontent"/>
              <w:spacing w:lineRule="auto" w:line="240" w:before="0" w:after="0"/>
              <w:rPr>
                <w:lang w:val="es-MX"/>
              </w:rPr>
            </w:pPr>
            <w:r>
              <w:rPr>
                <w:rFonts w:eastAsia="Times New Roman" w:cs="Times New Roman"/>
                <w:szCs w:val="20"/>
                <w:lang w:val="es-MX"/>
              </w:rPr>
              <w:t>89</w:t>
            </w:r>
          </w:p>
        </w:tc>
        <w:tc>
          <w:tcPr>
            <w:tcW w:w="1073" w:type="dxa"/>
            <w:tcBorders/>
            <w:shd w:fill="auto" w:val="clear"/>
            <w:vAlign w:val="center"/>
          </w:tcPr>
          <w:p>
            <w:pPr>
              <w:pStyle w:val="Tablecontent"/>
              <w:spacing w:lineRule="auto" w:line="240" w:before="0" w:after="0"/>
              <w:rPr>
                <w:lang w:val="es-MX"/>
              </w:rPr>
            </w:pPr>
            <w:r>
              <w:rPr>
                <w:rFonts w:eastAsia="Times New Roman" w:cs="Times New Roman"/>
                <w:szCs w:val="20"/>
                <w:lang w:val="es-MX"/>
              </w:rPr>
              <w:t>62</w:t>
            </w:r>
          </w:p>
        </w:tc>
      </w:tr>
      <w:tr>
        <w:trPr>
          <w:trHeight w:val="300" w:hRule="atLeast"/>
        </w:trPr>
        <w:tc>
          <w:tcPr>
            <w:tcW w:w="1110" w:type="dxa"/>
            <w:tcBorders/>
            <w:shd w:fill="auto" w:val="clear"/>
            <w:vAlign w:val="center"/>
          </w:tcPr>
          <w:p>
            <w:pPr>
              <w:pStyle w:val="Tablecontent"/>
              <w:spacing w:lineRule="auto" w:line="240" w:before="0" w:after="0"/>
              <w:rPr>
                <w:lang w:val="es-MX"/>
              </w:rPr>
            </w:pPr>
            <w:r>
              <w:rPr>
                <w:rFonts w:eastAsia="Times New Roman" w:cs="Times New Roman"/>
                <w:szCs w:val="20"/>
                <w:lang w:val="es-MX"/>
              </w:rPr>
              <w:t>99%</w:t>
            </w:r>
          </w:p>
        </w:tc>
        <w:tc>
          <w:tcPr>
            <w:tcW w:w="1153" w:type="dxa"/>
            <w:tcBorders/>
            <w:shd w:fill="auto" w:val="clear"/>
            <w:vAlign w:val="center"/>
          </w:tcPr>
          <w:p>
            <w:pPr>
              <w:pStyle w:val="Tablecontent"/>
              <w:spacing w:lineRule="auto" w:line="240" w:before="0" w:after="0"/>
              <w:rPr>
                <w:lang w:val="es-MX"/>
              </w:rPr>
            </w:pPr>
            <w:r>
              <w:rPr>
                <w:rFonts w:eastAsia="Times New Roman" w:cs="Times New Roman"/>
                <w:szCs w:val="20"/>
                <w:lang w:val="es-MX"/>
              </w:rPr>
              <w:t>242</w:t>
            </w:r>
          </w:p>
        </w:tc>
        <w:tc>
          <w:tcPr>
            <w:tcW w:w="802" w:type="dxa"/>
            <w:tcBorders/>
            <w:shd w:fill="auto" w:val="clear"/>
            <w:vAlign w:val="center"/>
          </w:tcPr>
          <w:p>
            <w:pPr>
              <w:pStyle w:val="Tablecontent"/>
              <w:spacing w:lineRule="auto" w:line="240" w:before="0" w:after="0"/>
              <w:rPr>
                <w:lang w:val="es-MX"/>
              </w:rPr>
            </w:pPr>
            <w:r>
              <w:rPr>
                <w:rFonts w:eastAsia="Times New Roman" w:cs="Times New Roman"/>
                <w:szCs w:val="20"/>
                <w:lang w:val="es-MX"/>
              </w:rPr>
              <w:t>73</w:t>
            </w:r>
          </w:p>
        </w:tc>
        <w:tc>
          <w:tcPr>
            <w:tcW w:w="901" w:type="dxa"/>
            <w:tcBorders/>
            <w:shd w:fill="auto" w:val="clear"/>
            <w:vAlign w:val="center"/>
          </w:tcPr>
          <w:p>
            <w:pPr>
              <w:pStyle w:val="Tablecontent"/>
              <w:spacing w:lineRule="auto" w:line="240" w:before="0" w:after="0"/>
              <w:rPr>
                <w:lang w:val="es-MX"/>
              </w:rPr>
            </w:pPr>
            <w:r>
              <w:rPr>
                <w:rFonts w:eastAsia="Times New Roman" w:cs="Times New Roman"/>
                <w:szCs w:val="20"/>
                <w:lang w:val="es-MX"/>
              </w:rPr>
              <w:t>97</w:t>
            </w:r>
          </w:p>
        </w:tc>
        <w:tc>
          <w:tcPr>
            <w:tcW w:w="810" w:type="dxa"/>
            <w:tcBorders/>
            <w:shd w:fill="auto" w:val="clear"/>
            <w:vAlign w:val="center"/>
          </w:tcPr>
          <w:p>
            <w:pPr>
              <w:pStyle w:val="Tablecontent"/>
              <w:spacing w:lineRule="auto" w:line="240" w:before="0" w:after="0"/>
              <w:rPr>
                <w:lang w:val="es-MX"/>
              </w:rPr>
            </w:pPr>
            <w:r>
              <w:rPr>
                <w:rFonts w:eastAsia="Times New Roman" w:cs="Times New Roman"/>
                <w:szCs w:val="20"/>
                <w:lang w:val="es-MX"/>
              </w:rPr>
              <w:t>42</w:t>
            </w:r>
          </w:p>
        </w:tc>
        <w:tc>
          <w:tcPr>
            <w:tcW w:w="1073" w:type="dxa"/>
            <w:tcBorders/>
            <w:shd w:fill="auto" w:val="clear"/>
            <w:vAlign w:val="center"/>
          </w:tcPr>
          <w:p>
            <w:pPr>
              <w:pStyle w:val="Tablecontent"/>
              <w:spacing w:lineRule="auto" w:line="240" w:before="0" w:after="0"/>
              <w:rPr>
                <w:lang w:val="es-MX"/>
              </w:rPr>
            </w:pPr>
            <w:r>
              <w:rPr>
                <w:rFonts w:eastAsia="Times New Roman" w:cs="Times New Roman"/>
                <w:szCs w:val="20"/>
                <w:lang w:val="es-MX"/>
              </w:rPr>
              <w:t>30</w:t>
            </w:r>
          </w:p>
        </w:tc>
      </w:tr>
    </w:tbl>
    <w:p>
      <w:pPr>
        <w:pStyle w:val="Tablecontent"/>
        <w:rPr/>
      </w:pPr>
      <w:r>
        <w:rPr/>
      </w:r>
    </w:p>
    <w:p>
      <w:pPr>
        <w:pStyle w:val="Normal"/>
        <w:jc w:val="center"/>
        <w:rPr/>
      </w:pPr>
      <w:r>
        <w:rPr/>
        <w:t>Vertical plane</w:t>
      </w:r>
    </w:p>
    <w:p>
      <w:pPr>
        <w:pStyle w:val="Normal"/>
        <w:jc w:val="center"/>
        <w:rPr/>
      </w:pPr>
      <w:r>
        <w:rPr/>
      </w:r>
    </w:p>
    <w:tbl>
      <w:tblPr>
        <w:tblStyle w:val="TableGrid"/>
        <w:tblW w:w="5850" w:type="dxa"/>
        <w:jc w:val="center"/>
        <w:tblInd w:w="0" w:type="dxa"/>
        <w:tblCellMar>
          <w:top w:w="0" w:type="dxa"/>
          <w:left w:w="108" w:type="dxa"/>
          <w:bottom w:w="0" w:type="dxa"/>
          <w:right w:w="108" w:type="dxa"/>
        </w:tblCellMar>
        <w:tblLook w:noVBand="1" w:val="04a0" w:noHBand="0" w:lastColumn="0" w:firstColumn="1" w:lastRow="0" w:firstRow="1"/>
      </w:tblPr>
      <w:tblGrid>
        <w:gridCol w:w="1110"/>
        <w:gridCol w:w="1153"/>
        <w:gridCol w:w="804"/>
        <w:gridCol w:w="900"/>
        <w:gridCol w:w="810"/>
        <w:gridCol w:w="1072"/>
      </w:tblGrid>
      <w:tr>
        <w:trPr>
          <w:trHeight w:val="300" w:hRule="atLeast"/>
        </w:trPr>
        <w:tc>
          <w:tcPr>
            <w:tcW w:w="1110" w:type="dxa"/>
            <w:tcBorders/>
            <w:shd w:fill="auto" w:val="clear"/>
            <w:vAlign w:val="center"/>
          </w:tcPr>
          <w:p>
            <w:pPr>
              <w:pStyle w:val="Tablecontent"/>
              <w:spacing w:lineRule="auto" w:line="240" w:before="0" w:after="0"/>
              <w:jc w:val="center"/>
              <w:rPr>
                <w:rFonts w:ascii="Times New Roman" w:hAnsi="Times New Roman" w:eastAsia="Times New Roman" w:cs="Times New Roman"/>
                <w:b/>
                <w:b/>
                <w:szCs w:val="20"/>
                <w:lang w:val="es-MX"/>
              </w:rPr>
            </w:pPr>
            <w:r>
              <w:rPr>
                <w:rFonts w:eastAsia="Times New Roman" w:cs="Times New Roman"/>
                <w:b/>
                <w:szCs w:val="20"/>
                <w:lang w:val="es-MX"/>
              </w:rPr>
            </w:r>
          </w:p>
        </w:tc>
        <w:tc>
          <w:tcPr>
            <w:tcW w:w="1153" w:type="dxa"/>
            <w:tcBorders/>
            <w:shd w:fill="auto" w:val="clear"/>
            <w:vAlign w:val="center"/>
          </w:tcPr>
          <w:p>
            <w:pPr>
              <w:pStyle w:val="Tablecontent"/>
              <w:spacing w:lineRule="auto" w:line="240" w:before="0" w:after="0"/>
              <w:jc w:val="center"/>
              <w:rPr>
                <w:rFonts w:ascii="Times New Roman" w:hAnsi="Times New Roman" w:eastAsia="Times New Roman" w:cs="Times New Roman"/>
                <w:b/>
                <w:b/>
                <w:szCs w:val="20"/>
                <w:lang w:val="es-MX"/>
              </w:rPr>
            </w:pPr>
            <w:r>
              <w:rPr>
                <w:rFonts w:eastAsia="Times New Roman" w:cs="Times New Roman"/>
                <w:b/>
                <w:szCs w:val="20"/>
                <w:lang w:val="es-MX"/>
              </w:rPr>
            </w:r>
          </w:p>
        </w:tc>
        <w:tc>
          <w:tcPr>
            <w:tcW w:w="3586" w:type="dxa"/>
            <w:gridSpan w:val="4"/>
            <w:tcBorders/>
            <w:shd w:fill="auto" w:val="clear"/>
            <w:vAlign w:val="center"/>
          </w:tcPr>
          <w:p>
            <w:pPr>
              <w:pStyle w:val="Tablecontent"/>
              <w:spacing w:lineRule="auto" w:line="240" w:before="0" w:after="0"/>
              <w:jc w:val="center"/>
              <w:rPr>
                <w:b/>
                <w:b/>
              </w:rPr>
            </w:pPr>
            <w:r>
              <w:rPr>
                <w:rFonts w:eastAsia="Times New Roman" w:cs="Times New Roman"/>
                <w:b/>
                <w:szCs w:val="20"/>
              </w:rPr>
              <w:t>Number of paths with change points</w:t>
            </w:r>
          </w:p>
        </w:tc>
      </w:tr>
      <w:tr>
        <w:trPr>
          <w:trHeight w:val="300" w:hRule="atLeast"/>
        </w:trPr>
        <w:tc>
          <w:tcPr>
            <w:tcW w:w="1110" w:type="dxa"/>
            <w:tcBorders/>
            <w:shd w:fill="auto" w:val="clear"/>
            <w:vAlign w:val="center"/>
          </w:tcPr>
          <w:p>
            <w:pPr>
              <w:pStyle w:val="Tablecontent"/>
              <w:spacing w:lineRule="auto" w:line="240" w:before="0" w:after="0"/>
              <w:jc w:val="center"/>
              <w:rPr>
                <w:rFonts w:ascii="Times New Roman" w:hAnsi="Times New Roman" w:eastAsia="Times New Roman" w:cs="Times New Roman"/>
                <w:b/>
                <w:b/>
                <w:szCs w:val="20"/>
              </w:rPr>
            </w:pPr>
            <w:r>
              <w:rPr>
                <w:rFonts w:eastAsia="Times New Roman" w:cs="Times New Roman"/>
                <w:b/>
                <w:szCs w:val="20"/>
              </w:rPr>
            </w:r>
          </w:p>
        </w:tc>
        <w:tc>
          <w:tcPr>
            <w:tcW w:w="1153" w:type="dxa"/>
            <w:tcBorders/>
            <w:shd w:fill="auto" w:val="clear"/>
            <w:vAlign w:val="center"/>
          </w:tcPr>
          <w:p>
            <w:pPr>
              <w:pStyle w:val="Tablecontent"/>
              <w:spacing w:lineRule="auto" w:line="240" w:before="0" w:after="0"/>
              <w:jc w:val="center"/>
              <w:rPr>
                <w:rFonts w:ascii="Times New Roman" w:hAnsi="Times New Roman" w:eastAsia="Times New Roman" w:cs="Times New Roman"/>
                <w:b/>
                <w:b/>
                <w:szCs w:val="20"/>
              </w:rPr>
            </w:pPr>
            <w:r>
              <w:rPr>
                <w:rFonts w:eastAsia="Times New Roman" w:cs="Times New Roman"/>
                <w:b/>
                <w:szCs w:val="20"/>
              </w:rPr>
            </w:r>
          </w:p>
        </w:tc>
        <w:tc>
          <w:tcPr>
            <w:tcW w:w="1704" w:type="dxa"/>
            <w:gridSpan w:val="2"/>
            <w:tcBorders/>
            <w:shd w:fill="auto" w:val="clear"/>
            <w:vAlign w:val="center"/>
          </w:tcPr>
          <w:p>
            <w:pPr>
              <w:pStyle w:val="Tablecontent"/>
              <w:spacing w:lineRule="auto" w:line="240" w:before="0" w:after="0"/>
              <w:jc w:val="center"/>
              <w:rPr>
                <w:b/>
                <w:b/>
                <w:lang w:val="es-MX"/>
              </w:rPr>
            </w:pPr>
            <w:r>
              <w:rPr>
                <w:rFonts w:eastAsia="Times New Roman" w:cs="Times New Roman"/>
                <w:b/>
                <w:szCs w:val="20"/>
              </w:rPr>
              <w:t>Spring</w:t>
            </w:r>
          </w:p>
        </w:tc>
        <w:tc>
          <w:tcPr>
            <w:tcW w:w="1882" w:type="dxa"/>
            <w:gridSpan w:val="2"/>
            <w:tcBorders/>
            <w:shd w:fill="auto" w:val="clear"/>
            <w:vAlign w:val="center"/>
          </w:tcPr>
          <w:p>
            <w:pPr>
              <w:pStyle w:val="Tablecontent"/>
              <w:spacing w:lineRule="auto" w:line="240" w:before="0" w:after="0"/>
              <w:jc w:val="center"/>
              <w:rPr>
                <w:b/>
                <w:b/>
                <w:lang w:val="es-MX"/>
              </w:rPr>
            </w:pPr>
            <w:r>
              <w:rPr>
                <w:rFonts w:eastAsia="Times New Roman" w:cs="Times New Roman"/>
                <w:b/>
                <w:szCs w:val="20"/>
              </w:rPr>
              <w:t>Autumn</w:t>
            </w:r>
          </w:p>
        </w:tc>
      </w:tr>
      <w:tr>
        <w:trPr>
          <w:trHeight w:val="300" w:hRule="atLeast"/>
        </w:trPr>
        <w:tc>
          <w:tcPr>
            <w:tcW w:w="1110" w:type="dxa"/>
            <w:tcBorders/>
            <w:shd w:fill="auto" w:val="clear"/>
            <w:vAlign w:val="center"/>
          </w:tcPr>
          <w:p>
            <w:pPr>
              <w:pStyle w:val="Tablecontent"/>
              <w:spacing w:lineRule="auto" w:line="240" w:before="0" w:after="0"/>
              <w:jc w:val="center"/>
              <w:rPr>
                <w:b/>
                <w:b/>
                <w:lang w:val="es-MX"/>
              </w:rPr>
            </w:pPr>
            <w:r>
              <w:rPr>
                <w:rFonts w:eastAsia="Times New Roman" w:cs="Times New Roman"/>
                <w:b/>
                <w:szCs w:val="20"/>
                <w:lang w:val="es-MX"/>
              </w:rPr>
              <w:t>Quantile</w:t>
            </w:r>
          </w:p>
        </w:tc>
        <w:tc>
          <w:tcPr>
            <w:tcW w:w="1153" w:type="dxa"/>
            <w:tcBorders/>
            <w:shd w:fill="auto" w:val="clear"/>
            <w:vAlign w:val="center"/>
          </w:tcPr>
          <w:p>
            <w:pPr>
              <w:pStyle w:val="Tablecontent"/>
              <w:spacing w:lineRule="auto" w:line="240" w:before="0" w:after="0"/>
              <w:jc w:val="center"/>
              <w:rPr>
                <w:b/>
                <w:b/>
                <w:lang w:val="es-MX"/>
              </w:rPr>
            </w:pPr>
            <w:r>
              <w:rPr>
                <w:rFonts w:eastAsia="Times New Roman" w:cs="Times New Roman"/>
                <w:b/>
                <w:szCs w:val="20"/>
                <w:lang w:val="es-MX"/>
              </w:rPr>
              <w:t>Paths with change points</w:t>
            </w:r>
          </w:p>
        </w:tc>
        <w:tc>
          <w:tcPr>
            <w:tcW w:w="804" w:type="dxa"/>
            <w:tcBorders/>
            <w:shd w:fill="auto" w:val="clear"/>
            <w:vAlign w:val="center"/>
          </w:tcPr>
          <w:p>
            <w:pPr>
              <w:pStyle w:val="Tablecontent"/>
              <w:spacing w:lineRule="auto" w:line="240" w:before="0" w:after="0"/>
              <w:jc w:val="center"/>
              <w:rPr>
                <w:b/>
                <w:b/>
                <w:lang w:val="es-MX"/>
              </w:rPr>
            </w:pPr>
            <w:r>
              <w:rPr>
                <w:rFonts w:eastAsia="Times New Roman" w:cs="Times New Roman"/>
                <w:b/>
                <w:szCs w:val="20"/>
                <w:lang w:val="es-MX"/>
              </w:rPr>
              <w:t>On</w:t>
            </w:r>
          </w:p>
        </w:tc>
        <w:tc>
          <w:tcPr>
            <w:tcW w:w="900" w:type="dxa"/>
            <w:tcBorders/>
            <w:shd w:fill="auto" w:val="clear"/>
            <w:vAlign w:val="center"/>
          </w:tcPr>
          <w:p>
            <w:pPr>
              <w:pStyle w:val="Tablecontent"/>
              <w:spacing w:lineRule="auto" w:line="240" w:before="0" w:after="0"/>
              <w:jc w:val="center"/>
              <w:rPr>
                <w:b/>
                <w:b/>
                <w:lang w:val="es-MX"/>
              </w:rPr>
            </w:pPr>
            <w:r>
              <w:rPr>
                <w:rFonts w:eastAsia="Times New Roman" w:cs="Times New Roman"/>
                <w:b/>
                <w:szCs w:val="20"/>
                <w:lang w:val="es-MX"/>
              </w:rPr>
              <w:t>Off</w:t>
            </w:r>
          </w:p>
        </w:tc>
        <w:tc>
          <w:tcPr>
            <w:tcW w:w="810" w:type="dxa"/>
            <w:tcBorders/>
            <w:shd w:fill="auto" w:val="clear"/>
            <w:vAlign w:val="center"/>
          </w:tcPr>
          <w:p>
            <w:pPr>
              <w:pStyle w:val="Tablecontent"/>
              <w:spacing w:lineRule="auto" w:line="240" w:before="0" w:after="0"/>
              <w:jc w:val="center"/>
              <w:rPr>
                <w:b/>
                <w:b/>
                <w:lang w:val="es-MX"/>
              </w:rPr>
            </w:pPr>
            <w:r>
              <w:rPr>
                <w:rFonts w:eastAsia="Times New Roman" w:cs="Times New Roman"/>
                <w:b/>
                <w:szCs w:val="20"/>
                <w:lang w:val="es-MX"/>
              </w:rPr>
              <w:t>On</w:t>
            </w:r>
          </w:p>
        </w:tc>
        <w:tc>
          <w:tcPr>
            <w:tcW w:w="1072" w:type="dxa"/>
            <w:tcBorders/>
            <w:shd w:fill="auto" w:val="clear"/>
            <w:vAlign w:val="center"/>
          </w:tcPr>
          <w:p>
            <w:pPr>
              <w:pStyle w:val="Tablecontent"/>
              <w:spacing w:lineRule="auto" w:line="240" w:before="0" w:after="0"/>
              <w:jc w:val="center"/>
              <w:rPr>
                <w:b/>
                <w:b/>
                <w:lang w:val="es-MX"/>
              </w:rPr>
            </w:pPr>
            <w:r>
              <w:rPr>
                <w:rFonts w:eastAsia="Times New Roman" w:cs="Times New Roman"/>
                <w:b/>
                <w:szCs w:val="20"/>
                <w:lang w:val="es-MX"/>
              </w:rPr>
              <w:t>Off</w:t>
            </w:r>
          </w:p>
        </w:tc>
      </w:tr>
      <w:tr>
        <w:trPr>
          <w:trHeight w:val="300" w:hRule="atLeast"/>
        </w:trPr>
        <w:tc>
          <w:tcPr>
            <w:tcW w:w="1110" w:type="dxa"/>
            <w:tcBorders/>
            <w:shd w:fill="auto" w:val="clear"/>
            <w:vAlign w:val="center"/>
          </w:tcPr>
          <w:p>
            <w:pPr>
              <w:pStyle w:val="Tablecontent"/>
              <w:spacing w:lineRule="auto" w:line="240" w:before="0" w:after="0"/>
              <w:rPr>
                <w:lang w:val="es-MX"/>
              </w:rPr>
            </w:pPr>
            <w:r>
              <w:rPr>
                <w:rFonts w:eastAsia="Times New Roman" w:cs="Times New Roman"/>
                <w:szCs w:val="20"/>
                <w:lang w:val="es-MX"/>
              </w:rPr>
              <w:t>90%</w:t>
            </w:r>
          </w:p>
        </w:tc>
        <w:tc>
          <w:tcPr>
            <w:tcW w:w="1153" w:type="dxa"/>
            <w:tcBorders/>
            <w:shd w:fill="auto" w:val="clear"/>
            <w:vAlign w:val="center"/>
          </w:tcPr>
          <w:p>
            <w:pPr>
              <w:pStyle w:val="Tablecontent"/>
              <w:spacing w:lineRule="auto" w:line="240" w:before="0" w:after="0"/>
              <w:rPr>
                <w:lang w:val="es-MX"/>
              </w:rPr>
            </w:pPr>
            <w:r>
              <w:rPr>
                <w:rFonts w:eastAsia="Times New Roman" w:cs="Times New Roman"/>
                <w:szCs w:val="20"/>
                <w:lang w:val="es-MX"/>
              </w:rPr>
              <w:t>721</w:t>
            </w:r>
          </w:p>
        </w:tc>
        <w:tc>
          <w:tcPr>
            <w:tcW w:w="804" w:type="dxa"/>
            <w:tcBorders/>
            <w:shd w:fill="auto" w:val="clear"/>
          </w:tcPr>
          <w:p>
            <w:pPr>
              <w:pStyle w:val="Tablecontent"/>
              <w:spacing w:lineRule="auto" w:line="240" w:before="0" w:after="0"/>
              <w:rPr>
                <w:lang w:val="es-MX"/>
              </w:rPr>
            </w:pPr>
            <w:r>
              <w:rPr>
                <w:rFonts w:eastAsia="Times New Roman" w:cs="Times New Roman"/>
                <w:szCs w:val="20"/>
              </w:rPr>
              <w:t>192</w:t>
            </w:r>
          </w:p>
        </w:tc>
        <w:tc>
          <w:tcPr>
            <w:tcW w:w="900" w:type="dxa"/>
            <w:tcBorders/>
            <w:shd w:fill="auto" w:val="clear"/>
          </w:tcPr>
          <w:p>
            <w:pPr>
              <w:pStyle w:val="Tablecontent"/>
              <w:spacing w:lineRule="auto" w:line="240" w:before="0" w:after="0"/>
              <w:rPr>
                <w:lang w:val="es-MX"/>
              </w:rPr>
            </w:pPr>
            <w:r>
              <w:rPr>
                <w:rFonts w:eastAsia="Times New Roman" w:cs="Times New Roman"/>
                <w:szCs w:val="20"/>
              </w:rPr>
              <w:t>266</w:t>
            </w:r>
          </w:p>
        </w:tc>
        <w:tc>
          <w:tcPr>
            <w:tcW w:w="810" w:type="dxa"/>
            <w:tcBorders/>
            <w:shd w:fill="auto" w:val="clear"/>
          </w:tcPr>
          <w:p>
            <w:pPr>
              <w:pStyle w:val="Tablecontent"/>
              <w:spacing w:lineRule="auto" w:line="240" w:before="0" w:after="0"/>
              <w:rPr>
                <w:lang w:val="es-MX"/>
              </w:rPr>
            </w:pPr>
            <w:r>
              <w:rPr>
                <w:rFonts w:eastAsia="Times New Roman" w:cs="Times New Roman"/>
                <w:szCs w:val="20"/>
              </w:rPr>
              <w:t>145</w:t>
            </w:r>
          </w:p>
        </w:tc>
        <w:tc>
          <w:tcPr>
            <w:tcW w:w="1072" w:type="dxa"/>
            <w:tcBorders/>
            <w:shd w:fill="auto" w:val="clear"/>
          </w:tcPr>
          <w:p>
            <w:pPr>
              <w:pStyle w:val="Tablecontent"/>
              <w:spacing w:lineRule="auto" w:line="240" w:before="0" w:after="0"/>
              <w:rPr>
                <w:lang w:val="es-MX"/>
              </w:rPr>
            </w:pPr>
            <w:r>
              <w:rPr>
                <w:rFonts w:eastAsia="Times New Roman" w:cs="Times New Roman"/>
                <w:szCs w:val="20"/>
              </w:rPr>
              <w:t>118</w:t>
            </w:r>
          </w:p>
        </w:tc>
      </w:tr>
      <w:tr>
        <w:trPr>
          <w:trHeight w:val="300" w:hRule="atLeast"/>
        </w:trPr>
        <w:tc>
          <w:tcPr>
            <w:tcW w:w="1110" w:type="dxa"/>
            <w:tcBorders/>
            <w:shd w:fill="auto" w:val="clear"/>
            <w:vAlign w:val="center"/>
          </w:tcPr>
          <w:p>
            <w:pPr>
              <w:pStyle w:val="Tablecontent"/>
              <w:spacing w:lineRule="auto" w:line="240" w:before="0" w:after="0"/>
              <w:rPr>
                <w:lang w:val="es-MX"/>
              </w:rPr>
            </w:pPr>
            <w:r>
              <w:rPr>
                <w:rFonts w:eastAsia="Times New Roman" w:cs="Times New Roman"/>
                <w:szCs w:val="20"/>
                <w:lang w:val="es-MX"/>
              </w:rPr>
              <w:t>95%</w:t>
            </w:r>
          </w:p>
        </w:tc>
        <w:tc>
          <w:tcPr>
            <w:tcW w:w="1153" w:type="dxa"/>
            <w:tcBorders/>
            <w:shd w:fill="auto" w:val="clear"/>
            <w:vAlign w:val="center"/>
          </w:tcPr>
          <w:p>
            <w:pPr>
              <w:pStyle w:val="Tablecontent"/>
              <w:spacing w:lineRule="auto" w:line="240" w:before="0" w:after="0"/>
              <w:rPr>
                <w:lang w:val="es-MX"/>
              </w:rPr>
            </w:pPr>
            <w:r>
              <w:rPr>
                <w:rFonts w:eastAsia="Times New Roman" w:cs="Times New Roman"/>
                <w:szCs w:val="20"/>
                <w:lang w:val="es-MX"/>
              </w:rPr>
              <w:t>579</w:t>
            </w:r>
          </w:p>
        </w:tc>
        <w:tc>
          <w:tcPr>
            <w:tcW w:w="804" w:type="dxa"/>
            <w:tcBorders/>
            <w:shd w:fill="auto" w:val="clear"/>
          </w:tcPr>
          <w:p>
            <w:pPr>
              <w:pStyle w:val="Tablecontent"/>
              <w:spacing w:lineRule="auto" w:line="240" w:before="0" w:after="0"/>
              <w:rPr>
                <w:lang w:val="es-MX"/>
              </w:rPr>
            </w:pPr>
            <w:r>
              <w:rPr>
                <w:rFonts w:eastAsia="Times New Roman" w:cs="Times New Roman"/>
                <w:szCs w:val="20"/>
              </w:rPr>
              <w:t>163</w:t>
            </w:r>
          </w:p>
        </w:tc>
        <w:tc>
          <w:tcPr>
            <w:tcW w:w="900" w:type="dxa"/>
            <w:tcBorders/>
            <w:shd w:fill="auto" w:val="clear"/>
          </w:tcPr>
          <w:p>
            <w:pPr>
              <w:pStyle w:val="Tablecontent"/>
              <w:spacing w:lineRule="auto" w:line="240" w:before="0" w:after="0"/>
              <w:rPr>
                <w:lang w:val="es-MX"/>
              </w:rPr>
            </w:pPr>
            <w:r>
              <w:rPr>
                <w:rFonts w:eastAsia="Times New Roman" w:cs="Times New Roman"/>
                <w:szCs w:val="20"/>
              </w:rPr>
              <w:t>218</w:t>
            </w:r>
          </w:p>
        </w:tc>
        <w:tc>
          <w:tcPr>
            <w:tcW w:w="810" w:type="dxa"/>
            <w:tcBorders/>
            <w:shd w:fill="auto" w:val="clear"/>
          </w:tcPr>
          <w:p>
            <w:pPr>
              <w:pStyle w:val="Tablecontent"/>
              <w:spacing w:lineRule="auto" w:line="240" w:before="0" w:after="0"/>
              <w:rPr>
                <w:lang w:val="es-MX"/>
              </w:rPr>
            </w:pPr>
            <w:r>
              <w:rPr>
                <w:rFonts w:eastAsia="Times New Roman" w:cs="Times New Roman"/>
                <w:szCs w:val="20"/>
              </w:rPr>
              <w:t>108</w:t>
            </w:r>
          </w:p>
        </w:tc>
        <w:tc>
          <w:tcPr>
            <w:tcW w:w="1072" w:type="dxa"/>
            <w:tcBorders/>
            <w:shd w:fill="auto" w:val="clear"/>
          </w:tcPr>
          <w:p>
            <w:pPr>
              <w:pStyle w:val="Tablecontent"/>
              <w:spacing w:lineRule="auto" w:line="240" w:before="0" w:after="0"/>
              <w:rPr>
                <w:lang w:val="es-MX"/>
              </w:rPr>
            </w:pPr>
            <w:r>
              <w:rPr>
                <w:rFonts w:eastAsia="Times New Roman" w:cs="Times New Roman"/>
                <w:szCs w:val="20"/>
              </w:rPr>
              <w:t>90</w:t>
            </w:r>
          </w:p>
        </w:tc>
      </w:tr>
      <w:tr>
        <w:trPr>
          <w:trHeight w:val="300" w:hRule="atLeast"/>
        </w:trPr>
        <w:tc>
          <w:tcPr>
            <w:tcW w:w="1110" w:type="dxa"/>
            <w:tcBorders/>
            <w:shd w:fill="auto" w:val="clear"/>
            <w:vAlign w:val="center"/>
          </w:tcPr>
          <w:p>
            <w:pPr>
              <w:pStyle w:val="Tablecontent"/>
              <w:spacing w:lineRule="auto" w:line="240" w:before="0" w:after="0"/>
              <w:rPr>
                <w:lang w:val="es-MX"/>
              </w:rPr>
            </w:pPr>
            <w:r>
              <w:rPr>
                <w:rFonts w:eastAsia="Times New Roman" w:cs="Times New Roman"/>
                <w:szCs w:val="20"/>
                <w:lang w:val="es-MX"/>
              </w:rPr>
              <w:t>99%</w:t>
            </w:r>
          </w:p>
        </w:tc>
        <w:tc>
          <w:tcPr>
            <w:tcW w:w="1153" w:type="dxa"/>
            <w:tcBorders/>
            <w:shd w:fill="auto" w:val="clear"/>
            <w:vAlign w:val="center"/>
          </w:tcPr>
          <w:p>
            <w:pPr>
              <w:pStyle w:val="Tablecontent"/>
              <w:spacing w:lineRule="auto" w:line="240" w:before="0" w:after="0"/>
              <w:rPr>
                <w:lang w:val="es-MX"/>
              </w:rPr>
            </w:pPr>
            <w:r>
              <w:rPr>
                <w:rFonts w:eastAsia="Times New Roman" w:cs="Times New Roman"/>
                <w:szCs w:val="20"/>
                <w:lang w:val="es-MX"/>
              </w:rPr>
              <w:t>196</w:t>
            </w:r>
          </w:p>
        </w:tc>
        <w:tc>
          <w:tcPr>
            <w:tcW w:w="804" w:type="dxa"/>
            <w:tcBorders/>
            <w:shd w:fill="auto" w:val="clear"/>
          </w:tcPr>
          <w:p>
            <w:pPr>
              <w:pStyle w:val="Tablecontent"/>
              <w:spacing w:lineRule="auto" w:line="240" w:before="0" w:after="0"/>
              <w:rPr>
                <w:lang w:val="es-MX"/>
              </w:rPr>
            </w:pPr>
            <w:r>
              <w:rPr>
                <w:rFonts w:eastAsia="Times New Roman" w:cs="Times New Roman"/>
                <w:szCs w:val="20"/>
              </w:rPr>
              <w:t>55</w:t>
            </w:r>
          </w:p>
        </w:tc>
        <w:tc>
          <w:tcPr>
            <w:tcW w:w="900" w:type="dxa"/>
            <w:tcBorders/>
            <w:shd w:fill="auto" w:val="clear"/>
          </w:tcPr>
          <w:p>
            <w:pPr>
              <w:pStyle w:val="Tablecontent"/>
              <w:spacing w:lineRule="auto" w:line="240" w:before="0" w:after="0"/>
              <w:rPr>
                <w:lang w:val="es-MX"/>
              </w:rPr>
            </w:pPr>
            <w:r>
              <w:rPr>
                <w:rFonts w:eastAsia="Times New Roman" w:cs="Times New Roman"/>
                <w:szCs w:val="20"/>
              </w:rPr>
              <w:t>78</w:t>
            </w:r>
          </w:p>
        </w:tc>
        <w:tc>
          <w:tcPr>
            <w:tcW w:w="810" w:type="dxa"/>
            <w:tcBorders/>
            <w:shd w:fill="auto" w:val="clear"/>
          </w:tcPr>
          <w:p>
            <w:pPr>
              <w:pStyle w:val="Tablecontent"/>
              <w:spacing w:lineRule="auto" w:line="240" w:before="0" w:after="0"/>
              <w:rPr>
                <w:lang w:val="es-MX"/>
              </w:rPr>
            </w:pPr>
            <w:r>
              <w:rPr>
                <w:rFonts w:eastAsia="Times New Roman" w:cs="Times New Roman"/>
                <w:szCs w:val="20"/>
              </w:rPr>
              <w:t>35</w:t>
            </w:r>
          </w:p>
        </w:tc>
        <w:tc>
          <w:tcPr>
            <w:tcW w:w="1072" w:type="dxa"/>
            <w:tcBorders/>
            <w:shd w:fill="auto" w:val="clear"/>
          </w:tcPr>
          <w:p>
            <w:pPr>
              <w:pStyle w:val="Tablecontent"/>
              <w:spacing w:lineRule="auto" w:line="240" w:before="0" w:after="0"/>
              <w:rPr>
                <w:lang w:val="es-MX"/>
              </w:rPr>
            </w:pPr>
            <w:r>
              <w:rPr>
                <w:rFonts w:eastAsia="Times New Roman" w:cs="Times New Roman"/>
                <w:szCs w:val="20"/>
              </w:rPr>
              <w:t>28</w:t>
            </w:r>
          </w:p>
        </w:tc>
      </w:tr>
    </w:tbl>
    <w:p>
      <w:pPr>
        <w:pStyle w:val="Tablecontent"/>
        <w:rPr/>
      </w:pPr>
      <w:r>
        <w:rPr/>
      </w:r>
    </w:p>
    <w:p>
      <w:pPr>
        <w:pStyle w:val="Normal"/>
        <w:rPr/>
      </w:pPr>
      <w:r>
        <w:rPr/>
      </w:r>
      <w:r>
        <w:br w:type="page"/>
      </w:r>
    </w:p>
    <w:p>
      <w:pPr>
        <w:pStyle w:val="Tablecaption"/>
        <w:numPr>
          <w:ilvl w:val="0"/>
          <w:numId w:val="0"/>
        </w:numPr>
        <w:rPr/>
      </w:pPr>
      <w:bookmarkStart w:id="2" w:name="_Toc61687515"/>
      <w:r>
        <w:rPr/>
        <w:t>Supplementary Table 3. Analysis of variance for proximity of paths with and without horizontal change points to experimental lights in spring, by quantile.</w:t>
      </w:r>
      <w:bookmarkEnd w:id="2"/>
    </w:p>
    <w:tbl>
      <w:tblPr>
        <w:tblStyle w:val="TableGrid"/>
        <w:tblW w:w="8575" w:type="dxa"/>
        <w:jc w:val="left"/>
        <w:tblInd w:w="0" w:type="dxa"/>
        <w:tblCellMar>
          <w:top w:w="0" w:type="dxa"/>
          <w:left w:w="108" w:type="dxa"/>
          <w:bottom w:w="0" w:type="dxa"/>
          <w:right w:w="108" w:type="dxa"/>
        </w:tblCellMar>
        <w:tblLook w:noVBand="1" w:val="04a0" w:noHBand="0" w:lastColumn="0" w:firstColumn="1" w:lastRow="0" w:firstRow="1"/>
      </w:tblPr>
      <w:tblGrid>
        <w:gridCol w:w="1143"/>
        <w:gridCol w:w="2306"/>
        <w:gridCol w:w="576"/>
        <w:gridCol w:w="1601"/>
        <w:gridCol w:w="1522"/>
        <w:gridCol w:w="671"/>
        <w:gridCol w:w="755"/>
      </w:tblGrid>
      <w:tr>
        <w:trPr>
          <w:trHeight w:val="300" w:hRule="atLeast"/>
        </w:trPr>
        <w:tc>
          <w:tcPr>
            <w:tcW w:w="1143" w:type="dxa"/>
            <w:tcBorders/>
            <w:shd w:fill="auto" w:val="clear"/>
          </w:tcPr>
          <w:p>
            <w:pPr>
              <w:pStyle w:val="Tablecontent"/>
              <w:spacing w:lineRule="auto" w:line="240" w:before="0" w:after="0"/>
              <w:rPr>
                <w:b/>
                <w:b/>
              </w:rPr>
            </w:pPr>
            <w:r>
              <w:rPr>
                <w:rFonts w:eastAsia="Times New Roman" w:cs="Times New Roman"/>
                <w:b/>
                <w:szCs w:val="20"/>
              </w:rPr>
              <w:t>Quantile</w:t>
            </w:r>
          </w:p>
        </w:tc>
        <w:tc>
          <w:tcPr>
            <w:tcW w:w="2306" w:type="dxa"/>
            <w:tcBorders/>
            <w:shd w:fill="auto" w:val="clear"/>
          </w:tcPr>
          <w:p>
            <w:pPr>
              <w:pStyle w:val="Tablecontent"/>
              <w:spacing w:lineRule="auto" w:line="240" w:before="0" w:after="0"/>
              <w:rPr>
                <w:b/>
                <w:b/>
              </w:rPr>
            </w:pPr>
            <w:r>
              <w:rPr>
                <w:rFonts w:eastAsia="Times New Roman" w:cs="Times New Roman"/>
                <w:b/>
                <w:szCs w:val="20"/>
              </w:rPr>
              <w:t>Source</w:t>
            </w:r>
          </w:p>
        </w:tc>
        <w:tc>
          <w:tcPr>
            <w:tcW w:w="576" w:type="dxa"/>
            <w:tcBorders/>
            <w:shd w:fill="auto" w:val="clear"/>
          </w:tcPr>
          <w:p>
            <w:pPr>
              <w:pStyle w:val="Tablecontent"/>
              <w:spacing w:lineRule="auto" w:line="240" w:before="0" w:after="0"/>
              <w:rPr>
                <w:b/>
                <w:b/>
              </w:rPr>
            </w:pPr>
            <w:r>
              <w:rPr>
                <w:rFonts w:eastAsia="Times New Roman" w:cs="Times New Roman"/>
                <w:b/>
                <w:szCs w:val="20"/>
              </w:rPr>
              <w:t>DF</w:t>
            </w:r>
          </w:p>
        </w:tc>
        <w:tc>
          <w:tcPr>
            <w:tcW w:w="1601" w:type="dxa"/>
            <w:tcBorders/>
            <w:shd w:fill="auto" w:val="clear"/>
          </w:tcPr>
          <w:p>
            <w:pPr>
              <w:pStyle w:val="Tablecontent"/>
              <w:spacing w:lineRule="auto" w:line="240" w:before="0" w:after="0"/>
              <w:rPr>
                <w:b/>
                <w:b/>
              </w:rPr>
            </w:pPr>
            <w:r>
              <w:rPr>
                <w:rFonts w:eastAsia="Times New Roman" w:cs="Times New Roman"/>
                <w:b/>
                <w:szCs w:val="20"/>
              </w:rPr>
              <w:t>Sum of squares</w:t>
            </w:r>
          </w:p>
        </w:tc>
        <w:tc>
          <w:tcPr>
            <w:tcW w:w="1522" w:type="dxa"/>
            <w:tcBorders/>
            <w:shd w:fill="auto" w:val="clear"/>
          </w:tcPr>
          <w:p>
            <w:pPr>
              <w:pStyle w:val="Tablecontent"/>
              <w:spacing w:lineRule="auto" w:line="240" w:before="0" w:after="0"/>
              <w:rPr>
                <w:b/>
                <w:b/>
              </w:rPr>
            </w:pPr>
            <w:r>
              <w:rPr>
                <w:rFonts w:eastAsia="Times New Roman" w:cs="Times New Roman"/>
                <w:b/>
                <w:szCs w:val="20"/>
              </w:rPr>
              <w:t>Mean Squares</w:t>
            </w:r>
          </w:p>
        </w:tc>
        <w:tc>
          <w:tcPr>
            <w:tcW w:w="671" w:type="dxa"/>
            <w:tcBorders/>
            <w:shd w:fill="auto" w:val="clear"/>
          </w:tcPr>
          <w:p>
            <w:pPr>
              <w:pStyle w:val="Tablecontent"/>
              <w:spacing w:lineRule="auto" w:line="240" w:before="0" w:after="0"/>
              <w:rPr>
                <w:b/>
                <w:b/>
              </w:rPr>
            </w:pPr>
            <w:r>
              <w:rPr>
                <w:rFonts w:eastAsia="Times New Roman" w:cs="Times New Roman"/>
                <w:b/>
                <w:szCs w:val="20"/>
              </w:rPr>
              <w:t>F</w:t>
            </w:r>
          </w:p>
        </w:tc>
        <w:tc>
          <w:tcPr>
            <w:tcW w:w="755" w:type="dxa"/>
            <w:tcBorders/>
            <w:shd w:fill="auto" w:val="clear"/>
          </w:tcPr>
          <w:p>
            <w:pPr>
              <w:pStyle w:val="Tablecontent"/>
              <w:spacing w:lineRule="auto" w:line="240" w:before="0" w:after="0"/>
              <w:rPr>
                <w:b/>
                <w:b/>
              </w:rPr>
            </w:pPr>
            <w:r>
              <w:rPr>
                <w:rFonts w:eastAsia="Times New Roman" w:cs="Times New Roman"/>
                <w:b/>
                <w:szCs w:val="20"/>
              </w:rPr>
              <w:t>p</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90%</w:t>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4.16</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4.16</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3.08</w:t>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0.080</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7.61</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7.61</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5.64</w:t>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0.018</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 X Lights</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0.40</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0.40</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0.30</w:t>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0.584</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 xml:space="preserve">Error                                </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503</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679.25</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1.35</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95%</w:t>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0.829</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8.47</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8.47</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6.24</w:t>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0.013</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 X Lights</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0.980</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Error</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503</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682.90</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1.36</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99%</w:t>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3.67</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3.67</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2.72</w:t>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0.100</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9.03</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9.03</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6.69</w:t>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0.010</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 X Lights</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0.890</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Error</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503</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678.70</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1.35</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bl>
    <w:p>
      <w:pPr>
        <w:pStyle w:val="Tablecontent"/>
        <w:rPr/>
      </w:pPr>
      <w:r>
        <w:rPr/>
      </w:r>
    </w:p>
    <w:p>
      <w:pPr>
        <w:pStyle w:val="Normal"/>
        <w:rPr/>
      </w:pPr>
      <w:r>
        <w:rPr/>
      </w:r>
      <w:r>
        <w:br w:type="page"/>
      </w:r>
    </w:p>
    <w:p>
      <w:pPr>
        <w:pStyle w:val="Tablecaption"/>
        <w:numPr>
          <w:ilvl w:val="0"/>
          <w:numId w:val="0"/>
        </w:numPr>
        <w:rPr/>
      </w:pPr>
      <w:bookmarkStart w:id="3" w:name="_Toc61687516"/>
      <w:r>
        <w:rPr/>
        <w:t>Supplementary Table 4. Analysis of variance for proximity of paths with and without horizontal change points to experimental lights in autumn, by quantile.</w:t>
      </w:r>
      <w:bookmarkEnd w:id="3"/>
    </w:p>
    <w:tbl>
      <w:tblPr>
        <w:tblStyle w:val="TableGrid"/>
        <w:tblW w:w="8575" w:type="dxa"/>
        <w:jc w:val="left"/>
        <w:tblInd w:w="0" w:type="dxa"/>
        <w:tblCellMar>
          <w:top w:w="0" w:type="dxa"/>
          <w:left w:w="108" w:type="dxa"/>
          <w:bottom w:w="0" w:type="dxa"/>
          <w:right w:w="108" w:type="dxa"/>
        </w:tblCellMar>
        <w:tblLook w:noVBand="1" w:val="04a0" w:noHBand="0" w:lastColumn="0" w:firstColumn="1" w:lastRow="0" w:firstRow="1"/>
      </w:tblPr>
      <w:tblGrid>
        <w:gridCol w:w="1143"/>
        <w:gridCol w:w="2306"/>
        <w:gridCol w:w="576"/>
        <w:gridCol w:w="1601"/>
        <w:gridCol w:w="1522"/>
        <w:gridCol w:w="671"/>
        <w:gridCol w:w="755"/>
      </w:tblGrid>
      <w:tr>
        <w:trPr>
          <w:trHeight w:val="300" w:hRule="atLeast"/>
        </w:trPr>
        <w:tc>
          <w:tcPr>
            <w:tcW w:w="1143" w:type="dxa"/>
            <w:tcBorders/>
            <w:shd w:fill="auto" w:val="clear"/>
          </w:tcPr>
          <w:p>
            <w:pPr>
              <w:pStyle w:val="Tablecontent"/>
              <w:spacing w:lineRule="auto" w:line="240" w:before="0" w:after="0"/>
              <w:rPr>
                <w:b/>
                <w:b/>
              </w:rPr>
            </w:pPr>
            <w:r>
              <w:rPr>
                <w:rFonts w:eastAsia="Times New Roman" w:cs="Times New Roman"/>
                <w:b/>
                <w:szCs w:val="20"/>
              </w:rPr>
              <w:t>Quantile</w:t>
            </w:r>
          </w:p>
        </w:tc>
        <w:tc>
          <w:tcPr>
            <w:tcW w:w="2306" w:type="dxa"/>
            <w:tcBorders/>
            <w:shd w:fill="auto" w:val="clear"/>
          </w:tcPr>
          <w:p>
            <w:pPr>
              <w:pStyle w:val="Tablecontent"/>
              <w:spacing w:lineRule="auto" w:line="240" w:before="0" w:after="0"/>
              <w:rPr>
                <w:b/>
                <w:b/>
              </w:rPr>
            </w:pPr>
            <w:r>
              <w:rPr>
                <w:rFonts w:eastAsia="Times New Roman" w:cs="Times New Roman"/>
                <w:b/>
                <w:szCs w:val="20"/>
              </w:rPr>
              <w:t>Source</w:t>
            </w:r>
          </w:p>
        </w:tc>
        <w:tc>
          <w:tcPr>
            <w:tcW w:w="576" w:type="dxa"/>
            <w:tcBorders/>
            <w:shd w:fill="auto" w:val="clear"/>
          </w:tcPr>
          <w:p>
            <w:pPr>
              <w:pStyle w:val="Tablecontent"/>
              <w:spacing w:lineRule="auto" w:line="240" w:before="0" w:after="0"/>
              <w:rPr>
                <w:b/>
                <w:b/>
              </w:rPr>
            </w:pPr>
            <w:r>
              <w:rPr>
                <w:rFonts w:eastAsia="Times New Roman" w:cs="Times New Roman"/>
                <w:b/>
                <w:szCs w:val="20"/>
              </w:rPr>
              <w:t>DF</w:t>
            </w:r>
          </w:p>
        </w:tc>
        <w:tc>
          <w:tcPr>
            <w:tcW w:w="1601" w:type="dxa"/>
            <w:tcBorders/>
            <w:shd w:fill="auto" w:val="clear"/>
          </w:tcPr>
          <w:p>
            <w:pPr>
              <w:pStyle w:val="Tablecontent"/>
              <w:spacing w:lineRule="auto" w:line="240" w:before="0" w:after="0"/>
              <w:rPr>
                <w:b/>
                <w:b/>
              </w:rPr>
            </w:pPr>
            <w:r>
              <w:rPr>
                <w:rFonts w:eastAsia="Times New Roman" w:cs="Times New Roman"/>
                <w:b/>
                <w:szCs w:val="20"/>
              </w:rPr>
              <w:t>Sum of squares</w:t>
            </w:r>
          </w:p>
        </w:tc>
        <w:tc>
          <w:tcPr>
            <w:tcW w:w="1522" w:type="dxa"/>
            <w:tcBorders/>
            <w:shd w:fill="auto" w:val="clear"/>
          </w:tcPr>
          <w:p>
            <w:pPr>
              <w:pStyle w:val="Tablecontent"/>
              <w:spacing w:lineRule="auto" w:line="240" w:before="0" w:after="0"/>
              <w:rPr>
                <w:b/>
                <w:b/>
              </w:rPr>
            </w:pPr>
            <w:r>
              <w:rPr>
                <w:rFonts w:eastAsia="Times New Roman" w:cs="Times New Roman"/>
                <w:b/>
                <w:szCs w:val="20"/>
              </w:rPr>
              <w:t>Mean Squares</w:t>
            </w:r>
          </w:p>
        </w:tc>
        <w:tc>
          <w:tcPr>
            <w:tcW w:w="671" w:type="dxa"/>
            <w:tcBorders/>
            <w:shd w:fill="auto" w:val="clear"/>
          </w:tcPr>
          <w:p>
            <w:pPr>
              <w:pStyle w:val="Tablecontent"/>
              <w:spacing w:lineRule="auto" w:line="240" w:before="0" w:after="0"/>
              <w:rPr>
                <w:b/>
                <w:b/>
              </w:rPr>
            </w:pPr>
            <w:r>
              <w:rPr>
                <w:rFonts w:eastAsia="Times New Roman" w:cs="Times New Roman"/>
                <w:b/>
                <w:szCs w:val="20"/>
              </w:rPr>
              <w:t>F</w:t>
            </w:r>
          </w:p>
        </w:tc>
        <w:tc>
          <w:tcPr>
            <w:tcW w:w="755" w:type="dxa"/>
            <w:tcBorders/>
            <w:shd w:fill="auto" w:val="clear"/>
          </w:tcPr>
          <w:p>
            <w:pPr>
              <w:pStyle w:val="Tablecontent"/>
              <w:spacing w:lineRule="auto" w:line="240" w:before="0" w:after="0"/>
              <w:rPr>
                <w:b/>
                <w:b/>
              </w:rPr>
            </w:pPr>
            <w:r>
              <w:rPr>
                <w:rFonts w:eastAsia="Times New Roman" w:cs="Times New Roman"/>
                <w:b/>
                <w:szCs w:val="20"/>
              </w:rPr>
              <w:t>p</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90%</w:t>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0.930</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0.93</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0.93</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0.61</w:t>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0.436</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 X Lights</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0.65</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0.65</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0.42</w:t>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0.515</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 xml:space="preserve">Error                                </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578</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887.08</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1.53</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95%</w:t>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1.91</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1.91</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1.25</w:t>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0.264</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0.93</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0.93</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0.61</w:t>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0.436</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 X Lights</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0.870</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Error</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578</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885.79</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1.53</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99%</w:t>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8.44</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8.44</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5.55</w:t>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0.018</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0.82</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0.82</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0.54</w:t>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0.462</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 X Lights</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1.14</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1.14</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0.75</w:t>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0.386</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Error</w:t>
            </w:r>
          </w:p>
        </w:tc>
        <w:tc>
          <w:tcPr>
            <w:tcW w:w="5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578</w:t>
            </w:r>
          </w:p>
        </w:tc>
        <w:tc>
          <w:tcPr>
            <w:tcW w:w="16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878.28</w:t>
            </w:r>
          </w:p>
        </w:tc>
        <w:tc>
          <w:tcPr>
            <w:tcW w:w="15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1.52</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bl>
    <w:p>
      <w:pPr>
        <w:pStyle w:val="Tablecontent"/>
        <w:rPr/>
      </w:pPr>
      <w:r>
        <w:rPr/>
      </w:r>
    </w:p>
    <w:p>
      <w:pPr>
        <w:pStyle w:val="Normal"/>
        <w:rPr/>
      </w:pPr>
      <w:r>
        <w:rPr/>
      </w:r>
      <w:r>
        <w:br w:type="page"/>
      </w:r>
    </w:p>
    <w:p>
      <w:pPr>
        <w:pStyle w:val="Tablecaption"/>
        <w:numPr>
          <w:ilvl w:val="0"/>
          <w:numId w:val="0"/>
        </w:numPr>
        <w:rPr/>
      </w:pPr>
      <w:bookmarkStart w:id="4" w:name="_Toc61687517"/>
      <w:r>
        <w:rPr/>
        <w:t>Supplementary Table 5. Analysis of variance for proximity of paths with and without vertical change points to experimental lights in spring, by quantile.</w:t>
      </w:r>
      <w:bookmarkEnd w:id="4"/>
    </w:p>
    <w:tbl>
      <w:tblPr>
        <w:tblStyle w:val="TableGrid"/>
        <w:tblW w:w="8575" w:type="dxa"/>
        <w:jc w:val="left"/>
        <w:tblInd w:w="0" w:type="dxa"/>
        <w:tblCellMar>
          <w:top w:w="0" w:type="dxa"/>
          <w:left w:w="108" w:type="dxa"/>
          <w:bottom w:w="0" w:type="dxa"/>
          <w:right w:w="108" w:type="dxa"/>
        </w:tblCellMar>
        <w:tblLook w:noVBand="1" w:val="04a0" w:noHBand="0" w:lastColumn="0" w:firstColumn="1" w:lastRow="0" w:firstRow="1"/>
      </w:tblPr>
      <w:tblGrid>
        <w:gridCol w:w="1143"/>
        <w:gridCol w:w="2306"/>
        <w:gridCol w:w="576"/>
        <w:gridCol w:w="1601"/>
        <w:gridCol w:w="1522"/>
        <w:gridCol w:w="671"/>
        <w:gridCol w:w="755"/>
      </w:tblGrid>
      <w:tr>
        <w:trPr>
          <w:trHeight w:val="300" w:hRule="atLeast"/>
        </w:trPr>
        <w:tc>
          <w:tcPr>
            <w:tcW w:w="1143" w:type="dxa"/>
            <w:tcBorders/>
            <w:shd w:fill="auto" w:val="clear"/>
          </w:tcPr>
          <w:p>
            <w:pPr>
              <w:pStyle w:val="Tablecontent"/>
              <w:spacing w:lineRule="auto" w:line="240" w:before="0" w:after="0"/>
              <w:rPr>
                <w:b/>
                <w:b/>
              </w:rPr>
            </w:pPr>
            <w:r>
              <w:rPr>
                <w:rFonts w:eastAsia="Times New Roman" w:cs="Times New Roman"/>
                <w:b/>
                <w:szCs w:val="20"/>
              </w:rPr>
              <w:t>Quantile</w:t>
            </w:r>
          </w:p>
        </w:tc>
        <w:tc>
          <w:tcPr>
            <w:tcW w:w="2306" w:type="dxa"/>
            <w:tcBorders/>
            <w:shd w:fill="auto" w:val="clear"/>
          </w:tcPr>
          <w:p>
            <w:pPr>
              <w:pStyle w:val="Tablecontent"/>
              <w:spacing w:lineRule="auto" w:line="240" w:before="0" w:after="0"/>
              <w:rPr>
                <w:b/>
                <w:b/>
              </w:rPr>
            </w:pPr>
            <w:r>
              <w:rPr>
                <w:rFonts w:eastAsia="Times New Roman" w:cs="Times New Roman"/>
                <w:b/>
                <w:szCs w:val="20"/>
              </w:rPr>
              <w:t>Source</w:t>
            </w:r>
          </w:p>
        </w:tc>
        <w:tc>
          <w:tcPr>
            <w:tcW w:w="576" w:type="dxa"/>
            <w:tcBorders/>
            <w:shd w:fill="auto" w:val="clear"/>
          </w:tcPr>
          <w:p>
            <w:pPr>
              <w:pStyle w:val="Tablecontent"/>
              <w:spacing w:lineRule="auto" w:line="240" w:before="0" w:after="0"/>
              <w:rPr>
                <w:b/>
                <w:b/>
              </w:rPr>
            </w:pPr>
            <w:r>
              <w:rPr>
                <w:rFonts w:eastAsia="Times New Roman" w:cs="Times New Roman"/>
                <w:b/>
                <w:szCs w:val="20"/>
              </w:rPr>
              <w:t>DF</w:t>
            </w:r>
          </w:p>
        </w:tc>
        <w:tc>
          <w:tcPr>
            <w:tcW w:w="1601" w:type="dxa"/>
            <w:tcBorders/>
            <w:shd w:fill="auto" w:val="clear"/>
          </w:tcPr>
          <w:p>
            <w:pPr>
              <w:pStyle w:val="Tablecontent"/>
              <w:spacing w:lineRule="auto" w:line="240" w:before="0" w:after="0"/>
              <w:rPr>
                <w:b/>
                <w:b/>
              </w:rPr>
            </w:pPr>
            <w:r>
              <w:rPr>
                <w:rFonts w:eastAsia="Times New Roman" w:cs="Times New Roman"/>
                <w:b/>
                <w:szCs w:val="20"/>
              </w:rPr>
              <w:t>Sum of squares</w:t>
            </w:r>
          </w:p>
        </w:tc>
        <w:tc>
          <w:tcPr>
            <w:tcW w:w="1522" w:type="dxa"/>
            <w:tcBorders/>
            <w:shd w:fill="auto" w:val="clear"/>
          </w:tcPr>
          <w:p>
            <w:pPr>
              <w:pStyle w:val="Tablecontent"/>
              <w:spacing w:lineRule="auto" w:line="240" w:before="0" w:after="0"/>
              <w:rPr>
                <w:b/>
                <w:b/>
              </w:rPr>
            </w:pPr>
            <w:r>
              <w:rPr>
                <w:rFonts w:eastAsia="Times New Roman" w:cs="Times New Roman"/>
                <w:b/>
                <w:szCs w:val="20"/>
              </w:rPr>
              <w:t>Mean Squares</w:t>
            </w:r>
          </w:p>
        </w:tc>
        <w:tc>
          <w:tcPr>
            <w:tcW w:w="671" w:type="dxa"/>
            <w:tcBorders/>
            <w:shd w:fill="auto" w:val="clear"/>
          </w:tcPr>
          <w:p>
            <w:pPr>
              <w:pStyle w:val="Tablecontent"/>
              <w:spacing w:lineRule="auto" w:line="240" w:before="0" w:after="0"/>
              <w:rPr>
                <w:b/>
                <w:b/>
              </w:rPr>
            </w:pPr>
            <w:r>
              <w:rPr>
                <w:rFonts w:eastAsia="Times New Roman" w:cs="Times New Roman"/>
                <w:b/>
                <w:szCs w:val="20"/>
              </w:rPr>
              <w:t>F</w:t>
            </w:r>
          </w:p>
        </w:tc>
        <w:tc>
          <w:tcPr>
            <w:tcW w:w="755" w:type="dxa"/>
            <w:tcBorders/>
            <w:shd w:fill="auto" w:val="clear"/>
          </w:tcPr>
          <w:p>
            <w:pPr>
              <w:pStyle w:val="Tablecontent"/>
              <w:spacing w:lineRule="auto" w:line="240" w:before="0" w:after="0"/>
              <w:rPr>
                <w:b/>
                <w:b/>
              </w:rPr>
            </w:pPr>
            <w:r>
              <w:rPr>
                <w:rFonts w:eastAsia="Times New Roman" w:cs="Times New Roman"/>
                <w:b/>
                <w:szCs w:val="20"/>
              </w:rPr>
              <w:t>p</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90%</w:t>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4.82</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4.82</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3.42</w:t>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0.065</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8.71</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8.71</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6.18</w:t>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0.013</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 X Lights</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0.953</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 xml:space="preserve">Error                                </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346</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487.91</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1.41</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95%</w:t>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0.49</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0.49</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0.35</w:t>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0.556</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9.46</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9.46</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6.66</w:t>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0.010</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 X Lights</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0.724</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Error</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346</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491.32</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1.42</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99%</w:t>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1.24</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1.24</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0.88</w:t>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0.348</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9.75</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9.75</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6.94</w:t>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0.009</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 X Lights</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4.34</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4.34</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3.09</w:t>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0.080</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Error</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346</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486.12</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1.40</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bl>
    <w:p>
      <w:pPr>
        <w:pStyle w:val="Tablecontent"/>
        <w:rPr/>
      </w:pPr>
      <w:r>
        <w:rPr/>
      </w:r>
    </w:p>
    <w:p>
      <w:pPr>
        <w:pStyle w:val="Normal"/>
        <w:rPr/>
      </w:pPr>
      <w:r>
        <w:rPr/>
      </w:r>
      <w:r>
        <w:br w:type="page"/>
      </w:r>
    </w:p>
    <w:p>
      <w:pPr>
        <w:pStyle w:val="Tablecaption"/>
        <w:numPr>
          <w:ilvl w:val="0"/>
          <w:numId w:val="0"/>
        </w:numPr>
        <w:rPr/>
      </w:pPr>
      <w:bookmarkStart w:id="5" w:name="_Toc61687518"/>
      <w:r>
        <w:rPr/>
        <w:t>Supplementary Table 6. Analysis of variance for proximity of paths with and without vertical change points to experimental lights in autumn, by quantile.</w:t>
      </w:r>
      <w:bookmarkEnd w:id="5"/>
    </w:p>
    <w:tbl>
      <w:tblPr>
        <w:tblStyle w:val="TableGrid"/>
        <w:tblW w:w="8575" w:type="dxa"/>
        <w:jc w:val="left"/>
        <w:tblInd w:w="0" w:type="dxa"/>
        <w:tblCellMar>
          <w:top w:w="0" w:type="dxa"/>
          <w:left w:w="108" w:type="dxa"/>
          <w:bottom w:w="0" w:type="dxa"/>
          <w:right w:w="108" w:type="dxa"/>
        </w:tblCellMar>
        <w:tblLook w:noVBand="1" w:val="04a0" w:noHBand="0" w:lastColumn="0" w:firstColumn="1" w:lastRow="0" w:firstRow="1"/>
      </w:tblPr>
      <w:tblGrid>
        <w:gridCol w:w="1143"/>
        <w:gridCol w:w="2306"/>
        <w:gridCol w:w="576"/>
        <w:gridCol w:w="1601"/>
        <w:gridCol w:w="1522"/>
        <w:gridCol w:w="671"/>
        <w:gridCol w:w="755"/>
      </w:tblGrid>
      <w:tr>
        <w:trPr>
          <w:trHeight w:val="300" w:hRule="atLeast"/>
        </w:trPr>
        <w:tc>
          <w:tcPr>
            <w:tcW w:w="1143" w:type="dxa"/>
            <w:tcBorders/>
            <w:shd w:fill="auto" w:val="clear"/>
          </w:tcPr>
          <w:p>
            <w:pPr>
              <w:pStyle w:val="Tablecontent"/>
              <w:spacing w:lineRule="auto" w:line="240" w:before="0" w:after="0"/>
              <w:rPr>
                <w:b/>
                <w:b/>
              </w:rPr>
            </w:pPr>
            <w:r>
              <w:rPr>
                <w:rFonts w:eastAsia="Times New Roman" w:cs="Times New Roman"/>
                <w:b/>
                <w:szCs w:val="20"/>
              </w:rPr>
              <w:t>Quantile</w:t>
            </w:r>
          </w:p>
        </w:tc>
        <w:tc>
          <w:tcPr>
            <w:tcW w:w="2306" w:type="dxa"/>
            <w:tcBorders/>
            <w:shd w:fill="auto" w:val="clear"/>
          </w:tcPr>
          <w:p>
            <w:pPr>
              <w:pStyle w:val="Tablecontent"/>
              <w:spacing w:lineRule="auto" w:line="240" w:before="0" w:after="0"/>
              <w:rPr>
                <w:b/>
                <w:b/>
              </w:rPr>
            </w:pPr>
            <w:r>
              <w:rPr>
                <w:rFonts w:eastAsia="Times New Roman" w:cs="Times New Roman"/>
                <w:b/>
                <w:szCs w:val="20"/>
              </w:rPr>
              <w:t>Source</w:t>
            </w:r>
          </w:p>
        </w:tc>
        <w:tc>
          <w:tcPr>
            <w:tcW w:w="576" w:type="dxa"/>
            <w:tcBorders/>
            <w:shd w:fill="auto" w:val="clear"/>
          </w:tcPr>
          <w:p>
            <w:pPr>
              <w:pStyle w:val="Tablecontent"/>
              <w:spacing w:lineRule="auto" w:line="240" w:before="0" w:after="0"/>
              <w:rPr>
                <w:b/>
                <w:b/>
              </w:rPr>
            </w:pPr>
            <w:r>
              <w:rPr>
                <w:rFonts w:eastAsia="Times New Roman" w:cs="Times New Roman"/>
                <w:b/>
                <w:szCs w:val="20"/>
              </w:rPr>
              <w:t>DF</w:t>
            </w:r>
          </w:p>
        </w:tc>
        <w:tc>
          <w:tcPr>
            <w:tcW w:w="1601" w:type="dxa"/>
            <w:tcBorders/>
            <w:shd w:fill="auto" w:val="clear"/>
          </w:tcPr>
          <w:p>
            <w:pPr>
              <w:pStyle w:val="Tablecontent"/>
              <w:spacing w:lineRule="auto" w:line="240" w:before="0" w:after="0"/>
              <w:rPr>
                <w:b/>
                <w:b/>
              </w:rPr>
            </w:pPr>
            <w:r>
              <w:rPr>
                <w:rFonts w:eastAsia="Times New Roman" w:cs="Times New Roman"/>
                <w:b/>
                <w:szCs w:val="20"/>
              </w:rPr>
              <w:t>Sum of squares</w:t>
            </w:r>
          </w:p>
        </w:tc>
        <w:tc>
          <w:tcPr>
            <w:tcW w:w="1522" w:type="dxa"/>
            <w:tcBorders/>
            <w:shd w:fill="auto" w:val="clear"/>
          </w:tcPr>
          <w:p>
            <w:pPr>
              <w:pStyle w:val="Tablecontent"/>
              <w:spacing w:lineRule="auto" w:line="240" w:before="0" w:after="0"/>
              <w:rPr>
                <w:b/>
                <w:b/>
              </w:rPr>
            </w:pPr>
            <w:r>
              <w:rPr>
                <w:rFonts w:eastAsia="Times New Roman" w:cs="Times New Roman"/>
                <w:b/>
                <w:szCs w:val="20"/>
              </w:rPr>
              <w:t>Mean Squares</w:t>
            </w:r>
          </w:p>
        </w:tc>
        <w:tc>
          <w:tcPr>
            <w:tcW w:w="671" w:type="dxa"/>
            <w:tcBorders/>
            <w:shd w:fill="auto" w:val="clear"/>
          </w:tcPr>
          <w:p>
            <w:pPr>
              <w:pStyle w:val="Tablecontent"/>
              <w:spacing w:lineRule="auto" w:line="240" w:before="0" w:after="0"/>
              <w:rPr>
                <w:b/>
                <w:b/>
              </w:rPr>
            </w:pPr>
            <w:r>
              <w:rPr>
                <w:rFonts w:eastAsia="Times New Roman" w:cs="Times New Roman"/>
                <w:b/>
                <w:szCs w:val="20"/>
              </w:rPr>
              <w:t>F</w:t>
            </w:r>
          </w:p>
        </w:tc>
        <w:tc>
          <w:tcPr>
            <w:tcW w:w="755" w:type="dxa"/>
            <w:tcBorders/>
            <w:shd w:fill="auto" w:val="clear"/>
          </w:tcPr>
          <w:p>
            <w:pPr>
              <w:pStyle w:val="Tablecontent"/>
              <w:spacing w:lineRule="auto" w:line="240" w:before="0" w:after="0"/>
              <w:rPr>
                <w:b/>
                <w:b/>
              </w:rPr>
            </w:pPr>
            <w:r>
              <w:rPr>
                <w:rFonts w:eastAsia="Times New Roman" w:cs="Times New Roman"/>
                <w:b/>
                <w:szCs w:val="20"/>
              </w:rPr>
              <w:t>p</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90%</w:t>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0.691</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0.59</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0.59</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0.39</w:t>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0.535</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 X Lights</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4.02</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4.02</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2.61</w:t>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0.106</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 xml:space="preserve">Error                                </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507</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778.80</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1.54</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95%</w:t>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0.905</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0.57</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0.57</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0.37</w:t>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0.542</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 X Lights</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1.36</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1.36</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0.88</w:t>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0.347</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Error</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507</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781.70</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1.54</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99%</w:t>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4.16</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4.16</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2.71</w:t>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0.100</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0.59</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0.59</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0.39</w:t>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0.534</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Change points X Lights</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1.33</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1.33</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0.87</w:t>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0.353</w:t>
            </w:r>
          </w:p>
        </w:tc>
      </w:tr>
      <w:tr>
        <w:trPr>
          <w:trHeight w:val="300" w:hRule="atLeast"/>
        </w:trPr>
        <w:tc>
          <w:tcPr>
            <w:tcW w:w="114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23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Error</w:t>
            </w:r>
          </w:p>
        </w:tc>
        <w:tc>
          <w:tcPr>
            <w:tcW w:w="5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507</w:t>
            </w:r>
          </w:p>
        </w:tc>
        <w:tc>
          <w:tcPr>
            <w:tcW w:w="160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777.58</w:t>
            </w:r>
          </w:p>
        </w:tc>
        <w:tc>
          <w:tcPr>
            <w:tcW w:w="152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1.53</w:t>
            </w:r>
          </w:p>
        </w:tc>
        <w:tc>
          <w:tcPr>
            <w:tcW w:w="67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bl>
    <w:p>
      <w:pPr>
        <w:pStyle w:val="Tablecontent"/>
        <w:rPr/>
      </w:pPr>
      <w:r>
        <w:rPr/>
      </w:r>
    </w:p>
    <w:p>
      <w:pPr>
        <w:pStyle w:val="Normal"/>
        <w:rPr/>
      </w:pPr>
      <w:r>
        <w:rPr/>
      </w:r>
      <w:r>
        <w:br w:type="page"/>
      </w:r>
    </w:p>
    <w:p>
      <w:pPr>
        <w:pStyle w:val="Tablecaption"/>
        <w:numPr>
          <w:ilvl w:val="0"/>
          <w:numId w:val="0"/>
        </w:numPr>
        <w:rPr/>
      </w:pPr>
      <w:bookmarkStart w:id="6" w:name="_Toc61687519"/>
      <w:r>
        <w:rPr/>
        <w:t>Supplementary Table 7. Analysis of variance for difference of distance of change- and non-change points to our experimental lights in the horizontal plane (change- minus non-change points) by season and lights treatment, by quantile.</w:t>
      </w:r>
      <w:bookmarkEnd w:id="6"/>
    </w:p>
    <w:tbl>
      <w:tblPr>
        <w:tblStyle w:val="TableGrid"/>
        <w:tblW w:w="8062" w:type="dxa"/>
        <w:jc w:val="left"/>
        <w:tblInd w:w="0" w:type="dxa"/>
        <w:tblCellMar>
          <w:top w:w="0" w:type="dxa"/>
          <w:left w:w="108" w:type="dxa"/>
          <w:bottom w:w="0" w:type="dxa"/>
          <w:right w:w="108" w:type="dxa"/>
        </w:tblCellMar>
        <w:tblLook w:noVBand="1" w:val="04a0" w:noHBand="0" w:lastColumn="0" w:firstColumn="1" w:lastRow="0" w:firstRow="1"/>
      </w:tblPr>
      <w:tblGrid>
        <w:gridCol w:w="1268"/>
        <w:gridCol w:w="1922"/>
        <w:gridCol w:w="575"/>
        <w:gridCol w:w="1476"/>
        <w:gridCol w:w="1261"/>
        <w:gridCol w:w="682"/>
        <w:gridCol w:w="877"/>
      </w:tblGrid>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Quantile</w:t>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Source</w:t>
            </w:r>
          </w:p>
        </w:tc>
        <w:tc>
          <w:tcPr>
            <w:tcW w:w="5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DF</w:t>
            </w:r>
          </w:p>
        </w:tc>
        <w:tc>
          <w:tcPr>
            <w:tcW w:w="14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Sum of squares</w:t>
            </w:r>
          </w:p>
        </w:tc>
        <w:tc>
          <w:tcPr>
            <w:tcW w:w="126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Mean Squares</w:t>
            </w:r>
          </w:p>
        </w:tc>
        <w:tc>
          <w:tcPr>
            <w:tcW w:w="68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F</w:t>
            </w:r>
          </w:p>
        </w:tc>
        <w:tc>
          <w:tcPr>
            <w:tcW w:w="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p</w:t>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90%</w:t>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Season</w:t>
            </w:r>
          </w:p>
        </w:tc>
        <w:tc>
          <w:tcPr>
            <w:tcW w:w="5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4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614680.8</w:t>
            </w:r>
          </w:p>
        </w:tc>
        <w:tc>
          <w:tcPr>
            <w:tcW w:w="126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614680.8</w:t>
            </w:r>
          </w:p>
        </w:tc>
        <w:tc>
          <w:tcPr>
            <w:tcW w:w="68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3.3</w:t>
            </w:r>
          </w:p>
        </w:tc>
        <w:tc>
          <w:tcPr>
            <w:tcW w:w="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0.069</w:t>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w:t>
            </w:r>
          </w:p>
        </w:tc>
        <w:tc>
          <w:tcPr>
            <w:tcW w:w="5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4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62076.2</w:t>
            </w:r>
          </w:p>
        </w:tc>
        <w:tc>
          <w:tcPr>
            <w:tcW w:w="126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62076.2</w:t>
            </w:r>
          </w:p>
        </w:tc>
        <w:tc>
          <w:tcPr>
            <w:tcW w:w="68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w:t>
            </w:r>
          </w:p>
        </w:tc>
        <w:tc>
          <w:tcPr>
            <w:tcW w:w="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0.563</w:t>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Season X Lights</w:t>
            </w:r>
          </w:p>
        </w:tc>
        <w:tc>
          <w:tcPr>
            <w:tcW w:w="5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4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1452.1</w:t>
            </w:r>
          </w:p>
        </w:tc>
        <w:tc>
          <w:tcPr>
            <w:tcW w:w="126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1452.1</w:t>
            </w:r>
          </w:p>
        </w:tc>
        <w:tc>
          <w:tcPr>
            <w:tcW w:w="68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w:t>
            </w:r>
          </w:p>
        </w:tc>
        <w:tc>
          <w:tcPr>
            <w:tcW w:w="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0.929</w:t>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Error</w:t>
            </w:r>
          </w:p>
        </w:tc>
        <w:tc>
          <w:tcPr>
            <w:tcW w:w="5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711</w:t>
            </w:r>
          </w:p>
        </w:tc>
        <w:tc>
          <w:tcPr>
            <w:tcW w:w="14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131634304.9</w:t>
            </w:r>
          </w:p>
        </w:tc>
        <w:tc>
          <w:tcPr>
            <w:tcW w:w="126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185139.7</w:t>
            </w:r>
          </w:p>
        </w:tc>
        <w:tc>
          <w:tcPr>
            <w:tcW w:w="68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5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4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26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8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95%</w:t>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Season</w:t>
            </w:r>
          </w:p>
        </w:tc>
        <w:tc>
          <w:tcPr>
            <w:tcW w:w="5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4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625807.4</w:t>
            </w:r>
          </w:p>
        </w:tc>
        <w:tc>
          <w:tcPr>
            <w:tcW w:w="126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625807.4</w:t>
            </w:r>
          </w:p>
        </w:tc>
        <w:tc>
          <w:tcPr>
            <w:tcW w:w="68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3.6</w:t>
            </w:r>
          </w:p>
        </w:tc>
        <w:tc>
          <w:tcPr>
            <w:tcW w:w="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0.057</w:t>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w:t>
            </w:r>
          </w:p>
        </w:tc>
        <w:tc>
          <w:tcPr>
            <w:tcW w:w="5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4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262724.2</w:t>
            </w:r>
          </w:p>
        </w:tc>
        <w:tc>
          <w:tcPr>
            <w:tcW w:w="126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262724.2</w:t>
            </w:r>
          </w:p>
        </w:tc>
        <w:tc>
          <w:tcPr>
            <w:tcW w:w="68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1.5</w:t>
            </w:r>
          </w:p>
        </w:tc>
        <w:tc>
          <w:tcPr>
            <w:tcW w:w="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0.217</w:t>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Season X Lights</w:t>
            </w:r>
          </w:p>
        </w:tc>
        <w:tc>
          <w:tcPr>
            <w:tcW w:w="5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4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8969.0</w:t>
            </w:r>
          </w:p>
        </w:tc>
        <w:tc>
          <w:tcPr>
            <w:tcW w:w="126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8969.0</w:t>
            </w:r>
          </w:p>
        </w:tc>
        <w:tc>
          <w:tcPr>
            <w:tcW w:w="68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w:t>
            </w:r>
          </w:p>
        </w:tc>
        <w:tc>
          <w:tcPr>
            <w:tcW w:w="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0.820</w:t>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Error</w:t>
            </w:r>
          </w:p>
        </w:tc>
        <w:tc>
          <w:tcPr>
            <w:tcW w:w="5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569</w:t>
            </w:r>
          </w:p>
        </w:tc>
        <w:tc>
          <w:tcPr>
            <w:tcW w:w="14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98059362.7</w:t>
            </w:r>
          </w:p>
        </w:tc>
        <w:tc>
          <w:tcPr>
            <w:tcW w:w="126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172336.3</w:t>
            </w:r>
          </w:p>
        </w:tc>
        <w:tc>
          <w:tcPr>
            <w:tcW w:w="68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5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4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26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8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99%</w:t>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Season</w:t>
            </w:r>
          </w:p>
        </w:tc>
        <w:tc>
          <w:tcPr>
            <w:tcW w:w="5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4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10900.4</w:t>
            </w:r>
          </w:p>
        </w:tc>
        <w:tc>
          <w:tcPr>
            <w:tcW w:w="126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10900.4</w:t>
            </w:r>
          </w:p>
        </w:tc>
        <w:tc>
          <w:tcPr>
            <w:tcW w:w="68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w:t>
            </w:r>
          </w:p>
        </w:tc>
        <w:tc>
          <w:tcPr>
            <w:tcW w:w="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0.815</w:t>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w:t>
            </w:r>
          </w:p>
        </w:tc>
        <w:tc>
          <w:tcPr>
            <w:tcW w:w="5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4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83497.2</w:t>
            </w:r>
          </w:p>
        </w:tc>
        <w:tc>
          <w:tcPr>
            <w:tcW w:w="126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83497.2</w:t>
            </w:r>
          </w:p>
        </w:tc>
        <w:tc>
          <w:tcPr>
            <w:tcW w:w="68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w:t>
            </w:r>
          </w:p>
        </w:tc>
        <w:tc>
          <w:tcPr>
            <w:tcW w:w="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0.518</w:t>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Season X Lights</w:t>
            </w:r>
          </w:p>
        </w:tc>
        <w:tc>
          <w:tcPr>
            <w:tcW w:w="5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4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74017.3</w:t>
            </w:r>
          </w:p>
        </w:tc>
        <w:tc>
          <w:tcPr>
            <w:tcW w:w="126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74017.3</w:t>
            </w:r>
          </w:p>
        </w:tc>
        <w:tc>
          <w:tcPr>
            <w:tcW w:w="68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w:t>
            </w:r>
          </w:p>
        </w:tc>
        <w:tc>
          <w:tcPr>
            <w:tcW w:w="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0.543</w:t>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Error</w:t>
            </w:r>
          </w:p>
        </w:tc>
        <w:tc>
          <w:tcPr>
            <w:tcW w:w="5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238</w:t>
            </w:r>
          </w:p>
        </w:tc>
        <w:tc>
          <w:tcPr>
            <w:tcW w:w="14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47432420.6</w:t>
            </w:r>
          </w:p>
        </w:tc>
        <w:tc>
          <w:tcPr>
            <w:tcW w:w="126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199295.9</w:t>
            </w:r>
          </w:p>
        </w:tc>
        <w:tc>
          <w:tcPr>
            <w:tcW w:w="68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bl>
    <w:p>
      <w:pPr>
        <w:pStyle w:val="Tablecontent"/>
        <w:rPr/>
      </w:pPr>
      <w:r>
        <w:rPr/>
      </w:r>
    </w:p>
    <w:p>
      <w:pPr>
        <w:pStyle w:val="Normal"/>
        <w:rPr/>
      </w:pPr>
      <w:r>
        <w:rPr/>
      </w:r>
      <w:r>
        <w:br w:type="page"/>
      </w:r>
    </w:p>
    <w:p>
      <w:pPr>
        <w:pStyle w:val="Tablecaption"/>
        <w:numPr>
          <w:ilvl w:val="0"/>
          <w:numId w:val="0"/>
        </w:numPr>
        <w:rPr/>
      </w:pPr>
      <w:bookmarkStart w:id="7" w:name="_Toc61687520"/>
      <w:r>
        <w:rPr/>
        <w:t>Supplementary Table 8. Analysis of variance for difference of distance of change- and non-change points to our experimental lights in the vertical plane (change- minus non-change points) by season and lights treatment, by quantile.</w:t>
      </w:r>
      <w:bookmarkEnd w:id="7"/>
    </w:p>
    <w:tbl>
      <w:tblPr>
        <w:tblStyle w:val="TableGrid"/>
        <w:tblW w:w="8062" w:type="dxa"/>
        <w:jc w:val="left"/>
        <w:tblInd w:w="0" w:type="dxa"/>
        <w:tblCellMar>
          <w:top w:w="0" w:type="dxa"/>
          <w:left w:w="108" w:type="dxa"/>
          <w:bottom w:w="0" w:type="dxa"/>
          <w:right w:w="108" w:type="dxa"/>
        </w:tblCellMar>
        <w:tblLook w:noVBand="1" w:val="04a0" w:noHBand="0" w:lastColumn="0" w:firstColumn="1" w:lastRow="0" w:firstRow="1"/>
      </w:tblPr>
      <w:tblGrid>
        <w:gridCol w:w="1268"/>
        <w:gridCol w:w="1922"/>
        <w:gridCol w:w="575"/>
        <w:gridCol w:w="1476"/>
        <w:gridCol w:w="1261"/>
        <w:gridCol w:w="682"/>
        <w:gridCol w:w="877"/>
      </w:tblGrid>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Quantile</w:t>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Source</w:t>
            </w:r>
          </w:p>
        </w:tc>
        <w:tc>
          <w:tcPr>
            <w:tcW w:w="57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DF</w:t>
            </w:r>
          </w:p>
        </w:tc>
        <w:tc>
          <w:tcPr>
            <w:tcW w:w="14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Sum of squares</w:t>
            </w:r>
          </w:p>
        </w:tc>
        <w:tc>
          <w:tcPr>
            <w:tcW w:w="126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Mean Squares</w:t>
            </w:r>
          </w:p>
        </w:tc>
        <w:tc>
          <w:tcPr>
            <w:tcW w:w="68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F</w:t>
            </w:r>
          </w:p>
        </w:tc>
        <w:tc>
          <w:tcPr>
            <w:tcW w:w="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p</w:t>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90%</w:t>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Season</w:t>
            </w:r>
          </w:p>
        </w:tc>
        <w:tc>
          <w:tcPr>
            <w:tcW w:w="57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4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69128.1</w:t>
            </w:r>
          </w:p>
        </w:tc>
        <w:tc>
          <w:tcPr>
            <w:tcW w:w="126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69128.1</w:t>
            </w:r>
          </w:p>
        </w:tc>
        <w:tc>
          <w:tcPr>
            <w:tcW w:w="68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w:t>
            </w:r>
          </w:p>
        </w:tc>
        <w:tc>
          <w:tcPr>
            <w:tcW w:w="87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0.537</w:t>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w:t>
            </w:r>
          </w:p>
        </w:tc>
        <w:tc>
          <w:tcPr>
            <w:tcW w:w="57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4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211238.8</w:t>
            </w:r>
          </w:p>
        </w:tc>
        <w:tc>
          <w:tcPr>
            <w:tcW w:w="126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211238.8</w:t>
            </w:r>
          </w:p>
        </w:tc>
        <w:tc>
          <w:tcPr>
            <w:tcW w:w="68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1.2</w:t>
            </w:r>
          </w:p>
        </w:tc>
        <w:tc>
          <w:tcPr>
            <w:tcW w:w="87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0.281</w:t>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Season X Lights</w:t>
            </w:r>
          </w:p>
        </w:tc>
        <w:tc>
          <w:tcPr>
            <w:tcW w:w="57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4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224418.4</w:t>
            </w:r>
          </w:p>
        </w:tc>
        <w:tc>
          <w:tcPr>
            <w:tcW w:w="126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224418.4</w:t>
            </w:r>
          </w:p>
        </w:tc>
        <w:tc>
          <w:tcPr>
            <w:tcW w:w="68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1.2</w:t>
            </w:r>
          </w:p>
        </w:tc>
        <w:tc>
          <w:tcPr>
            <w:tcW w:w="87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0.267</w:t>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Error</w:t>
            </w:r>
          </w:p>
        </w:tc>
        <w:tc>
          <w:tcPr>
            <w:tcW w:w="57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717</w:t>
            </w:r>
          </w:p>
        </w:tc>
        <w:tc>
          <w:tcPr>
            <w:tcW w:w="14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130135473.8</w:t>
            </w:r>
          </w:p>
        </w:tc>
        <w:tc>
          <w:tcPr>
            <w:tcW w:w="126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181500.0</w:t>
            </w:r>
          </w:p>
        </w:tc>
        <w:tc>
          <w:tcPr>
            <w:tcW w:w="68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7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57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4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26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8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7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95%</w:t>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Season</w:t>
            </w:r>
          </w:p>
        </w:tc>
        <w:tc>
          <w:tcPr>
            <w:tcW w:w="57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4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138759.9</w:t>
            </w:r>
          </w:p>
        </w:tc>
        <w:tc>
          <w:tcPr>
            <w:tcW w:w="126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138759.9</w:t>
            </w:r>
          </w:p>
        </w:tc>
        <w:tc>
          <w:tcPr>
            <w:tcW w:w="68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w:t>
            </w:r>
          </w:p>
        </w:tc>
        <w:tc>
          <w:tcPr>
            <w:tcW w:w="87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0.354</w:t>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w:t>
            </w:r>
          </w:p>
        </w:tc>
        <w:tc>
          <w:tcPr>
            <w:tcW w:w="57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4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144.7</w:t>
            </w:r>
          </w:p>
        </w:tc>
        <w:tc>
          <w:tcPr>
            <w:tcW w:w="126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144.7</w:t>
            </w:r>
          </w:p>
        </w:tc>
        <w:tc>
          <w:tcPr>
            <w:tcW w:w="68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w:t>
            </w:r>
          </w:p>
        </w:tc>
        <w:tc>
          <w:tcPr>
            <w:tcW w:w="87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0.976</w:t>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Season X Lights</w:t>
            </w:r>
          </w:p>
        </w:tc>
        <w:tc>
          <w:tcPr>
            <w:tcW w:w="57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4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35818.8</w:t>
            </w:r>
          </w:p>
        </w:tc>
        <w:tc>
          <w:tcPr>
            <w:tcW w:w="126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35818.8</w:t>
            </w:r>
          </w:p>
        </w:tc>
        <w:tc>
          <w:tcPr>
            <w:tcW w:w="68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w:t>
            </w:r>
          </w:p>
        </w:tc>
        <w:tc>
          <w:tcPr>
            <w:tcW w:w="87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0.637</w:t>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Error</w:t>
            </w:r>
          </w:p>
        </w:tc>
        <w:tc>
          <w:tcPr>
            <w:tcW w:w="57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575</w:t>
            </w:r>
          </w:p>
        </w:tc>
        <w:tc>
          <w:tcPr>
            <w:tcW w:w="14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92605571.5</w:t>
            </w:r>
          </w:p>
        </w:tc>
        <w:tc>
          <w:tcPr>
            <w:tcW w:w="126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161053.2</w:t>
            </w:r>
          </w:p>
        </w:tc>
        <w:tc>
          <w:tcPr>
            <w:tcW w:w="68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7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57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4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26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8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7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99%</w:t>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Season</w:t>
            </w:r>
          </w:p>
        </w:tc>
        <w:tc>
          <w:tcPr>
            <w:tcW w:w="57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4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2969.9</w:t>
            </w:r>
          </w:p>
        </w:tc>
        <w:tc>
          <w:tcPr>
            <w:tcW w:w="126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2969.9</w:t>
            </w:r>
          </w:p>
        </w:tc>
        <w:tc>
          <w:tcPr>
            <w:tcW w:w="68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w:t>
            </w:r>
          </w:p>
        </w:tc>
        <w:tc>
          <w:tcPr>
            <w:tcW w:w="87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0.888</w:t>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w:t>
            </w:r>
          </w:p>
        </w:tc>
        <w:tc>
          <w:tcPr>
            <w:tcW w:w="57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4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130470.4</w:t>
            </w:r>
          </w:p>
        </w:tc>
        <w:tc>
          <w:tcPr>
            <w:tcW w:w="126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130470.4</w:t>
            </w:r>
          </w:p>
        </w:tc>
        <w:tc>
          <w:tcPr>
            <w:tcW w:w="68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w:t>
            </w:r>
          </w:p>
        </w:tc>
        <w:tc>
          <w:tcPr>
            <w:tcW w:w="87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0.352</w:t>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Season X Lights</w:t>
            </w:r>
          </w:p>
        </w:tc>
        <w:tc>
          <w:tcPr>
            <w:tcW w:w="57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4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558333.9</w:t>
            </w:r>
          </w:p>
        </w:tc>
        <w:tc>
          <w:tcPr>
            <w:tcW w:w="126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558333.9</w:t>
            </w:r>
          </w:p>
        </w:tc>
        <w:tc>
          <w:tcPr>
            <w:tcW w:w="68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3.7</w:t>
            </w:r>
          </w:p>
        </w:tc>
        <w:tc>
          <w:tcPr>
            <w:tcW w:w="87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0.055</w:t>
            </w:r>
          </w:p>
        </w:tc>
      </w:tr>
      <w:tr>
        <w:trPr>
          <w:trHeight w:val="300" w:hRule="atLeast"/>
        </w:trPr>
        <w:tc>
          <w:tcPr>
            <w:tcW w:w="12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92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Error</w:t>
            </w:r>
          </w:p>
        </w:tc>
        <w:tc>
          <w:tcPr>
            <w:tcW w:w="57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192</w:t>
            </w:r>
          </w:p>
        </w:tc>
        <w:tc>
          <w:tcPr>
            <w:tcW w:w="14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28815223.0</w:t>
            </w:r>
          </w:p>
        </w:tc>
        <w:tc>
          <w:tcPr>
            <w:tcW w:w="1261"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150079.3</w:t>
            </w:r>
          </w:p>
        </w:tc>
        <w:tc>
          <w:tcPr>
            <w:tcW w:w="68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7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bl>
    <w:p>
      <w:pPr>
        <w:pStyle w:val="Tablecontent"/>
        <w:rPr/>
      </w:pPr>
      <w:r>
        <w:rPr/>
      </w:r>
    </w:p>
    <w:p>
      <w:pPr>
        <w:pStyle w:val="Normal"/>
        <w:rPr/>
      </w:pPr>
      <w:r>
        <w:rPr/>
      </w:r>
      <w:r>
        <w:br w:type="page"/>
      </w:r>
    </w:p>
    <w:p>
      <w:pPr>
        <w:pStyle w:val="Tablecaption"/>
        <w:numPr>
          <w:ilvl w:val="0"/>
          <w:numId w:val="0"/>
        </w:numPr>
        <w:rPr/>
      </w:pPr>
      <w:bookmarkStart w:id="8" w:name="_Toc61687521"/>
      <w:r>
        <w:rPr/>
        <w:t>Supplementary Table 9. Posterior mean values, standard errors (SE) and 80% credible intervals of binomial generalized linear model of change point occurrence in the horizontal plane of movement in relation to season and lights treatment, for three quantiles of directional change.</w:t>
      </w:r>
      <w:bookmarkEnd w:id="8"/>
      <w:r>
        <w:rPr/>
        <w:t xml:space="preserve"> n_eff: A measure of effective sample size. Rhat: Potential scale reduction factor (at convergence, Rhat = 1; Sturtz et al. 2005).</w:t>
      </w:r>
    </w:p>
    <w:tbl>
      <w:tblPr>
        <w:tblStyle w:val="TableGrid"/>
        <w:tblW w:w="8965" w:type="dxa"/>
        <w:jc w:val="left"/>
        <w:tblInd w:w="0" w:type="dxa"/>
        <w:tblCellMar>
          <w:top w:w="0" w:type="dxa"/>
          <w:left w:w="108" w:type="dxa"/>
          <w:bottom w:w="0" w:type="dxa"/>
          <w:right w:w="108" w:type="dxa"/>
        </w:tblCellMar>
        <w:tblLook w:noVBand="1" w:val="04a0" w:noHBand="0" w:lastColumn="0" w:firstColumn="1" w:lastRow="0" w:firstRow="1"/>
      </w:tblPr>
      <w:tblGrid>
        <w:gridCol w:w="2223"/>
        <w:gridCol w:w="937"/>
        <w:gridCol w:w="936"/>
        <w:gridCol w:w="936"/>
        <w:gridCol w:w="938"/>
        <w:gridCol w:w="939"/>
        <w:gridCol w:w="1116"/>
        <w:gridCol w:w="939"/>
      </w:tblGrid>
      <w:tr>
        <w:trPr>
          <w:trHeight w:val="300" w:hRule="atLeast"/>
        </w:trPr>
        <w:tc>
          <w:tcPr>
            <w:tcW w:w="2223" w:type="dxa"/>
            <w:tcBorders/>
            <w:shd w:fill="auto" w:val="clear"/>
          </w:tcPr>
          <w:p>
            <w:pPr>
              <w:pStyle w:val="Tablecontent"/>
              <w:spacing w:lineRule="auto" w:line="240" w:before="0" w:after="0"/>
              <w:rPr>
                <w:b/>
                <w:b/>
              </w:rPr>
            </w:pPr>
            <w:r>
              <w:rPr>
                <w:rFonts w:eastAsia="Times New Roman" w:cs="Times New Roman"/>
                <w:b/>
                <w:szCs w:val="20"/>
              </w:rPr>
              <w:t>Model parameters</w:t>
            </w:r>
          </w:p>
        </w:tc>
        <w:tc>
          <w:tcPr>
            <w:tcW w:w="937"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936"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936"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938"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939"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116"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939"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r>
      <w:tr>
        <w:trPr>
          <w:trHeight w:val="300" w:hRule="atLeast"/>
        </w:trPr>
        <w:tc>
          <w:tcPr>
            <w:tcW w:w="2223" w:type="dxa"/>
            <w:tcBorders/>
            <w:shd w:fill="auto" w:val="clear"/>
          </w:tcPr>
          <w:p>
            <w:pPr>
              <w:pStyle w:val="Tablecontent"/>
              <w:spacing w:lineRule="auto" w:line="240" w:before="0" w:after="0"/>
              <w:rPr>
                <w:b/>
                <w:b/>
              </w:rPr>
            </w:pPr>
            <w:r>
              <w:rPr>
                <w:rFonts w:eastAsia="Times New Roman" w:cs="Times New Roman"/>
                <w:b/>
                <w:szCs w:val="20"/>
              </w:rPr>
              <w:t>90% quantile</w:t>
            </w:r>
          </w:p>
        </w:tc>
        <w:tc>
          <w:tcPr>
            <w:tcW w:w="937" w:type="dxa"/>
            <w:tcBorders/>
            <w:shd w:fill="auto" w:val="clear"/>
          </w:tcPr>
          <w:p>
            <w:pPr>
              <w:pStyle w:val="Tablecontent"/>
              <w:spacing w:lineRule="auto" w:line="240" w:before="0" w:after="0"/>
              <w:rPr>
                <w:b/>
                <w:b/>
              </w:rPr>
            </w:pPr>
            <w:r>
              <w:rPr>
                <w:rFonts w:eastAsia="Times New Roman" w:cs="Times New Roman"/>
                <w:b/>
                <w:szCs w:val="20"/>
              </w:rPr>
              <w:t>Mean</w:t>
            </w:r>
          </w:p>
        </w:tc>
        <w:tc>
          <w:tcPr>
            <w:tcW w:w="936" w:type="dxa"/>
            <w:tcBorders/>
            <w:shd w:fill="auto" w:val="clear"/>
          </w:tcPr>
          <w:p>
            <w:pPr>
              <w:pStyle w:val="Tablecontent"/>
              <w:spacing w:lineRule="auto" w:line="240" w:before="0" w:after="0"/>
              <w:rPr>
                <w:b/>
                <w:b/>
              </w:rPr>
            </w:pPr>
            <w:r>
              <w:rPr>
                <w:rFonts w:eastAsia="Times New Roman" w:cs="Times New Roman"/>
                <w:b/>
                <w:szCs w:val="20"/>
              </w:rPr>
              <w:t>SD</w:t>
            </w:r>
          </w:p>
        </w:tc>
        <w:tc>
          <w:tcPr>
            <w:tcW w:w="936" w:type="dxa"/>
            <w:tcBorders/>
            <w:shd w:fill="auto" w:val="clear"/>
          </w:tcPr>
          <w:p>
            <w:pPr>
              <w:pStyle w:val="Tablecontent"/>
              <w:spacing w:lineRule="auto" w:line="240" w:before="0" w:after="0"/>
              <w:rPr>
                <w:b/>
                <w:b/>
              </w:rPr>
            </w:pPr>
            <w:r>
              <w:rPr>
                <w:rFonts w:eastAsia="Times New Roman" w:cs="Times New Roman"/>
                <w:b/>
                <w:szCs w:val="20"/>
              </w:rPr>
              <w:t>10%</w:t>
            </w:r>
          </w:p>
        </w:tc>
        <w:tc>
          <w:tcPr>
            <w:tcW w:w="938" w:type="dxa"/>
            <w:tcBorders/>
            <w:shd w:fill="auto" w:val="clear"/>
          </w:tcPr>
          <w:p>
            <w:pPr>
              <w:pStyle w:val="Tablecontent"/>
              <w:spacing w:lineRule="auto" w:line="240" w:before="0" w:after="0"/>
              <w:rPr>
                <w:b/>
                <w:b/>
              </w:rPr>
            </w:pPr>
            <w:r>
              <w:rPr>
                <w:rFonts w:eastAsia="Times New Roman" w:cs="Times New Roman"/>
                <w:b/>
                <w:szCs w:val="20"/>
              </w:rPr>
              <w:t>50%</w:t>
            </w:r>
          </w:p>
        </w:tc>
        <w:tc>
          <w:tcPr>
            <w:tcW w:w="939" w:type="dxa"/>
            <w:tcBorders/>
            <w:shd w:fill="auto" w:val="clear"/>
          </w:tcPr>
          <w:p>
            <w:pPr>
              <w:pStyle w:val="Tablecontent"/>
              <w:spacing w:lineRule="auto" w:line="240" w:before="0" w:after="0"/>
              <w:rPr>
                <w:b/>
                <w:b/>
              </w:rPr>
            </w:pPr>
            <w:r>
              <w:rPr>
                <w:rFonts w:eastAsia="Times New Roman" w:cs="Times New Roman"/>
                <w:b/>
                <w:szCs w:val="20"/>
              </w:rPr>
              <w:t>90%</w:t>
            </w:r>
          </w:p>
        </w:tc>
        <w:tc>
          <w:tcPr>
            <w:tcW w:w="1116" w:type="dxa"/>
            <w:tcBorders/>
            <w:shd w:fill="auto" w:val="clear"/>
          </w:tcPr>
          <w:p>
            <w:pPr>
              <w:pStyle w:val="Tablecontent"/>
              <w:spacing w:lineRule="auto" w:line="240" w:before="0" w:after="0"/>
              <w:rPr>
                <w:b/>
                <w:b/>
              </w:rPr>
            </w:pPr>
            <w:r>
              <w:rPr>
                <w:rFonts w:eastAsia="Times New Roman" w:cs="Times New Roman"/>
                <w:b/>
                <w:szCs w:val="20"/>
              </w:rPr>
              <w:t>n_eff</w:t>
            </w:r>
          </w:p>
        </w:tc>
        <w:tc>
          <w:tcPr>
            <w:tcW w:w="939" w:type="dxa"/>
            <w:tcBorders/>
            <w:shd w:fill="auto" w:val="clear"/>
          </w:tcPr>
          <w:p>
            <w:pPr>
              <w:pStyle w:val="Tablecontent"/>
              <w:spacing w:lineRule="auto" w:line="240" w:before="0" w:after="0"/>
              <w:rPr>
                <w:b/>
                <w:b/>
              </w:rPr>
            </w:pPr>
            <w:r>
              <w:rPr>
                <w:rFonts w:eastAsia="Times New Roman" w:cs="Times New Roman"/>
                <w:b/>
                <w:szCs w:val="20"/>
              </w:rPr>
              <w:t>Rhat</w:t>
            </w:r>
          </w:p>
        </w:tc>
      </w:tr>
      <w:tr>
        <w:trPr>
          <w:trHeight w:val="300" w:hRule="atLeast"/>
        </w:trPr>
        <w:tc>
          <w:tcPr>
            <w:tcW w:w="22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Intercept</w:t>
            </w:r>
          </w:p>
        </w:tc>
        <w:tc>
          <w:tcPr>
            <w:tcW w:w="9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2.31</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2.07</w:t>
            </w:r>
          </w:p>
        </w:tc>
        <w:tc>
          <w:tcPr>
            <w:tcW w:w="93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2.30</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2.55</w:t>
            </w:r>
          </w:p>
        </w:tc>
        <w:tc>
          <w:tcPr>
            <w:tcW w:w="11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3920.52</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2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Season (spring)</w:t>
            </w:r>
          </w:p>
        </w:tc>
        <w:tc>
          <w:tcPr>
            <w:tcW w:w="9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-2.91</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-3.22</w:t>
            </w:r>
          </w:p>
        </w:tc>
        <w:tc>
          <w:tcPr>
            <w:tcW w:w="93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-2.91</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-2.62</w:t>
            </w:r>
          </w:p>
        </w:tc>
        <w:tc>
          <w:tcPr>
            <w:tcW w:w="11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4031.90</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2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 (on)</w:t>
            </w:r>
          </w:p>
        </w:tc>
        <w:tc>
          <w:tcPr>
            <w:tcW w:w="9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-0.58</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0.26</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-0.91</w:t>
            </w:r>
          </w:p>
        </w:tc>
        <w:tc>
          <w:tcPr>
            <w:tcW w:w="93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-0.57</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w:t>
            </w:r>
          </w:p>
        </w:tc>
        <w:tc>
          <w:tcPr>
            <w:tcW w:w="11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4090.74</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2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Spring X Lights on</w:t>
            </w:r>
          </w:p>
        </w:tc>
        <w:tc>
          <w:tcPr>
            <w:tcW w:w="9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0.92</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0.32</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0.51</w:t>
            </w:r>
          </w:p>
        </w:tc>
        <w:tc>
          <w:tcPr>
            <w:tcW w:w="93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0.92</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1.33</w:t>
            </w:r>
          </w:p>
        </w:tc>
        <w:tc>
          <w:tcPr>
            <w:tcW w:w="11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3858.07</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2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3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2223" w:type="dxa"/>
            <w:tcBorders/>
            <w:shd w:fill="auto" w:val="clear"/>
          </w:tcPr>
          <w:p>
            <w:pPr>
              <w:pStyle w:val="Tablecontent"/>
              <w:spacing w:lineRule="auto" w:line="240" w:before="0" w:after="0"/>
              <w:rPr>
                <w:b/>
                <w:b/>
              </w:rPr>
            </w:pPr>
            <w:r>
              <w:rPr>
                <w:rFonts w:eastAsia="Times New Roman" w:cs="Times New Roman"/>
                <w:b/>
                <w:szCs w:val="20"/>
              </w:rPr>
              <w:t>95% quantile</w:t>
            </w:r>
          </w:p>
        </w:tc>
        <w:tc>
          <w:tcPr>
            <w:tcW w:w="937" w:type="dxa"/>
            <w:tcBorders/>
            <w:shd w:fill="auto" w:val="clear"/>
          </w:tcPr>
          <w:p>
            <w:pPr>
              <w:pStyle w:val="Tablecontent"/>
              <w:spacing w:lineRule="auto" w:line="240" w:before="0" w:after="0"/>
              <w:rPr>
                <w:b/>
                <w:b/>
              </w:rPr>
            </w:pPr>
            <w:r>
              <w:rPr>
                <w:rFonts w:eastAsia="Times New Roman" w:cs="Times New Roman"/>
                <w:b/>
                <w:szCs w:val="20"/>
              </w:rPr>
              <w:t>Mean</w:t>
            </w:r>
          </w:p>
        </w:tc>
        <w:tc>
          <w:tcPr>
            <w:tcW w:w="936" w:type="dxa"/>
            <w:tcBorders/>
            <w:shd w:fill="auto" w:val="clear"/>
          </w:tcPr>
          <w:p>
            <w:pPr>
              <w:pStyle w:val="Tablecontent"/>
              <w:spacing w:lineRule="auto" w:line="240" w:before="0" w:after="0"/>
              <w:rPr>
                <w:b/>
                <w:b/>
              </w:rPr>
            </w:pPr>
            <w:r>
              <w:rPr>
                <w:rFonts w:eastAsia="Times New Roman" w:cs="Times New Roman"/>
                <w:b/>
                <w:szCs w:val="20"/>
              </w:rPr>
              <w:t>SD</w:t>
            </w:r>
          </w:p>
        </w:tc>
        <w:tc>
          <w:tcPr>
            <w:tcW w:w="936" w:type="dxa"/>
            <w:tcBorders/>
            <w:shd w:fill="auto" w:val="clear"/>
          </w:tcPr>
          <w:p>
            <w:pPr>
              <w:pStyle w:val="Tablecontent"/>
              <w:spacing w:lineRule="auto" w:line="240" w:before="0" w:after="0"/>
              <w:rPr>
                <w:b/>
                <w:b/>
              </w:rPr>
            </w:pPr>
            <w:r>
              <w:rPr>
                <w:rFonts w:eastAsia="Times New Roman" w:cs="Times New Roman"/>
                <w:b/>
                <w:szCs w:val="20"/>
              </w:rPr>
              <w:t>10%</w:t>
            </w:r>
          </w:p>
        </w:tc>
        <w:tc>
          <w:tcPr>
            <w:tcW w:w="938" w:type="dxa"/>
            <w:tcBorders/>
            <w:shd w:fill="auto" w:val="clear"/>
          </w:tcPr>
          <w:p>
            <w:pPr>
              <w:pStyle w:val="Tablecontent"/>
              <w:spacing w:lineRule="auto" w:line="240" w:before="0" w:after="0"/>
              <w:rPr>
                <w:b/>
                <w:b/>
              </w:rPr>
            </w:pPr>
            <w:r>
              <w:rPr>
                <w:rFonts w:eastAsia="Times New Roman" w:cs="Times New Roman"/>
                <w:b/>
                <w:szCs w:val="20"/>
              </w:rPr>
              <w:t>50%</w:t>
            </w:r>
          </w:p>
        </w:tc>
        <w:tc>
          <w:tcPr>
            <w:tcW w:w="939" w:type="dxa"/>
            <w:tcBorders/>
            <w:shd w:fill="auto" w:val="clear"/>
          </w:tcPr>
          <w:p>
            <w:pPr>
              <w:pStyle w:val="Tablecontent"/>
              <w:spacing w:lineRule="auto" w:line="240" w:before="0" w:after="0"/>
              <w:rPr>
                <w:b/>
                <w:b/>
              </w:rPr>
            </w:pPr>
            <w:r>
              <w:rPr>
                <w:rFonts w:eastAsia="Times New Roman" w:cs="Times New Roman"/>
                <w:b/>
                <w:szCs w:val="20"/>
              </w:rPr>
              <w:t>90%</w:t>
            </w:r>
          </w:p>
        </w:tc>
        <w:tc>
          <w:tcPr>
            <w:tcW w:w="1116" w:type="dxa"/>
            <w:tcBorders/>
            <w:shd w:fill="auto" w:val="clear"/>
          </w:tcPr>
          <w:p>
            <w:pPr>
              <w:pStyle w:val="Tablecontent"/>
              <w:spacing w:lineRule="auto" w:line="240" w:before="0" w:after="0"/>
              <w:rPr>
                <w:b/>
                <w:b/>
              </w:rPr>
            </w:pPr>
            <w:r>
              <w:rPr>
                <w:rFonts w:eastAsia="Times New Roman" w:cs="Times New Roman"/>
                <w:b/>
                <w:szCs w:val="20"/>
              </w:rPr>
              <w:t>n_eff</w:t>
            </w:r>
          </w:p>
        </w:tc>
        <w:tc>
          <w:tcPr>
            <w:tcW w:w="939" w:type="dxa"/>
            <w:tcBorders/>
            <w:shd w:fill="auto" w:val="clear"/>
          </w:tcPr>
          <w:p>
            <w:pPr>
              <w:pStyle w:val="Tablecontent"/>
              <w:spacing w:lineRule="auto" w:line="240" w:before="0" w:after="0"/>
              <w:rPr>
                <w:b/>
                <w:b/>
              </w:rPr>
            </w:pPr>
            <w:r>
              <w:rPr>
                <w:rFonts w:eastAsia="Times New Roman" w:cs="Times New Roman"/>
                <w:b/>
                <w:szCs w:val="20"/>
              </w:rPr>
              <w:t>Rhat</w:t>
            </w:r>
          </w:p>
        </w:tc>
      </w:tr>
      <w:tr>
        <w:trPr>
          <w:trHeight w:val="300" w:hRule="atLeast"/>
        </w:trPr>
        <w:tc>
          <w:tcPr>
            <w:tcW w:w="22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Intercept</w:t>
            </w:r>
          </w:p>
        </w:tc>
        <w:tc>
          <w:tcPr>
            <w:tcW w:w="9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0.99</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0.83</w:t>
            </w:r>
          </w:p>
        </w:tc>
        <w:tc>
          <w:tcPr>
            <w:tcW w:w="93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0.99</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1.15</w:t>
            </w:r>
          </w:p>
        </w:tc>
        <w:tc>
          <w:tcPr>
            <w:tcW w:w="11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5762.56</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2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Season (spring)</w:t>
            </w:r>
          </w:p>
        </w:tc>
        <w:tc>
          <w:tcPr>
            <w:tcW w:w="9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-2.04</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-2.28</w:t>
            </w:r>
          </w:p>
        </w:tc>
        <w:tc>
          <w:tcPr>
            <w:tcW w:w="93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-2.04</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-1.79</w:t>
            </w:r>
          </w:p>
        </w:tc>
        <w:tc>
          <w:tcPr>
            <w:tcW w:w="11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5409.94</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2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 (on)</w:t>
            </w:r>
          </w:p>
        </w:tc>
        <w:tc>
          <w:tcPr>
            <w:tcW w:w="9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-0.28</w:t>
            </w:r>
          </w:p>
        </w:tc>
        <w:tc>
          <w:tcPr>
            <w:tcW w:w="93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11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5256.26</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2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Spring X Lights on</w:t>
            </w:r>
          </w:p>
        </w:tc>
        <w:tc>
          <w:tcPr>
            <w:tcW w:w="9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0.38</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0.27</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93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0.38</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0.73</w:t>
            </w:r>
          </w:p>
        </w:tc>
        <w:tc>
          <w:tcPr>
            <w:tcW w:w="11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4825.67</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2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3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2223" w:type="dxa"/>
            <w:tcBorders/>
            <w:shd w:fill="auto" w:val="clear"/>
          </w:tcPr>
          <w:p>
            <w:pPr>
              <w:pStyle w:val="Tablecontent"/>
              <w:spacing w:lineRule="auto" w:line="240" w:before="0" w:after="0"/>
              <w:rPr>
                <w:b/>
                <w:b/>
              </w:rPr>
            </w:pPr>
            <w:r>
              <w:rPr>
                <w:rFonts w:eastAsia="Times New Roman" w:cs="Times New Roman"/>
                <w:b/>
                <w:szCs w:val="20"/>
              </w:rPr>
              <w:t>99% quantile</w:t>
            </w:r>
          </w:p>
        </w:tc>
        <w:tc>
          <w:tcPr>
            <w:tcW w:w="937" w:type="dxa"/>
            <w:tcBorders/>
            <w:shd w:fill="auto" w:val="clear"/>
          </w:tcPr>
          <w:p>
            <w:pPr>
              <w:pStyle w:val="Tablecontent"/>
              <w:spacing w:lineRule="auto" w:line="240" w:before="0" w:after="0"/>
              <w:rPr>
                <w:b/>
                <w:b/>
              </w:rPr>
            </w:pPr>
            <w:r>
              <w:rPr>
                <w:rFonts w:eastAsia="Times New Roman" w:cs="Times New Roman"/>
                <w:b/>
                <w:szCs w:val="20"/>
              </w:rPr>
              <w:t>Mean</w:t>
            </w:r>
          </w:p>
        </w:tc>
        <w:tc>
          <w:tcPr>
            <w:tcW w:w="936" w:type="dxa"/>
            <w:tcBorders/>
            <w:shd w:fill="auto" w:val="clear"/>
          </w:tcPr>
          <w:p>
            <w:pPr>
              <w:pStyle w:val="Tablecontent"/>
              <w:spacing w:lineRule="auto" w:line="240" w:before="0" w:after="0"/>
              <w:rPr>
                <w:b/>
                <w:b/>
              </w:rPr>
            </w:pPr>
            <w:r>
              <w:rPr>
                <w:rFonts w:eastAsia="Times New Roman" w:cs="Times New Roman"/>
                <w:b/>
                <w:szCs w:val="20"/>
              </w:rPr>
              <w:t>SD</w:t>
            </w:r>
          </w:p>
        </w:tc>
        <w:tc>
          <w:tcPr>
            <w:tcW w:w="936" w:type="dxa"/>
            <w:tcBorders/>
            <w:shd w:fill="auto" w:val="clear"/>
          </w:tcPr>
          <w:p>
            <w:pPr>
              <w:pStyle w:val="Tablecontent"/>
              <w:spacing w:lineRule="auto" w:line="240" w:before="0" w:after="0"/>
              <w:rPr>
                <w:b/>
                <w:b/>
              </w:rPr>
            </w:pPr>
            <w:r>
              <w:rPr>
                <w:rFonts w:eastAsia="Times New Roman" w:cs="Times New Roman"/>
                <w:b/>
                <w:szCs w:val="20"/>
              </w:rPr>
              <w:t>10%</w:t>
            </w:r>
          </w:p>
        </w:tc>
        <w:tc>
          <w:tcPr>
            <w:tcW w:w="938" w:type="dxa"/>
            <w:tcBorders/>
            <w:shd w:fill="auto" w:val="clear"/>
          </w:tcPr>
          <w:p>
            <w:pPr>
              <w:pStyle w:val="Tablecontent"/>
              <w:spacing w:lineRule="auto" w:line="240" w:before="0" w:after="0"/>
              <w:rPr>
                <w:b/>
                <w:b/>
              </w:rPr>
            </w:pPr>
            <w:r>
              <w:rPr>
                <w:rFonts w:eastAsia="Times New Roman" w:cs="Times New Roman"/>
                <w:b/>
                <w:szCs w:val="20"/>
              </w:rPr>
              <w:t>50%</w:t>
            </w:r>
          </w:p>
        </w:tc>
        <w:tc>
          <w:tcPr>
            <w:tcW w:w="939" w:type="dxa"/>
            <w:tcBorders/>
            <w:shd w:fill="auto" w:val="clear"/>
          </w:tcPr>
          <w:p>
            <w:pPr>
              <w:pStyle w:val="Tablecontent"/>
              <w:spacing w:lineRule="auto" w:line="240" w:before="0" w:after="0"/>
              <w:rPr>
                <w:b/>
                <w:b/>
              </w:rPr>
            </w:pPr>
            <w:r>
              <w:rPr>
                <w:rFonts w:eastAsia="Times New Roman" w:cs="Times New Roman"/>
                <w:b/>
                <w:szCs w:val="20"/>
              </w:rPr>
              <w:t>90%</w:t>
            </w:r>
          </w:p>
        </w:tc>
        <w:tc>
          <w:tcPr>
            <w:tcW w:w="1116" w:type="dxa"/>
            <w:tcBorders/>
            <w:shd w:fill="auto" w:val="clear"/>
          </w:tcPr>
          <w:p>
            <w:pPr>
              <w:pStyle w:val="Tablecontent"/>
              <w:spacing w:lineRule="auto" w:line="240" w:before="0" w:after="0"/>
              <w:rPr>
                <w:b/>
                <w:b/>
              </w:rPr>
            </w:pPr>
            <w:r>
              <w:rPr>
                <w:rFonts w:eastAsia="Times New Roman" w:cs="Times New Roman"/>
                <w:b/>
                <w:szCs w:val="20"/>
              </w:rPr>
              <w:t>n_eff</w:t>
            </w:r>
          </w:p>
        </w:tc>
        <w:tc>
          <w:tcPr>
            <w:tcW w:w="939" w:type="dxa"/>
            <w:tcBorders/>
            <w:shd w:fill="auto" w:val="clear"/>
          </w:tcPr>
          <w:p>
            <w:pPr>
              <w:pStyle w:val="Tablecontent"/>
              <w:spacing w:lineRule="auto" w:line="240" w:before="0" w:after="0"/>
              <w:rPr>
                <w:b/>
                <w:b/>
              </w:rPr>
            </w:pPr>
            <w:r>
              <w:rPr>
                <w:rFonts w:eastAsia="Times New Roman" w:cs="Times New Roman"/>
                <w:b/>
                <w:szCs w:val="20"/>
              </w:rPr>
              <w:t>Rhat</w:t>
            </w:r>
          </w:p>
        </w:tc>
      </w:tr>
      <w:tr>
        <w:trPr>
          <w:trHeight w:val="300" w:hRule="atLeast"/>
        </w:trPr>
        <w:tc>
          <w:tcPr>
            <w:tcW w:w="22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Intercept</w:t>
            </w:r>
          </w:p>
        </w:tc>
        <w:tc>
          <w:tcPr>
            <w:tcW w:w="9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-0.92</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-1.07</w:t>
            </w:r>
          </w:p>
        </w:tc>
        <w:tc>
          <w:tcPr>
            <w:tcW w:w="93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-0.92</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-0.77</w:t>
            </w:r>
          </w:p>
        </w:tc>
        <w:tc>
          <w:tcPr>
            <w:tcW w:w="11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5133.63</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2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Season (spring)</w:t>
            </w:r>
          </w:p>
        </w:tc>
        <w:tc>
          <w:tcPr>
            <w:tcW w:w="9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-1.03</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-1.33</w:t>
            </w:r>
          </w:p>
        </w:tc>
        <w:tc>
          <w:tcPr>
            <w:tcW w:w="93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-1.03</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-0.74</w:t>
            </w:r>
          </w:p>
        </w:tc>
        <w:tc>
          <w:tcPr>
            <w:tcW w:w="11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4617.04</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2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 (on)</w:t>
            </w:r>
          </w:p>
        </w:tc>
        <w:tc>
          <w:tcPr>
            <w:tcW w:w="9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93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0.30</w:t>
            </w:r>
          </w:p>
        </w:tc>
        <w:tc>
          <w:tcPr>
            <w:tcW w:w="11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4840.96</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2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Spring X Lights on</w:t>
            </w:r>
          </w:p>
        </w:tc>
        <w:tc>
          <w:tcPr>
            <w:tcW w:w="9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0.32</w:t>
            </w:r>
          </w:p>
        </w:tc>
        <w:tc>
          <w:tcPr>
            <w:tcW w:w="93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93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0.59</w:t>
            </w:r>
          </w:p>
        </w:tc>
        <w:tc>
          <w:tcPr>
            <w:tcW w:w="11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4306.62</w:t>
            </w:r>
          </w:p>
        </w:tc>
        <w:tc>
          <w:tcPr>
            <w:tcW w:w="93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bl>
    <w:p>
      <w:pPr>
        <w:pStyle w:val="Tablecontent"/>
        <w:rPr/>
      </w:pPr>
      <w:r>
        <w:rPr/>
      </w:r>
    </w:p>
    <w:p>
      <w:pPr>
        <w:pStyle w:val="Normal"/>
        <w:rPr/>
      </w:pPr>
      <w:r>
        <w:rPr/>
      </w:r>
      <w:r>
        <w:br w:type="page"/>
      </w:r>
    </w:p>
    <w:p>
      <w:pPr>
        <w:pStyle w:val="Tablecaption"/>
        <w:numPr>
          <w:ilvl w:val="0"/>
          <w:numId w:val="0"/>
        </w:numPr>
        <w:rPr/>
      </w:pPr>
      <w:bookmarkStart w:id="9" w:name="_Toc61687522"/>
      <w:r>
        <w:rPr/>
        <w:t>Supplementary Table 10. Posterior mean values, standard errors (SE) and 80% credible intervals of binomial generalized linear model of change point occurrence in the vertical plane of movement in relation to season and lights treatment, for three quantiles of directional change.</w:t>
      </w:r>
      <w:bookmarkEnd w:id="9"/>
      <w:r>
        <w:rPr/>
        <w:t xml:space="preserve"> n_eff: A measure of effective sample size. Rhat: Potential scale reduction factor (at convergence, Rhat = 1; Sturtz et al. 2005).</w:t>
      </w:r>
    </w:p>
    <w:tbl>
      <w:tblPr>
        <w:tblStyle w:val="TableGrid"/>
        <w:tblW w:w="8529" w:type="dxa"/>
        <w:jc w:val="left"/>
        <w:tblInd w:w="0" w:type="dxa"/>
        <w:tblCellMar>
          <w:top w:w="0" w:type="dxa"/>
          <w:left w:w="108" w:type="dxa"/>
          <w:bottom w:w="0" w:type="dxa"/>
          <w:right w:w="108" w:type="dxa"/>
        </w:tblCellMar>
        <w:tblLook w:noVBand="1" w:val="04a0" w:noHBand="0" w:lastColumn="0" w:firstColumn="1" w:lastRow="0" w:firstRow="1"/>
      </w:tblPr>
      <w:tblGrid>
        <w:gridCol w:w="2183"/>
        <w:gridCol w:w="892"/>
        <w:gridCol w:w="891"/>
        <w:gridCol w:w="892"/>
        <w:gridCol w:w="893"/>
        <w:gridCol w:w="892"/>
        <w:gridCol w:w="996"/>
        <w:gridCol w:w="889"/>
      </w:tblGrid>
      <w:tr>
        <w:trPr>
          <w:trHeight w:val="300" w:hRule="atLeast"/>
        </w:trPr>
        <w:tc>
          <w:tcPr>
            <w:tcW w:w="2183" w:type="dxa"/>
            <w:tcBorders/>
            <w:shd w:fill="auto" w:val="clear"/>
          </w:tcPr>
          <w:p>
            <w:pPr>
              <w:pStyle w:val="Tablecontent"/>
              <w:spacing w:lineRule="auto" w:line="240" w:before="0" w:after="0"/>
              <w:rPr>
                <w:b/>
                <w:b/>
              </w:rPr>
            </w:pPr>
            <w:r>
              <w:rPr>
                <w:rFonts w:eastAsia="Times New Roman" w:cs="Times New Roman"/>
                <w:b/>
                <w:szCs w:val="20"/>
              </w:rPr>
              <w:t>Model parameters</w:t>
            </w:r>
          </w:p>
        </w:tc>
        <w:tc>
          <w:tcPr>
            <w:tcW w:w="892"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891"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892"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893"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892"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996"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889"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r>
      <w:tr>
        <w:trPr>
          <w:trHeight w:val="300" w:hRule="atLeast"/>
        </w:trPr>
        <w:tc>
          <w:tcPr>
            <w:tcW w:w="2183" w:type="dxa"/>
            <w:tcBorders/>
            <w:shd w:fill="auto" w:val="clear"/>
          </w:tcPr>
          <w:p>
            <w:pPr>
              <w:pStyle w:val="Tablecontent"/>
              <w:spacing w:lineRule="auto" w:line="240" w:before="0" w:after="0"/>
              <w:rPr>
                <w:b/>
                <w:b/>
              </w:rPr>
            </w:pPr>
            <w:r>
              <w:rPr>
                <w:rFonts w:eastAsia="Times New Roman" w:cs="Times New Roman"/>
                <w:b/>
                <w:szCs w:val="20"/>
              </w:rPr>
              <w:t>90% quantile</w:t>
            </w:r>
          </w:p>
        </w:tc>
        <w:tc>
          <w:tcPr>
            <w:tcW w:w="892" w:type="dxa"/>
            <w:tcBorders/>
            <w:shd w:fill="auto" w:val="clear"/>
          </w:tcPr>
          <w:p>
            <w:pPr>
              <w:pStyle w:val="Tablecontent"/>
              <w:spacing w:lineRule="auto" w:line="240" w:before="0" w:after="0"/>
              <w:rPr>
                <w:b/>
                <w:b/>
              </w:rPr>
            </w:pPr>
            <w:r>
              <w:rPr>
                <w:rFonts w:eastAsia="Times New Roman" w:cs="Times New Roman"/>
                <w:b/>
                <w:szCs w:val="20"/>
              </w:rPr>
              <w:t>Mean</w:t>
            </w:r>
          </w:p>
        </w:tc>
        <w:tc>
          <w:tcPr>
            <w:tcW w:w="891" w:type="dxa"/>
            <w:tcBorders/>
            <w:shd w:fill="auto" w:val="clear"/>
          </w:tcPr>
          <w:p>
            <w:pPr>
              <w:pStyle w:val="Tablecontent"/>
              <w:spacing w:lineRule="auto" w:line="240" w:before="0" w:after="0"/>
              <w:rPr>
                <w:b/>
                <w:b/>
              </w:rPr>
            </w:pPr>
            <w:r>
              <w:rPr>
                <w:rFonts w:eastAsia="Times New Roman" w:cs="Times New Roman"/>
                <w:b/>
                <w:szCs w:val="20"/>
              </w:rPr>
              <w:t>SD</w:t>
            </w:r>
          </w:p>
        </w:tc>
        <w:tc>
          <w:tcPr>
            <w:tcW w:w="892" w:type="dxa"/>
            <w:tcBorders/>
            <w:shd w:fill="auto" w:val="clear"/>
          </w:tcPr>
          <w:p>
            <w:pPr>
              <w:pStyle w:val="Tablecontent"/>
              <w:spacing w:lineRule="auto" w:line="240" w:before="0" w:after="0"/>
              <w:rPr>
                <w:b/>
                <w:b/>
              </w:rPr>
            </w:pPr>
            <w:r>
              <w:rPr>
                <w:rFonts w:eastAsia="Times New Roman" w:cs="Times New Roman"/>
                <w:b/>
                <w:szCs w:val="20"/>
              </w:rPr>
              <w:t>10%</w:t>
            </w:r>
          </w:p>
        </w:tc>
        <w:tc>
          <w:tcPr>
            <w:tcW w:w="893" w:type="dxa"/>
            <w:tcBorders/>
            <w:shd w:fill="auto" w:val="clear"/>
          </w:tcPr>
          <w:p>
            <w:pPr>
              <w:pStyle w:val="Tablecontent"/>
              <w:spacing w:lineRule="auto" w:line="240" w:before="0" w:after="0"/>
              <w:rPr>
                <w:b/>
                <w:b/>
              </w:rPr>
            </w:pPr>
            <w:r>
              <w:rPr>
                <w:rFonts w:eastAsia="Times New Roman" w:cs="Times New Roman"/>
                <w:b/>
                <w:szCs w:val="20"/>
              </w:rPr>
              <w:t>50%</w:t>
            </w:r>
          </w:p>
        </w:tc>
        <w:tc>
          <w:tcPr>
            <w:tcW w:w="892" w:type="dxa"/>
            <w:tcBorders/>
            <w:shd w:fill="auto" w:val="clear"/>
          </w:tcPr>
          <w:p>
            <w:pPr>
              <w:pStyle w:val="Tablecontent"/>
              <w:spacing w:lineRule="auto" w:line="240" w:before="0" w:after="0"/>
              <w:rPr>
                <w:b/>
                <w:b/>
              </w:rPr>
            </w:pPr>
            <w:r>
              <w:rPr>
                <w:rFonts w:eastAsia="Times New Roman" w:cs="Times New Roman"/>
                <w:b/>
                <w:szCs w:val="20"/>
              </w:rPr>
              <w:t>90%</w:t>
            </w:r>
          </w:p>
        </w:tc>
        <w:tc>
          <w:tcPr>
            <w:tcW w:w="996" w:type="dxa"/>
            <w:tcBorders/>
            <w:shd w:fill="auto" w:val="clear"/>
          </w:tcPr>
          <w:p>
            <w:pPr>
              <w:pStyle w:val="Tablecontent"/>
              <w:spacing w:lineRule="auto" w:line="240" w:before="0" w:after="0"/>
              <w:rPr>
                <w:b/>
                <w:b/>
              </w:rPr>
            </w:pPr>
            <w:r>
              <w:rPr>
                <w:rFonts w:eastAsia="Times New Roman" w:cs="Times New Roman"/>
                <w:b/>
                <w:szCs w:val="20"/>
              </w:rPr>
              <w:t>n_eff</w:t>
            </w:r>
          </w:p>
        </w:tc>
        <w:tc>
          <w:tcPr>
            <w:tcW w:w="889" w:type="dxa"/>
            <w:tcBorders/>
            <w:shd w:fill="auto" w:val="clear"/>
          </w:tcPr>
          <w:p>
            <w:pPr>
              <w:pStyle w:val="Tablecontent"/>
              <w:spacing w:lineRule="auto" w:line="240" w:before="0" w:after="0"/>
              <w:rPr>
                <w:b/>
                <w:b/>
              </w:rPr>
            </w:pPr>
            <w:r>
              <w:rPr>
                <w:rFonts w:eastAsia="Times New Roman" w:cs="Times New Roman"/>
                <w:b/>
                <w:szCs w:val="20"/>
              </w:rPr>
              <w:t>Rhat</w:t>
            </w:r>
          </w:p>
        </w:tc>
      </w:tr>
      <w:tr>
        <w:trPr>
          <w:trHeight w:val="300" w:hRule="atLeast"/>
        </w:trPr>
        <w:tc>
          <w:tcPr>
            <w:tcW w:w="218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Intercept</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2.13</w:t>
            </w:r>
          </w:p>
        </w:tc>
        <w:tc>
          <w:tcPr>
            <w:tcW w:w="8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1.89</w:t>
            </w:r>
          </w:p>
        </w:tc>
        <w:tc>
          <w:tcPr>
            <w:tcW w:w="89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2.12</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2.37</w:t>
            </w:r>
          </w:p>
        </w:tc>
        <w:tc>
          <w:tcPr>
            <w:tcW w:w="99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5120.81</w:t>
            </w:r>
          </w:p>
        </w:tc>
        <w:tc>
          <w:tcPr>
            <w:tcW w:w="8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18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Season (spring)</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-1.18</w:t>
            </w:r>
          </w:p>
        </w:tc>
        <w:tc>
          <w:tcPr>
            <w:tcW w:w="8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0.25</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-1.51</w:t>
            </w:r>
          </w:p>
        </w:tc>
        <w:tc>
          <w:tcPr>
            <w:tcW w:w="89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-1.18</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-0.86</w:t>
            </w:r>
          </w:p>
        </w:tc>
        <w:tc>
          <w:tcPr>
            <w:tcW w:w="99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4847.71</w:t>
            </w:r>
          </w:p>
        </w:tc>
        <w:tc>
          <w:tcPr>
            <w:tcW w:w="8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18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 (on)</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8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0.30</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-0.27</w:t>
            </w:r>
          </w:p>
        </w:tc>
        <w:tc>
          <w:tcPr>
            <w:tcW w:w="89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0.49</w:t>
            </w:r>
          </w:p>
        </w:tc>
        <w:tc>
          <w:tcPr>
            <w:tcW w:w="99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4651.01</w:t>
            </w:r>
          </w:p>
        </w:tc>
        <w:tc>
          <w:tcPr>
            <w:tcW w:w="8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18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Spring X Lights on</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8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0.38</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-0.28</w:t>
            </w:r>
          </w:p>
        </w:tc>
        <w:tc>
          <w:tcPr>
            <w:tcW w:w="89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0.22</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0.71</w:t>
            </w:r>
          </w:p>
        </w:tc>
        <w:tc>
          <w:tcPr>
            <w:tcW w:w="99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4324.51</w:t>
            </w:r>
          </w:p>
        </w:tc>
        <w:tc>
          <w:tcPr>
            <w:tcW w:w="8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18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9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9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2183" w:type="dxa"/>
            <w:tcBorders/>
            <w:shd w:fill="auto" w:val="clear"/>
          </w:tcPr>
          <w:p>
            <w:pPr>
              <w:pStyle w:val="Tablecontent"/>
              <w:spacing w:lineRule="auto" w:line="240" w:before="0" w:after="0"/>
              <w:rPr>
                <w:b/>
                <w:b/>
              </w:rPr>
            </w:pPr>
            <w:r>
              <w:rPr>
                <w:rFonts w:eastAsia="Times New Roman" w:cs="Times New Roman"/>
                <w:b/>
                <w:szCs w:val="20"/>
              </w:rPr>
              <w:t>90% quantile</w:t>
            </w:r>
          </w:p>
        </w:tc>
        <w:tc>
          <w:tcPr>
            <w:tcW w:w="892" w:type="dxa"/>
            <w:tcBorders/>
            <w:shd w:fill="auto" w:val="clear"/>
          </w:tcPr>
          <w:p>
            <w:pPr>
              <w:pStyle w:val="Tablecontent"/>
              <w:spacing w:lineRule="auto" w:line="240" w:before="0" w:after="0"/>
              <w:rPr>
                <w:b/>
                <w:b/>
              </w:rPr>
            </w:pPr>
            <w:r>
              <w:rPr>
                <w:rFonts w:eastAsia="Times New Roman" w:cs="Times New Roman"/>
                <w:b/>
                <w:szCs w:val="20"/>
              </w:rPr>
              <w:t>Mean</w:t>
            </w:r>
          </w:p>
        </w:tc>
        <w:tc>
          <w:tcPr>
            <w:tcW w:w="891" w:type="dxa"/>
            <w:tcBorders/>
            <w:shd w:fill="auto" w:val="clear"/>
          </w:tcPr>
          <w:p>
            <w:pPr>
              <w:pStyle w:val="Tablecontent"/>
              <w:spacing w:lineRule="auto" w:line="240" w:before="0" w:after="0"/>
              <w:rPr>
                <w:b/>
                <w:b/>
              </w:rPr>
            </w:pPr>
            <w:r>
              <w:rPr>
                <w:rFonts w:eastAsia="Times New Roman" w:cs="Times New Roman"/>
                <w:b/>
                <w:szCs w:val="20"/>
              </w:rPr>
              <w:t>SD</w:t>
            </w:r>
          </w:p>
        </w:tc>
        <w:tc>
          <w:tcPr>
            <w:tcW w:w="892" w:type="dxa"/>
            <w:tcBorders/>
            <w:shd w:fill="auto" w:val="clear"/>
          </w:tcPr>
          <w:p>
            <w:pPr>
              <w:pStyle w:val="Tablecontent"/>
              <w:spacing w:lineRule="auto" w:line="240" w:before="0" w:after="0"/>
              <w:rPr>
                <w:b/>
                <w:b/>
              </w:rPr>
            </w:pPr>
            <w:r>
              <w:rPr>
                <w:rFonts w:eastAsia="Times New Roman" w:cs="Times New Roman"/>
                <w:b/>
                <w:szCs w:val="20"/>
              </w:rPr>
              <w:t>10%</w:t>
            </w:r>
          </w:p>
        </w:tc>
        <w:tc>
          <w:tcPr>
            <w:tcW w:w="893" w:type="dxa"/>
            <w:tcBorders/>
            <w:shd w:fill="auto" w:val="clear"/>
          </w:tcPr>
          <w:p>
            <w:pPr>
              <w:pStyle w:val="Tablecontent"/>
              <w:spacing w:lineRule="auto" w:line="240" w:before="0" w:after="0"/>
              <w:rPr>
                <w:b/>
                <w:b/>
              </w:rPr>
            </w:pPr>
            <w:r>
              <w:rPr>
                <w:rFonts w:eastAsia="Times New Roman" w:cs="Times New Roman"/>
                <w:b/>
                <w:szCs w:val="20"/>
              </w:rPr>
              <w:t>50%</w:t>
            </w:r>
          </w:p>
        </w:tc>
        <w:tc>
          <w:tcPr>
            <w:tcW w:w="892" w:type="dxa"/>
            <w:tcBorders/>
            <w:shd w:fill="auto" w:val="clear"/>
          </w:tcPr>
          <w:p>
            <w:pPr>
              <w:pStyle w:val="Tablecontent"/>
              <w:spacing w:lineRule="auto" w:line="240" w:before="0" w:after="0"/>
              <w:rPr>
                <w:b/>
                <w:b/>
              </w:rPr>
            </w:pPr>
            <w:r>
              <w:rPr>
                <w:rFonts w:eastAsia="Times New Roman" w:cs="Times New Roman"/>
                <w:b/>
                <w:szCs w:val="20"/>
              </w:rPr>
              <w:t>90%</w:t>
            </w:r>
          </w:p>
        </w:tc>
        <w:tc>
          <w:tcPr>
            <w:tcW w:w="996" w:type="dxa"/>
            <w:tcBorders/>
            <w:shd w:fill="auto" w:val="clear"/>
          </w:tcPr>
          <w:p>
            <w:pPr>
              <w:pStyle w:val="Tablecontent"/>
              <w:spacing w:lineRule="auto" w:line="240" w:before="0" w:after="0"/>
              <w:rPr>
                <w:b/>
                <w:b/>
              </w:rPr>
            </w:pPr>
            <w:r>
              <w:rPr>
                <w:rFonts w:eastAsia="Times New Roman" w:cs="Times New Roman"/>
                <w:b/>
                <w:szCs w:val="20"/>
              </w:rPr>
              <w:t>n_eff</w:t>
            </w:r>
          </w:p>
        </w:tc>
        <w:tc>
          <w:tcPr>
            <w:tcW w:w="889" w:type="dxa"/>
            <w:tcBorders/>
            <w:shd w:fill="auto" w:val="clear"/>
          </w:tcPr>
          <w:p>
            <w:pPr>
              <w:pStyle w:val="Tablecontent"/>
              <w:spacing w:lineRule="auto" w:line="240" w:before="0" w:after="0"/>
              <w:rPr>
                <w:b/>
                <w:b/>
              </w:rPr>
            </w:pPr>
            <w:r>
              <w:rPr>
                <w:rFonts w:eastAsia="Times New Roman" w:cs="Times New Roman"/>
                <w:b/>
                <w:szCs w:val="20"/>
              </w:rPr>
              <w:t>Rhat</w:t>
            </w:r>
          </w:p>
        </w:tc>
      </w:tr>
      <w:tr>
        <w:trPr>
          <w:trHeight w:val="300" w:hRule="atLeast"/>
        </w:trPr>
        <w:tc>
          <w:tcPr>
            <w:tcW w:w="218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Intercept</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1.01</w:t>
            </w:r>
          </w:p>
        </w:tc>
        <w:tc>
          <w:tcPr>
            <w:tcW w:w="8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0.84</w:t>
            </w:r>
          </w:p>
        </w:tc>
        <w:tc>
          <w:tcPr>
            <w:tcW w:w="89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1.01</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1.18</w:t>
            </w:r>
          </w:p>
        </w:tc>
        <w:tc>
          <w:tcPr>
            <w:tcW w:w="99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5543.41</w:t>
            </w:r>
          </w:p>
        </w:tc>
        <w:tc>
          <w:tcPr>
            <w:tcW w:w="8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18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Season (spring)</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-0.81</w:t>
            </w:r>
          </w:p>
        </w:tc>
        <w:tc>
          <w:tcPr>
            <w:tcW w:w="8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-1.07</w:t>
            </w:r>
          </w:p>
        </w:tc>
        <w:tc>
          <w:tcPr>
            <w:tcW w:w="89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-0.81</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-0.55</w:t>
            </w:r>
          </w:p>
        </w:tc>
        <w:tc>
          <w:tcPr>
            <w:tcW w:w="99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4994.64</w:t>
            </w:r>
          </w:p>
        </w:tc>
        <w:tc>
          <w:tcPr>
            <w:tcW w:w="8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18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 (on)</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8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89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0.44</w:t>
            </w:r>
          </w:p>
        </w:tc>
        <w:tc>
          <w:tcPr>
            <w:tcW w:w="99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4802.82</w:t>
            </w:r>
          </w:p>
        </w:tc>
        <w:tc>
          <w:tcPr>
            <w:tcW w:w="8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18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Spring X Lights on</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8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0.30</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-0.43</w:t>
            </w:r>
          </w:p>
        </w:tc>
        <w:tc>
          <w:tcPr>
            <w:tcW w:w="89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0.34</w:t>
            </w:r>
          </w:p>
        </w:tc>
        <w:tc>
          <w:tcPr>
            <w:tcW w:w="99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4253.65</w:t>
            </w:r>
          </w:p>
        </w:tc>
        <w:tc>
          <w:tcPr>
            <w:tcW w:w="8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18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9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9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2183" w:type="dxa"/>
            <w:tcBorders/>
            <w:shd w:fill="auto" w:val="clear"/>
          </w:tcPr>
          <w:p>
            <w:pPr>
              <w:pStyle w:val="Tablecontent"/>
              <w:spacing w:lineRule="auto" w:line="240" w:before="0" w:after="0"/>
              <w:rPr>
                <w:b/>
                <w:b/>
              </w:rPr>
            </w:pPr>
            <w:r>
              <w:rPr>
                <w:rFonts w:eastAsia="Times New Roman" w:cs="Times New Roman"/>
                <w:b/>
                <w:szCs w:val="20"/>
              </w:rPr>
              <w:t>90% quantile</w:t>
            </w:r>
          </w:p>
        </w:tc>
        <w:tc>
          <w:tcPr>
            <w:tcW w:w="892" w:type="dxa"/>
            <w:tcBorders/>
            <w:shd w:fill="auto" w:val="clear"/>
          </w:tcPr>
          <w:p>
            <w:pPr>
              <w:pStyle w:val="Tablecontent"/>
              <w:spacing w:lineRule="auto" w:line="240" w:before="0" w:after="0"/>
              <w:rPr>
                <w:b/>
                <w:b/>
              </w:rPr>
            </w:pPr>
            <w:r>
              <w:rPr>
                <w:rFonts w:eastAsia="Times New Roman" w:cs="Times New Roman"/>
                <w:b/>
                <w:szCs w:val="20"/>
              </w:rPr>
              <w:t>Mean</w:t>
            </w:r>
          </w:p>
        </w:tc>
        <w:tc>
          <w:tcPr>
            <w:tcW w:w="891" w:type="dxa"/>
            <w:tcBorders/>
            <w:shd w:fill="auto" w:val="clear"/>
          </w:tcPr>
          <w:p>
            <w:pPr>
              <w:pStyle w:val="Tablecontent"/>
              <w:spacing w:lineRule="auto" w:line="240" w:before="0" w:after="0"/>
              <w:rPr>
                <w:b/>
                <w:b/>
              </w:rPr>
            </w:pPr>
            <w:r>
              <w:rPr>
                <w:rFonts w:eastAsia="Times New Roman" w:cs="Times New Roman"/>
                <w:b/>
                <w:szCs w:val="20"/>
              </w:rPr>
              <w:t>SD</w:t>
            </w:r>
          </w:p>
        </w:tc>
        <w:tc>
          <w:tcPr>
            <w:tcW w:w="892" w:type="dxa"/>
            <w:tcBorders/>
            <w:shd w:fill="auto" w:val="clear"/>
          </w:tcPr>
          <w:p>
            <w:pPr>
              <w:pStyle w:val="Tablecontent"/>
              <w:spacing w:lineRule="auto" w:line="240" w:before="0" w:after="0"/>
              <w:rPr>
                <w:b/>
                <w:b/>
              </w:rPr>
            </w:pPr>
            <w:r>
              <w:rPr>
                <w:rFonts w:eastAsia="Times New Roman" w:cs="Times New Roman"/>
                <w:b/>
                <w:szCs w:val="20"/>
              </w:rPr>
              <w:t>10%</w:t>
            </w:r>
          </w:p>
        </w:tc>
        <w:tc>
          <w:tcPr>
            <w:tcW w:w="893" w:type="dxa"/>
            <w:tcBorders/>
            <w:shd w:fill="auto" w:val="clear"/>
          </w:tcPr>
          <w:p>
            <w:pPr>
              <w:pStyle w:val="Tablecontent"/>
              <w:spacing w:lineRule="auto" w:line="240" w:before="0" w:after="0"/>
              <w:rPr>
                <w:b/>
                <w:b/>
              </w:rPr>
            </w:pPr>
            <w:r>
              <w:rPr>
                <w:rFonts w:eastAsia="Times New Roman" w:cs="Times New Roman"/>
                <w:b/>
                <w:szCs w:val="20"/>
              </w:rPr>
              <w:t>50%</w:t>
            </w:r>
          </w:p>
        </w:tc>
        <w:tc>
          <w:tcPr>
            <w:tcW w:w="892" w:type="dxa"/>
            <w:tcBorders/>
            <w:shd w:fill="auto" w:val="clear"/>
          </w:tcPr>
          <w:p>
            <w:pPr>
              <w:pStyle w:val="Tablecontent"/>
              <w:spacing w:lineRule="auto" w:line="240" w:before="0" w:after="0"/>
              <w:rPr>
                <w:b/>
                <w:b/>
              </w:rPr>
            </w:pPr>
            <w:r>
              <w:rPr>
                <w:rFonts w:eastAsia="Times New Roman" w:cs="Times New Roman"/>
                <w:b/>
                <w:szCs w:val="20"/>
              </w:rPr>
              <w:t>90%</w:t>
            </w:r>
          </w:p>
        </w:tc>
        <w:tc>
          <w:tcPr>
            <w:tcW w:w="996" w:type="dxa"/>
            <w:tcBorders/>
            <w:shd w:fill="auto" w:val="clear"/>
          </w:tcPr>
          <w:p>
            <w:pPr>
              <w:pStyle w:val="Tablecontent"/>
              <w:spacing w:lineRule="auto" w:line="240" w:before="0" w:after="0"/>
              <w:rPr>
                <w:b/>
                <w:b/>
              </w:rPr>
            </w:pPr>
            <w:r>
              <w:rPr>
                <w:rFonts w:eastAsia="Times New Roman" w:cs="Times New Roman"/>
                <w:b/>
                <w:szCs w:val="20"/>
              </w:rPr>
              <w:t>n_eff</w:t>
            </w:r>
          </w:p>
        </w:tc>
        <w:tc>
          <w:tcPr>
            <w:tcW w:w="889" w:type="dxa"/>
            <w:tcBorders/>
            <w:shd w:fill="auto" w:val="clear"/>
          </w:tcPr>
          <w:p>
            <w:pPr>
              <w:pStyle w:val="Tablecontent"/>
              <w:spacing w:lineRule="auto" w:line="240" w:before="0" w:after="0"/>
              <w:rPr>
                <w:b/>
                <w:b/>
              </w:rPr>
            </w:pPr>
            <w:r>
              <w:rPr>
                <w:rFonts w:eastAsia="Times New Roman" w:cs="Times New Roman"/>
                <w:b/>
                <w:szCs w:val="20"/>
              </w:rPr>
              <w:t>Rhat</w:t>
            </w:r>
          </w:p>
        </w:tc>
      </w:tr>
      <w:tr>
        <w:trPr>
          <w:trHeight w:val="300" w:hRule="atLeast"/>
        </w:trPr>
        <w:tc>
          <w:tcPr>
            <w:tcW w:w="218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Intercept</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-1.04</w:t>
            </w:r>
          </w:p>
        </w:tc>
        <w:tc>
          <w:tcPr>
            <w:tcW w:w="8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-1.21</w:t>
            </w:r>
          </w:p>
        </w:tc>
        <w:tc>
          <w:tcPr>
            <w:tcW w:w="89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-1.04</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-0.87</w:t>
            </w:r>
          </w:p>
        </w:tc>
        <w:tc>
          <w:tcPr>
            <w:tcW w:w="99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5408.80</w:t>
            </w:r>
          </w:p>
        </w:tc>
        <w:tc>
          <w:tcPr>
            <w:tcW w:w="8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18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Season (spring)</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-0.55</w:t>
            </w:r>
          </w:p>
        </w:tc>
        <w:tc>
          <w:tcPr>
            <w:tcW w:w="8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0.25</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-0.88</w:t>
            </w:r>
          </w:p>
        </w:tc>
        <w:tc>
          <w:tcPr>
            <w:tcW w:w="89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-0.55</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w:t>
            </w:r>
          </w:p>
        </w:tc>
        <w:tc>
          <w:tcPr>
            <w:tcW w:w="99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4414.66</w:t>
            </w:r>
          </w:p>
        </w:tc>
        <w:tc>
          <w:tcPr>
            <w:tcW w:w="8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18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Lights (on)</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8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89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99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5131.82</w:t>
            </w:r>
          </w:p>
        </w:tc>
        <w:tc>
          <w:tcPr>
            <w:tcW w:w="8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18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Spring X Lights on</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8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0.35</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89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89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0.59</w:t>
            </w:r>
          </w:p>
        </w:tc>
        <w:tc>
          <w:tcPr>
            <w:tcW w:w="99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4257.96</w:t>
            </w:r>
          </w:p>
        </w:tc>
        <w:tc>
          <w:tcPr>
            <w:tcW w:w="8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bl>
    <w:p>
      <w:pPr>
        <w:pStyle w:val="Tablecontent"/>
        <w:rPr/>
      </w:pPr>
      <w:r>
        <w:rPr/>
      </w:r>
    </w:p>
    <w:p>
      <w:pPr>
        <w:pStyle w:val="Normal"/>
        <w:rPr/>
      </w:pPr>
      <w:r>
        <w:rPr/>
      </w:r>
    </w:p>
    <w:p>
      <w:pPr>
        <w:pStyle w:val="Normal"/>
        <w:rPr/>
      </w:pPr>
      <w:r>
        <w:rPr/>
      </w:r>
      <w:r>
        <w:br w:type="page"/>
      </w:r>
    </w:p>
    <w:p>
      <w:pPr>
        <w:pStyle w:val="Tablecaption"/>
        <w:numPr>
          <w:ilvl w:val="0"/>
          <w:numId w:val="0"/>
        </w:numPr>
        <w:rPr/>
      </w:pPr>
      <w:bookmarkStart w:id="10" w:name="_Toc61687523"/>
      <w:r>
        <w:rPr/>
        <w:t>Supplementary Table 11. Average probability of each reaction type in the horizontal plane of movement by season and quantile.</w:t>
      </w:r>
      <w:bookmarkEnd w:id="10"/>
    </w:p>
    <w:tbl>
      <w:tblPr>
        <w:tblStyle w:val="TableGrid"/>
        <w:tblW w:w="5156" w:type="dxa"/>
        <w:jc w:val="center"/>
        <w:tblInd w:w="0" w:type="dxa"/>
        <w:tblCellMar>
          <w:top w:w="0" w:type="dxa"/>
          <w:left w:w="108" w:type="dxa"/>
          <w:bottom w:w="0" w:type="dxa"/>
          <w:right w:w="108" w:type="dxa"/>
        </w:tblCellMar>
        <w:tblLook w:noVBand="1" w:val="04a0" w:noHBand="0" w:lastColumn="0" w:firstColumn="1" w:lastRow="0" w:firstRow="1"/>
      </w:tblPr>
      <w:tblGrid>
        <w:gridCol w:w="1001"/>
        <w:gridCol w:w="1110"/>
        <w:gridCol w:w="1123"/>
        <w:gridCol w:w="960"/>
        <w:gridCol w:w="962"/>
      </w:tblGrid>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922" w:type="dxa"/>
            <w:gridSpan w:val="2"/>
            <w:tcBorders/>
            <w:shd w:fill="auto" w:val="clear"/>
          </w:tcPr>
          <w:p>
            <w:pPr>
              <w:pStyle w:val="Tablecontent"/>
              <w:spacing w:lineRule="auto" w:line="240" w:before="0" w:after="0"/>
              <w:rPr>
                <w:b/>
                <w:b/>
              </w:rPr>
            </w:pPr>
            <w:r>
              <w:rPr>
                <w:rFonts w:eastAsia="Times New Roman" w:cs="Times New Roman"/>
                <w:b/>
                <w:szCs w:val="20"/>
              </w:rPr>
              <w:t>Probability</w:t>
            </w:r>
          </w:p>
        </w:tc>
      </w:tr>
      <w:tr>
        <w:trPr>
          <w:trHeight w:val="300" w:hRule="atLeast"/>
        </w:trPr>
        <w:tc>
          <w:tcPr>
            <w:tcW w:w="1001" w:type="dxa"/>
            <w:tcBorders/>
            <w:shd w:fill="auto" w:val="clear"/>
          </w:tcPr>
          <w:p>
            <w:pPr>
              <w:pStyle w:val="Tablecontent"/>
              <w:spacing w:lineRule="auto" w:line="240" w:before="0" w:after="0"/>
              <w:rPr>
                <w:b/>
                <w:b/>
              </w:rPr>
            </w:pPr>
            <w:r>
              <w:rPr>
                <w:rFonts w:eastAsia="Times New Roman" w:cs="Times New Roman"/>
                <w:b/>
                <w:szCs w:val="20"/>
              </w:rPr>
              <w:t>Season</w:t>
            </w:r>
          </w:p>
        </w:tc>
        <w:tc>
          <w:tcPr>
            <w:tcW w:w="1110" w:type="dxa"/>
            <w:tcBorders/>
            <w:shd w:fill="auto" w:val="clear"/>
          </w:tcPr>
          <w:p>
            <w:pPr>
              <w:pStyle w:val="Tablecontent"/>
              <w:spacing w:lineRule="auto" w:line="240" w:before="0" w:after="0"/>
              <w:rPr>
                <w:b/>
                <w:b/>
              </w:rPr>
            </w:pPr>
            <w:r>
              <w:rPr>
                <w:rFonts w:eastAsia="Times New Roman" w:cs="Times New Roman"/>
                <w:b/>
                <w:szCs w:val="20"/>
              </w:rPr>
              <w:t>Quantile</w:t>
            </w:r>
          </w:p>
        </w:tc>
        <w:tc>
          <w:tcPr>
            <w:tcW w:w="1123" w:type="dxa"/>
            <w:tcBorders/>
            <w:shd w:fill="auto" w:val="clear"/>
          </w:tcPr>
          <w:p>
            <w:pPr>
              <w:pStyle w:val="Tablecontent"/>
              <w:spacing w:lineRule="auto" w:line="240" w:before="0" w:after="0"/>
              <w:rPr>
                <w:b/>
                <w:b/>
              </w:rPr>
            </w:pPr>
            <w:r>
              <w:rPr>
                <w:rFonts w:eastAsia="Times New Roman" w:cs="Times New Roman"/>
                <w:b/>
                <w:szCs w:val="20"/>
              </w:rPr>
              <w:t>Reaction</w:t>
            </w:r>
          </w:p>
        </w:tc>
        <w:tc>
          <w:tcPr>
            <w:tcW w:w="960" w:type="dxa"/>
            <w:tcBorders/>
            <w:shd w:fill="auto" w:val="clear"/>
          </w:tcPr>
          <w:p>
            <w:pPr>
              <w:pStyle w:val="Tablecontent"/>
              <w:spacing w:lineRule="auto" w:line="240" w:before="0" w:after="0"/>
              <w:rPr>
                <w:b/>
                <w:b/>
              </w:rPr>
            </w:pPr>
            <w:r>
              <w:rPr>
                <w:rFonts w:eastAsia="Times New Roman" w:cs="Times New Roman"/>
                <w:b/>
                <w:szCs w:val="20"/>
              </w:rPr>
              <w:t>Off</w:t>
            </w:r>
          </w:p>
        </w:tc>
        <w:tc>
          <w:tcPr>
            <w:tcW w:w="962" w:type="dxa"/>
            <w:tcBorders/>
            <w:shd w:fill="auto" w:val="clear"/>
          </w:tcPr>
          <w:p>
            <w:pPr>
              <w:pStyle w:val="Tablecontent"/>
              <w:spacing w:lineRule="auto" w:line="240" w:before="0" w:after="0"/>
              <w:rPr>
                <w:b/>
                <w:b/>
              </w:rPr>
            </w:pPr>
            <w:r>
              <w:rPr>
                <w:rFonts w:eastAsia="Times New Roman" w:cs="Times New Roman"/>
                <w:b/>
                <w:szCs w:val="20"/>
              </w:rPr>
              <w:t>On</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Spring</w:t>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90%</w:t>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Towards</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0.49</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0.55</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Away</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0.35</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0.27</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Neutral</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r>
      <w:tr>
        <w:trPr>
          <w:trHeight w:val="300" w:hRule="exac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95%</w:t>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Towards</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0.49</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0.57</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Away</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r>
      <w:tr>
        <w:trPr>
          <w:trHeight w:val="300" w:hRule="exac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99%</w:t>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Towards</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0.48</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0.53</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Away</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r>
      <w:tr>
        <w:trPr>
          <w:trHeight w:val="300" w:hRule="exac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Autumn</w:t>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90%</w:t>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Towards</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0.57</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0.63</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Away</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0.27</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Neutral</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r>
      <w:tr>
        <w:trPr>
          <w:trHeight w:val="300" w:hRule="exac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95%</w:t>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Towards</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0.56</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0.62</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Away</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0.27</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0.26</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Neutral</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r>
      <w:tr>
        <w:trPr>
          <w:trHeight w:val="300" w:hRule="exac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99%</w:t>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Towards</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0.46</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0.48</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Away</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9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r>
    </w:tbl>
    <w:p>
      <w:pPr>
        <w:pStyle w:val="Tablecontent"/>
        <w:rPr/>
      </w:pPr>
      <w:r>
        <w:rPr/>
      </w:r>
    </w:p>
    <w:p>
      <w:pPr>
        <w:pStyle w:val="Normal"/>
        <w:rPr/>
      </w:pPr>
      <w:r>
        <w:rPr/>
      </w:r>
      <w:r>
        <w:br w:type="page"/>
      </w:r>
    </w:p>
    <w:p>
      <w:pPr>
        <w:pStyle w:val="Tablecaption"/>
        <w:numPr>
          <w:ilvl w:val="0"/>
          <w:numId w:val="0"/>
        </w:numPr>
        <w:rPr/>
      </w:pPr>
      <w:bookmarkStart w:id="11" w:name="_Toc61687524"/>
      <w:r>
        <w:rPr/>
        <w:t>Supplementary Table 12. Regression statistics of the multinomial model of reactions in the horizontal plane in autumn compared to a baseline of reactions towards the lights and to the lights-off treatment, by quantile. Top panel shows the coefficients of the model in the form of log odds, bottom panel shows p-values derived from z-tests (see main text).</w:t>
      </w:r>
      <w:bookmarkEnd w:id="11"/>
    </w:p>
    <w:tbl>
      <w:tblPr>
        <w:tblStyle w:val="TableGrid"/>
        <w:tblW w:w="6602" w:type="dxa"/>
        <w:jc w:val="center"/>
        <w:tblInd w:w="0" w:type="dxa"/>
        <w:tblCellMar>
          <w:top w:w="0" w:type="dxa"/>
          <w:left w:w="108" w:type="dxa"/>
          <w:bottom w:w="0" w:type="dxa"/>
          <w:right w:w="108" w:type="dxa"/>
        </w:tblCellMar>
        <w:tblLook w:noVBand="1" w:val="04a0" w:noHBand="0" w:lastColumn="0" w:firstColumn="1" w:lastRow="0" w:firstRow="1"/>
      </w:tblPr>
      <w:tblGrid>
        <w:gridCol w:w="1429"/>
        <w:gridCol w:w="1189"/>
        <w:gridCol w:w="1162"/>
        <w:gridCol w:w="1304"/>
        <w:gridCol w:w="1518"/>
      </w:tblGrid>
      <w:tr>
        <w:trPr>
          <w:trHeight w:val="300" w:hRule="atLeast"/>
        </w:trPr>
        <w:tc>
          <w:tcPr>
            <w:tcW w:w="1429" w:type="dxa"/>
            <w:tcBorders/>
            <w:shd w:fill="auto" w:val="clear"/>
          </w:tcPr>
          <w:p>
            <w:pPr>
              <w:pStyle w:val="Tablecontent"/>
              <w:spacing w:lineRule="auto" w:line="240" w:before="0" w:after="0"/>
              <w:rPr>
                <w:b/>
                <w:b/>
              </w:rPr>
            </w:pPr>
            <w:r>
              <w:rPr>
                <w:rFonts w:eastAsia="Times New Roman" w:cs="Times New Roman"/>
                <w:b/>
                <w:szCs w:val="20"/>
              </w:rPr>
              <w:t>Coefficients</w:t>
            </w:r>
          </w:p>
        </w:tc>
        <w:tc>
          <w:tcPr>
            <w:tcW w:w="1189"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162"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304"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518"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Quantile</w:t>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Predictor</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Intercept</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Lights on</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Slant range</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90%</w:t>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0.049</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0.295</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2.004</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Away</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-1.033</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-0.142</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0.911</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0.79</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0.049</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0.791</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Neutral</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-8.249</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7.318</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-8.914</w:t>
            </w:r>
          </w:p>
        </w:tc>
      </w:tr>
      <w:tr>
        <w:trPr>
          <w:trHeight w:val="300" w:hRule="exac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95%</w:t>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0.032</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0.401</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1.779</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Away</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-0.709</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-0.037</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0.698</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0.659</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0.221</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0.586</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Neutral</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-5.721</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3.675</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-5.499</w:t>
            </w:r>
          </w:p>
        </w:tc>
      </w:tr>
      <w:tr>
        <w:trPr>
          <w:trHeight w:val="300" w:hRule="exac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99%</w:t>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-0.604</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0.394</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1.975</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Away</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-0.839</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0.333</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1.194</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-0.142</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0.342</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1.212</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p-values</w:t>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Quantile</w:t>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Predictor</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Intercept</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Lights on</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Slant range</w:t>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90%</w:t>
            </w:r>
          </w:p>
        </w:tc>
        <w:tc>
          <w:tcPr>
            <w:tcW w:w="118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116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0.742</w:t>
            </w:r>
          </w:p>
        </w:tc>
        <w:tc>
          <w:tcPr>
            <w:tcW w:w="1304"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0.011</w:t>
            </w:r>
          </w:p>
        </w:tc>
        <w:tc>
          <w:tcPr>
            <w:tcW w:w="151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Away</w:t>
            </w:r>
          </w:p>
        </w:tc>
        <w:tc>
          <w:tcPr>
            <w:tcW w:w="116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1304"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0.412</w:t>
            </w:r>
          </w:p>
        </w:tc>
        <w:tc>
          <w:tcPr>
            <w:tcW w:w="151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0.002</w:t>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1304"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0.673</w:t>
            </w:r>
          </w:p>
        </w:tc>
        <w:tc>
          <w:tcPr>
            <w:tcW w:w="151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Neutral</w:t>
            </w:r>
          </w:p>
        </w:tc>
        <w:tc>
          <w:tcPr>
            <w:tcW w:w="116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0.725</w:t>
            </w:r>
          </w:p>
        </w:tc>
        <w:tc>
          <w:tcPr>
            <w:tcW w:w="1304"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0.754</w:t>
            </w:r>
          </w:p>
        </w:tc>
        <w:tc>
          <w:tcPr>
            <w:tcW w:w="151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0.163</w:t>
            </w:r>
          </w:p>
        </w:tc>
      </w:tr>
      <w:tr>
        <w:trPr>
          <w:trHeight w:val="300" w:hRule="exac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4"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51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95%</w:t>
            </w:r>
          </w:p>
        </w:tc>
        <w:tc>
          <w:tcPr>
            <w:tcW w:w="118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116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0.875</w:t>
            </w:r>
          </w:p>
        </w:tc>
        <w:tc>
          <w:tcPr>
            <w:tcW w:w="1304"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0.013</w:t>
            </w:r>
          </w:p>
        </w:tc>
        <w:tc>
          <w:tcPr>
            <w:tcW w:w="151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Away</w:t>
            </w:r>
          </w:p>
        </w:tc>
        <w:tc>
          <w:tcPr>
            <w:tcW w:w="116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0.009</w:t>
            </w:r>
          </w:p>
        </w:tc>
        <w:tc>
          <w:tcPr>
            <w:tcW w:w="1304"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0.868</w:t>
            </w:r>
          </w:p>
        </w:tc>
        <w:tc>
          <w:tcPr>
            <w:tcW w:w="151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0.047</w:t>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0.001</w:t>
            </w:r>
          </w:p>
        </w:tc>
        <w:tc>
          <w:tcPr>
            <w:tcW w:w="1304"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0.179</w:t>
            </w:r>
          </w:p>
        </w:tc>
        <w:tc>
          <w:tcPr>
            <w:tcW w:w="151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0.032</w:t>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Neutral</w:t>
            </w:r>
          </w:p>
        </w:tc>
        <w:tc>
          <w:tcPr>
            <w:tcW w:w="116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0.327</w:t>
            </w:r>
          </w:p>
        </w:tc>
        <w:tc>
          <w:tcPr>
            <w:tcW w:w="1304"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0.502</w:t>
            </w:r>
          </w:p>
        </w:tc>
        <w:tc>
          <w:tcPr>
            <w:tcW w:w="151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0.425</w:t>
            </w:r>
          </w:p>
        </w:tc>
      </w:tr>
      <w:tr>
        <w:trPr>
          <w:trHeight w:val="300" w:hRule="exac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4"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51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99%</w:t>
            </w:r>
          </w:p>
        </w:tc>
        <w:tc>
          <w:tcPr>
            <w:tcW w:w="118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116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0.193</w:t>
            </w:r>
          </w:p>
        </w:tc>
        <w:tc>
          <w:tcPr>
            <w:tcW w:w="1304"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151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0.001</w:t>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Away</w:t>
            </w:r>
          </w:p>
        </w:tc>
        <w:tc>
          <w:tcPr>
            <w:tcW w:w="116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0.114</w:t>
            </w:r>
          </w:p>
        </w:tc>
        <w:tc>
          <w:tcPr>
            <w:tcW w:w="1304"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0.437</w:t>
            </w:r>
          </w:p>
        </w:tc>
        <w:tc>
          <w:tcPr>
            <w:tcW w:w="151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0.071</w:t>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2"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0.759</w:t>
            </w:r>
          </w:p>
        </w:tc>
        <w:tc>
          <w:tcPr>
            <w:tcW w:w="1304"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0.361</w:t>
            </w:r>
          </w:p>
        </w:tc>
        <w:tc>
          <w:tcPr>
            <w:tcW w:w="151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0.042</w:t>
            </w:r>
          </w:p>
        </w:tc>
      </w:tr>
    </w:tbl>
    <w:p>
      <w:pPr>
        <w:pStyle w:val="Tablecontent"/>
        <w:rPr/>
      </w:pPr>
      <w:r>
        <w:rPr/>
      </w:r>
    </w:p>
    <w:p>
      <w:pPr>
        <w:pStyle w:val="Normal"/>
        <w:rPr/>
      </w:pPr>
      <w:r>
        <w:rPr/>
      </w:r>
      <w:r>
        <w:br w:type="page"/>
      </w:r>
    </w:p>
    <w:p>
      <w:pPr>
        <w:pStyle w:val="Tablecaption"/>
        <w:numPr>
          <w:ilvl w:val="0"/>
          <w:numId w:val="0"/>
        </w:numPr>
        <w:rPr/>
      </w:pPr>
      <w:bookmarkStart w:id="12" w:name="_Toc61687525"/>
      <w:r>
        <w:rPr/>
        <w:t>Supplementary Table 13. Regression statistics of the multinomial model of reactions in the horizontal plane in spring compared to a baseline of reactions towards the lights and to the lights-off treatment, by quantile. Top panel shows the coefficients of the model in the form of log odds, bottom panel shows p-values derived from z-tests (see main text).</w:t>
      </w:r>
      <w:bookmarkEnd w:id="12"/>
    </w:p>
    <w:tbl>
      <w:tblPr>
        <w:tblStyle w:val="TableGrid"/>
        <w:tblW w:w="6602" w:type="dxa"/>
        <w:jc w:val="center"/>
        <w:tblInd w:w="0" w:type="dxa"/>
        <w:tblCellMar>
          <w:top w:w="0" w:type="dxa"/>
          <w:left w:w="108" w:type="dxa"/>
          <w:bottom w:w="0" w:type="dxa"/>
          <w:right w:w="108" w:type="dxa"/>
        </w:tblCellMar>
        <w:tblLook w:noVBand="1" w:val="04a0" w:noHBand="0" w:lastColumn="0" w:firstColumn="1" w:lastRow="0" w:firstRow="1"/>
      </w:tblPr>
      <w:tblGrid>
        <w:gridCol w:w="1429"/>
        <w:gridCol w:w="1189"/>
        <w:gridCol w:w="1162"/>
        <w:gridCol w:w="1304"/>
        <w:gridCol w:w="1518"/>
      </w:tblGrid>
      <w:tr>
        <w:trPr>
          <w:trHeight w:val="300" w:hRule="atLeast"/>
        </w:trPr>
        <w:tc>
          <w:tcPr>
            <w:tcW w:w="1429" w:type="dxa"/>
            <w:tcBorders/>
            <w:shd w:fill="auto" w:val="clear"/>
          </w:tcPr>
          <w:p>
            <w:pPr>
              <w:pStyle w:val="Tablecontent"/>
              <w:spacing w:lineRule="auto" w:line="240" w:before="0" w:after="0"/>
              <w:rPr>
                <w:b/>
                <w:b/>
              </w:rPr>
            </w:pPr>
            <w:r>
              <w:rPr>
                <w:rFonts w:eastAsia="Times New Roman" w:cs="Times New Roman"/>
                <w:b/>
                <w:szCs w:val="20"/>
              </w:rPr>
              <w:t>Coefficients</w:t>
            </w:r>
          </w:p>
        </w:tc>
        <w:tc>
          <w:tcPr>
            <w:tcW w:w="1189"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162"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304"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518"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r>
      <w:tr>
        <w:trPr>
          <w:trHeight w:val="300" w:hRule="atLeast"/>
        </w:trPr>
        <w:tc>
          <w:tcPr>
            <w:tcW w:w="1429" w:type="dxa"/>
            <w:tcBorders/>
            <w:shd w:fill="auto" w:val="clear"/>
          </w:tcPr>
          <w:p>
            <w:pPr>
              <w:pStyle w:val="Tablecontent"/>
              <w:spacing w:lineRule="auto" w:line="240" w:before="0" w:after="0"/>
              <w:rPr>
                <w:b/>
                <w:b/>
              </w:rPr>
            </w:pPr>
            <w:r>
              <w:rPr>
                <w:rFonts w:eastAsia="Times New Roman" w:cs="Times New Roman"/>
                <w:b/>
                <w:szCs w:val="20"/>
              </w:rPr>
              <w:t>Quantile</w:t>
            </w:r>
          </w:p>
        </w:tc>
        <w:tc>
          <w:tcPr>
            <w:tcW w:w="1189" w:type="dxa"/>
            <w:tcBorders/>
            <w:shd w:fill="auto" w:val="clear"/>
          </w:tcPr>
          <w:p>
            <w:pPr>
              <w:pStyle w:val="Tablecontent"/>
              <w:spacing w:lineRule="auto" w:line="240" w:before="0" w:after="0"/>
              <w:rPr>
                <w:b/>
                <w:b/>
              </w:rPr>
            </w:pPr>
            <w:r>
              <w:rPr>
                <w:rFonts w:eastAsia="Times New Roman" w:cs="Times New Roman"/>
                <w:b/>
                <w:szCs w:val="20"/>
              </w:rPr>
              <w:t>Predictor</w:t>
            </w:r>
          </w:p>
        </w:tc>
        <w:tc>
          <w:tcPr>
            <w:tcW w:w="1162" w:type="dxa"/>
            <w:tcBorders/>
            <w:shd w:fill="auto" w:val="clear"/>
          </w:tcPr>
          <w:p>
            <w:pPr>
              <w:pStyle w:val="Tablecontent"/>
              <w:spacing w:lineRule="auto" w:line="240" w:before="0" w:after="0"/>
              <w:rPr>
                <w:b/>
                <w:b/>
              </w:rPr>
            </w:pPr>
            <w:r>
              <w:rPr>
                <w:rFonts w:eastAsia="Times New Roman" w:cs="Times New Roman"/>
                <w:b/>
                <w:szCs w:val="20"/>
              </w:rPr>
              <w:t>Intercept</w:t>
            </w:r>
          </w:p>
        </w:tc>
        <w:tc>
          <w:tcPr>
            <w:tcW w:w="1304" w:type="dxa"/>
            <w:tcBorders/>
            <w:shd w:fill="auto" w:val="clear"/>
          </w:tcPr>
          <w:p>
            <w:pPr>
              <w:pStyle w:val="Tablecontent"/>
              <w:spacing w:lineRule="auto" w:line="240" w:before="0" w:after="0"/>
              <w:rPr>
                <w:b/>
                <w:b/>
              </w:rPr>
            </w:pPr>
            <w:r>
              <w:rPr>
                <w:rFonts w:eastAsia="Times New Roman" w:cs="Times New Roman"/>
                <w:b/>
                <w:szCs w:val="20"/>
              </w:rPr>
              <w:t>Lights on</w:t>
            </w:r>
          </w:p>
        </w:tc>
        <w:tc>
          <w:tcPr>
            <w:tcW w:w="1518" w:type="dxa"/>
            <w:tcBorders/>
            <w:shd w:fill="auto" w:val="clear"/>
          </w:tcPr>
          <w:p>
            <w:pPr>
              <w:pStyle w:val="Tablecontent"/>
              <w:spacing w:lineRule="auto" w:line="240" w:before="0" w:after="0"/>
              <w:rPr>
                <w:b/>
                <w:b/>
              </w:rPr>
            </w:pPr>
            <w:r>
              <w:rPr>
                <w:rFonts w:eastAsia="Times New Roman" w:cs="Times New Roman"/>
                <w:b/>
                <w:szCs w:val="20"/>
              </w:rPr>
              <w:t>Slant range</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90%</w:t>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0.878</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0.144</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0.486</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Away</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-1.144</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0.287</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0.54</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1.986</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-0.26</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-0.477</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Neutral</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-3.015</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-6.665</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r>
      <w:tr>
        <w:trPr>
          <w:trHeight w:val="300" w:hRule="exac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95%</w:t>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0.947</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0.261</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Away</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-0.862</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0.217</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0.313</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2.107</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-0.346</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-0.873</w:t>
            </w:r>
          </w:p>
        </w:tc>
      </w:tr>
      <w:tr>
        <w:trPr>
          <w:trHeight w:val="300" w:hRule="exac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99%</w:t>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1.058</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0.021</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-0.071</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Away</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0.215</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-0.062</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-0.253</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1.445</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-0.669</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-1.025</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tcPr>
          <w:p>
            <w:pPr>
              <w:pStyle w:val="Tablecontent"/>
              <w:spacing w:lineRule="auto" w:line="240" w:before="0" w:after="0"/>
              <w:rPr>
                <w:b/>
                <w:b/>
              </w:rPr>
            </w:pPr>
            <w:r>
              <w:rPr>
                <w:rFonts w:eastAsia="Times New Roman" w:cs="Times New Roman"/>
                <w:b/>
                <w:szCs w:val="20"/>
              </w:rPr>
              <w:t>p-values</w:t>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Quantile</w:t>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Predictor</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Intercept</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Lights on</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Slant range</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90%</w:t>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0.417</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0.001</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Away</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0.248</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0.006</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0.154</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0.002</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Neutral</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0.659</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0.902</w:t>
            </w:r>
          </w:p>
        </w:tc>
      </w:tr>
      <w:tr>
        <w:trPr>
          <w:trHeight w:val="300" w:hRule="exac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95%</w:t>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0.001</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0.394</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Away</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0.032</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0.506</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0.192</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0.167</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r>
      <w:tr>
        <w:trPr>
          <w:trHeight w:val="300" w:hRule="exac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99%</w:t>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0.034</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0.963</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Away</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0.729</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0.911</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0.481</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0.016</w:t>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0.228</w:t>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0.012</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5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bl>
    <w:p>
      <w:pPr>
        <w:pStyle w:val="Tablecontent"/>
        <w:rPr/>
      </w:pPr>
      <w:r>
        <w:rPr/>
      </w:r>
    </w:p>
    <w:p>
      <w:pPr>
        <w:pStyle w:val="Normal"/>
        <w:rPr/>
      </w:pPr>
      <w:r>
        <w:rPr/>
      </w:r>
      <w:r>
        <w:br w:type="page"/>
      </w:r>
    </w:p>
    <w:p>
      <w:pPr>
        <w:pStyle w:val="Tablecaption"/>
        <w:numPr>
          <w:ilvl w:val="0"/>
          <w:numId w:val="0"/>
        </w:numPr>
        <w:rPr/>
      </w:pPr>
      <w:bookmarkStart w:id="13" w:name="_Toc61687526"/>
      <w:r>
        <w:rPr/>
        <w:t>Supplementary Table 14. Average probability of each reaction type in the vertical plane of movement by season and quantile.</w:t>
      </w:r>
      <w:bookmarkEnd w:id="13"/>
    </w:p>
    <w:tbl>
      <w:tblPr>
        <w:tblStyle w:val="TableGrid"/>
        <w:tblW w:w="4749" w:type="dxa"/>
        <w:jc w:val="center"/>
        <w:tblInd w:w="0" w:type="dxa"/>
        <w:tblCellMar>
          <w:top w:w="0" w:type="dxa"/>
          <w:left w:w="108" w:type="dxa"/>
          <w:bottom w:w="0" w:type="dxa"/>
          <w:right w:w="108" w:type="dxa"/>
        </w:tblCellMar>
        <w:tblLook w:noVBand="1" w:val="04a0" w:noHBand="0" w:lastColumn="0" w:firstColumn="1" w:lastRow="0" w:firstRow="1"/>
      </w:tblPr>
      <w:tblGrid>
        <w:gridCol w:w="1001"/>
        <w:gridCol w:w="1111"/>
        <w:gridCol w:w="1123"/>
        <w:gridCol w:w="757"/>
        <w:gridCol w:w="757"/>
      </w:tblGrid>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514" w:type="dxa"/>
            <w:gridSpan w:val="2"/>
            <w:tcBorders/>
            <w:shd w:fill="auto" w:val="clear"/>
          </w:tcPr>
          <w:p>
            <w:pPr>
              <w:pStyle w:val="Tablecontent"/>
              <w:spacing w:lineRule="auto" w:line="240" w:before="0" w:after="0"/>
              <w:rPr>
                <w:b/>
                <w:b/>
              </w:rPr>
            </w:pPr>
            <w:r>
              <w:rPr>
                <w:rFonts w:eastAsia="Times New Roman" w:cs="Times New Roman"/>
                <w:b/>
                <w:szCs w:val="20"/>
              </w:rPr>
              <w:t>Probability</w:t>
            </w:r>
          </w:p>
        </w:tc>
      </w:tr>
      <w:tr>
        <w:trPr>
          <w:trHeight w:val="300" w:hRule="atLeast"/>
        </w:trPr>
        <w:tc>
          <w:tcPr>
            <w:tcW w:w="1001" w:type="dxa"/>
            <w:tcBorders/>
            <w:shd w:fill="auto" w:val="clear"/>
          </w:tcPr>
          <w:p>
            <w:pPr>
              <w:pStyle w:val="Tablecontent"/>
              <w:spacing w:lineRule="auto" w:line="240" w:before="0" w:after="0"/>
              <w:rPr>
                <w:b/>
                <w:b/>
              </w:rPr>
            </w:pPr>
            <w:r>
              <w:rPr>
                <w:rFonts w:eastAsia="Times New Roman" w:cs="Times New Roman"/>
                <w:b/>
                <w:szCs w:val="20"/>
              </w:rPr>
              <w:t>Season</w:t>
            </w:r>
          </w:p>
        </w:tc>
        <w:tc>
          <w:tcPr>
            <w:tcW w:w="1111" w:type="dxa"/>
            <w:tcBorders/>
            <w:shd w:fill="auto" w:val="clear"/>
          </w:tcPr>
          <w:p>
            <w:pPr>
              <w:pStyle w:val="Tablecontent"/>
              <w:spacing w:lineRule="auto" w:line="240" w:before="0" w:after="0"/>
              <w:rPr>
                <w:b/>
                <w:b/>
              </w:rPr>
            </w:pPr>
            <w:r>
              <w:rPr>
                <w:rFonts w:eastAsia="Times New Roman" w:cs="Times New Roman"/>
                <w:b/>
                <w:szCs w:val="20"/>
              </w:rPr>
              <w:t>Quantile</w:t>
            </w:r>
          </w:p>
        </w:tc>
        <w:tc>
          <w:tcPr>
            <w:tcW w:w="1123" w:type="dxa"/>
            <w:tcBorders/>
            <w:shd w:fill="auto" w:val="clear"/>
          </w:tcPr>
          <w:p>
            <w:pPr>
              <w:pStyle w:val="Tablecontent"/>
              <w:spacing w:lineRule="auto" w:line="240" w:before="0" w:after="0"/>
              <w:rPr>
                <w:b/>
                <w:b/>
              </w:rPr>
            </w:pPr>
            <w:r>
              <w:rPr>
                <w:rFonts w:eastAsia="Times New Roman" w:cs="Times New Roman"/>
                <w:b/>
                <w:szCs w:val="20"/>
              </w:rPr>
              <w:t>Reaction</w:t>
            </w:r>
          </w:p>
        </w:tc>
        <w:tc>
          <w:tcPr>
            <w:tcW w:w="757" w:type="dxa"/>
            <w:tcBorders/>
            <w:shd w:fill="auto" w:val="clear"/>
          </w:tcPr>
          <w:p>
            <w:pPr>
              <w:pStyle w:val="Tablecontent"/>
              <w:spacing w:lineRule="auto" w:line="240" w:before="0" w:after="0"/>
              <w:rPr>
                <w:b/>
                <w:b/>
              </w:rPr>
            </w:pPr>
            <w:r>
              <w:rPr>
                <w:rFonts w:eastAsia="Times New Roman" w:cs="Times New Roman"/>
                <w:b/>
                <w:szCs w:val="20"/>
              </w:rPr>
              <w:t>Off</w:t>
            </w:r>
          </w:p>
        </w:tc>
        <w:tc>
          <w:tcPr>
            <w:tcW w:w="757" w:type="dxa"/>
            <w:tcBorders/>
            <w:shd w:fill="auto" w:val="clear"/>
          </w:tcPr>
          <w:p>
            <w:pPr>
              <w:pStyle w:val="Tablecontent"/>
              <w:spacing w:lineRule="auto" w:line="240" w:before="0" w:after="0"/>
              <w:rPr>
                <w:b/>
                <w:b/>
              </w:rPr>
            </w:pPr>
            <w:r>
              <w:rPr>
                <w:rFonts w:eastAsia="Times New Roman" w:cs="Times New Roman"/>
                <w:b/>
                <w:szCs w:val="20"/>
              </w:rPr>
              <w:t>On</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Spring</w:t>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90%</w:t>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Neutral</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0.51</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0.53</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0.47</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0.45</w:t>
            </w:r>
          </w:p>
        </w:tc>
      </w:tr>
      <w:tr>
        <w:trPr>
          <w:trHeight w:val="300" w:hRule="exac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95%</w:t>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Neutral</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0.48</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0.54</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0.44</w:t>
            </w:r>
          </w:p>
        </w:tc>
      </w:tr>
      <w:tr>
        <w:trPr>
          <w:trHeight w:val="300" w:hRule="exac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99%</w:t>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Neutral</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0.44</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0.44</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0.56</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0.54</w:t>
            </w:r>
          </w:p>
        </w:tc>
      </w:tr>
      <w:tr>
        <w:trPr>
          <w:trHeight w:val="300" w:hRule="exac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Autumn</w:t>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90%</w:t>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Neutral</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0.46</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0.49</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0.52</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0.48</w:t>
            </w:r>
          </w:p>
        </w:tc>
      </w:tr>
      <w:tr>
        <w:trPr>
          <w:trHeight w:val="300" w:hRule="exac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95%</w:t>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Neutral</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0.44</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0.47</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0.54</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0.51</w:t>
            </w:r>
          </w:p>
        </w:tc>
      </w:tr>
      <w:tr>
        <w:trPr>
          <w:trHeight w:val="300" w:hRule="exac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99%</w:t>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Neutral</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0.48</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0.49</w:t>
            </w:r>
          </w:p>
        </w:tc>
      </w:tr>
      <w:tr>
        <w:trPr>
          <w:trHeight w:val="300" w:hRule="atLeast"/>
        </w:trPr>
        <w:tc>
          <w:tcPr>
            <w:tcW w:w="100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1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0.51</w:t>
            </w:r>
          </w:p>
        </w:tc>
        <w:tc>
          <w:tcPr>
            <w:tcW w:w="75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0.49</w:t>
            </w:r>
          </w:p>
        </w:tc>
      </w:tr>
    </w:tbl>
    <w:p>
      <w:pPr>
        <w:pStyle w:val="Tablecontent"/>
        <w:rPr/>
      </w:pPr>
      <w:r>
        <w:rPr/>
      </w:r>
    </w:p>
    <w:p>
      <w:pPr>
        <w:pStyle w:val="Normal"/>
        <w:rPr/>
      </w:pPr>
      <w:r>
        <w:rPr/>
      </w:r>
      <w:r>
        <w:br w:type="page"/>
      </w:r>
    </w:p>
    <w:p>
      <w:pPr>
        <w:pStyle w:val="Tablecaption"/>
        <w:numPr>
          <w:ilvl w:val="0"/>
          <w:numId w:val="0"/>
        </w:numPr>
        <w:rPr/>
      </w:pPr>
      <w:bookmarkStart w:id="14" w:name="_Toc61687527"/>
      <w:r>
        <w:rPr/>
        <w:t>Supplementary Table 15. Regression statistics of the multinomial model of reactions in the vertical plane in spring compared to a baseline of neutral reactions to lights and to the lights-off treatment, by quantile. Top panel shows the coefficients of the model in the form of log odds, bottom panel shows p-values derived from z-tests (see main text).</w:t>
      </w:r>
      <w:bookmarkEnd w:id="14"/>
    </w:p>
    <w:tbl>
      <w:tblPr>
        <w:tblStyle w:val="TableGrid"/>
        <w:tblW w:w="6882" w:type="dxa"/>
        <w:jc w:val="center"/>
        <w:tblInd w:w="0" w:type="dxa"/>
        <w:tblCellMar>
          <w:top w:w="0" w:type="dxa"/>
          <w:left w:w="108" w:type="dxa"/>
          <w:bottom w:w="0" w:type="dxa"/>
          <w:right w:w="108" w:type="dxa"/>
        </w:tblCellMar>
        <w:tblLook w:noVBand="1" w:val="04a0" w:noHBand="0" w:lastColumn="0" w:firstColumn="1" w:lastRow="0" w:firstRow="1"/>
      </w:tblPr>
      <w:tblGrid>
        <w:gridCol w:w="1429"/>
        <w:gridCol w:w="1188"/>
        <w:gridCol w:w="1163"/>
        <w:gridCol w:w="1305"/>
        <w:gridCol w:w="1797"/>
      </w:tblGrid>
      <w:tr>
        <w:trPr>
          <w:trHeight w:val="300" w:hRule="atLeast"/>
        </w:trPr>
        <w:tc>
          <w:tcPr>
            <w:tcW w:w="1429" w:type="dxa"/>
            <w:tcBorders/>
            <w:shd w:fill="auto" w:val="clear"/>
          </w:tcPr>
          <w:p>
            <w:pPr>
              <w:pStyle w:val="Tablecontent"/>
              <w:spacing w:lineRule="auto" w:line="240" w:before="0" w:after="0"/>
              <w:rPr>
                <w:b/>
                <w:b/>
              </w:rPr>
            </w:pPr>
            <w:r>
              <w:rPr>
                <w:rFonts w:eastAsia="Times New Roman" w:cs="Times New Roman"/>
                <w:b/>
                <w:szCs w:val="20"/>
              </w:rPr>
              <w:t>Coefficients</w:t>
            </w:r>
          </w:p>
        </w:tc>
        <w:tc>
          <w:tcPr>
            <w:tcW w:w="1188"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163"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305"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797"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r>
      <w:tr>
        <w:trPr>
          <w:trHeight w:val="300" w:hRule="atLeast"/>
        </w:trPr>
        <w:tc>
          <w:tcPr>
            <w:tcW w:w="1429" w:type="dxa"/>
            <w:tcBorders/>
            <w:shd w:fill="auto" w:val="clear"/>
          </w:tcPr>
          <w:p>
            <w:pPr>
              <w:pStyle w:val="Tablecontent"/>
              <w:spacing w:lineRule="auto" w:line="240" w:before="0" w:after="0"/>
              <w:rPr>
                <w:b/>
                <w:b/>
              </w:rPr>
            </w:pPr>
            <w:r>
              <w:rPr>
                <w:rFonts w:eastAsia="Times New Roman" w:cs="Times New Roman"/>
                <w:b/>
                <w:szCs w:val="20"/>
              </w:rPr>
              <w:t>Quantile</w:t>
            </w:r>
          </w:p>
        </w:tc>
        <w:tc>
          <w:tcPr>
            <w:tcW w:w="1188" w:type="dxa"/>
            <w:tcBorders/>
            <w:shd w:fill="auto" w:val="clear"/>
          </w:tcPr>
          <w:p>
            <w:pPr>
              <w:pStyle w:val="Tablecontent"/>
              <w:spacing w:lineRule="auto" w:line="240" w:before="0" w:after="0"/>
              <w:rPr>
                <w:b/>
                <w:b/>
              </w:rPr>
            </w:pPr>
            <w:r>
              <w:rPr>
                <w:rFonts w:eastAsia="Times New Roman" w:cs="Times New Roman"/>
                <w:b/>
                <w:szCs w:val="20"/>
              </w:rPr>
              <w:t>Predictor</w:t>
            </w:r>
          </w:p>
        </w:tc>
        <w:tc>
          <w:tcPr>
            <w:tcW w:w="1163" w:type="dxa"/>
            <w:tcBorders/>
            <w:shd w:fill="auto" w:val="clear"/>
          </w:tcPr>
          <w:p>
            <w:pPr>
              <w:pStyle w:val="Tablecontent"/>
              <w:spacing w:lineRule="auto" w:line="240" w:before="0" w:after="0"/>
              <w:rPr>
                <w:b/>
                <w:b/>
              </w:rPr>
            </w:pPr>
            <w:r>
              <w:rPr>
                <w:rFonts w:eastAsia="Times New Roman" w:cs="Times New Roman"/>
                <w:b/>
                <w:szCs w:val="20"/>
              </w:rPr>
              <w:t>Intercept</w:t>
            </w:r>
          </w:p>
        </w:tc>
        <w:tc>
          <w:tcPr>
            <w:tcW w:w="1305" w:type="dxa"/>
            <w:tcBorders/>
            <w:shd w:fill="auto" w:val="clear"/>
          </w:tcPr>
          <w:p>
            <w:pPr>
              <w:pStyle w:val="Tablecontent"/>
              <w:spacing w:lineRule="auto" w:line="240" w:before="0" w:after="0"/>
              <w:rPr>
                <w:b/>
                <w:b/>
              </w:rPr>
            </w:pPr>
            <w:r>
              <w:rPr>
                <w:rFonts w:eastAsia="Times New Roman" w:cs="Times New Roman"/>
                <w:b/>
                <w:szCs w:val="20"/>
              </w:rPr>
              <w:t>Lights on</w:t>
            </w:r>
          </w:p>
        </w:tc>
        <w:tc>
          <w:tcPr>
            <w:tcW w:w="1797" w:type="dxa"/>
            <w:tcBorders/>
            <w:shd w:fill="auto" w:val="clear"/>
          </w:tcPr>
          <w:p>
            <w:pPr>
              <w:pStyle w:val="Tablecontent"/>
              <w:spacing w:lineRule="auto" w:line="240" w:before="0" w:after="0"/>
              <w:rPr>
                <w:b/>
                <w:b/>
              </w:rPr>
            </w:pPr>
            <w:r>
              <w:rPr>
                <w:rFonts w:eastAsia="Times New Roman" w:cs="Times New Roman"/>
                <w:b/>
                <w:szCs w:val="20"/>
              </w:rPr>
              <w:t>Flight altitude</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90%</w:t>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Climb</w:t>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3.329</w:t>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-0.173</w:t>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3.997</w:t>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-0.269</w:t>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-0.001</w:t>
            </w:r>
          </w:p>
        </w:tc>
      </w:tr>
      <w:tr>
        <w:trPr>
          <w:trHeight w:val="300" w:hRule="exac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95%</w:t>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Climb</w:t>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3.471</w:t>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-0.214</w:t>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4.075</w:t>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-0.453</w:t>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-0.001</w:t>
            </w:r>
          </w:p>
        </w:tc>
      </w:tr>
      <w:tr>
        <w:trPr>
          <w:trHeight w:val="300" w:hRule="exac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99%</w:t>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Climb</w:t>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10.445</w:t>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-7.021</w:t>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-0.001</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10.354</w:t>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-7.075</w:t>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tcPr>
          <w:p>
            <w:pPr>
              <w:pStyle w:val="Tablecontent"/>
              <w:spacing w:lineRule="auto" w:line="240" w:before="0" w:after="0"/>
              <w:rPr>
                <w:b/>
                <w:b/>
              </w:rPr>
            </w:pPr>
            <w:r>
              <w:rPr>
                <w:rFonts w:eastAsia="Times New Roman" w:cs="Times New Roman"/>
                <w:b/>
                <w:szCs w:val="20"/>
              </w:rPr>
              <w:t>p-values</w:t>
            </w:r>
          </w:p>
        </w:tc>
        <w:tc>
          <w:tcPr>
            <w:tcW w:w="1188"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163"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305"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797"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Quantile</w:t>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Predictor</w:t>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Intercept</w:t>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Lights on</w:t>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Flight altitude</w:t>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90%</w:t>
            </w:r>
          </w:p>
        </w:tc>
        <w:tc>
          <w:tcPr>
            <w:tcW w:w="118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1163"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130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0.488</w:t>
            </w:r>
          </w:p>
        </w:tc>
        <w:tc>
          <w:tcPr>
            <w:tcW w:w="179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0.701</w:t>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3"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130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0.281</w:t>
            </w:r>
          </w:p>
        </w:tc>
        <w:tc>
          <w:tcPr>
            <w:tcW w:w="179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0.122</w:t>
            </w:r>
          </w:p>
        </w:tc>
      </w:tr>
      <w:tr>
        <w:trPr>
          <w:trHeight w:val="300" w:hRule="exac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3"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79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95%</w:t>
            </w:r>
          </w:p>
        </w:tc>
        <w:tc>
          <w:tcPr>
            <w:tcW w:w="118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1163"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130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0.56</w:t>
            </w:r>
          </w:p>
        </w:tc>
        <w:tc>
          <w:tcPr>
            <w:tcW w:w="179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0.97</w:t>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3"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130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0.217</w:t>
            </w:r>
          </w:p>
        </w:tc>
        <w:tc>
          <w:tcPr>
            <w:tcW w:w="179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0.346</w:t>
            </w:r>
          </w:p>
        </w:tc>
      </w:tr>
      <w:tr>
        <w:trPr>
          <w:trHeight w:val="300" w:hRule="exac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3"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79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99%</w:t>
            </w:r>
          </w:p>
        </w:tc>
        <w:tc>
          <w:tcPr>
            <w:tcW w:w="118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1163"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130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179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0.858</w:t>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3"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130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179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0.972</w:t>
            </w:r>
          </w:p>
        </w:tc>
      </w:tr>
    </w:tbl>
    <w:p>
      <w:pPr>
        <w:pStyle w:val="Tablecontent"/>
        <w:rPr/>
      </w:pPr>
      <w:r>
        <w:rPr/>
      </w:r>
    </w:p>
    <w:p>
      <w:pPr>
        <w:pStyle w:val="Normal"/>
        <w:rPr/>
      </w:pPr>
      <w:r>
        <w:rPr/>
      </w:r>
      <w:r>
        <w:br w:type="page"/>
      </w:r>
    </w:p>
    <w:p>
      <w:pPr>
        <w:pStyle w:val="Tablecaption"/>
        <w:numPr>
          <w:ilvl w:val="0"/>
          <w:numId w:val="0"/>
        </w:numPr>
        <w:rPr/>
      </w:pPr>
      <w:bookmarkStart w:id="15" w:name="_Toc61687528"/>
      <w:r>
        <w:rPr/>
        <w:t>Supplementary Table 16. Regression statistics of the multinomial model of reactions in the vertical plane in autumn compared to a baseline of neutral reactions to lights and to the lights-off treatment, by quantile. Top panel shows the coefficients of the model in the form of log odds, bottom panel shows p-values derived from z-tests (see main text).</w:t>
      </w:r>
      <w:bookmarkEnd w:id="15"/>
    </w:p>
    <w:tbl>
      <w:tblPr>
        <w:tblStyle w:val="TableGrid"/>
        <w:tblW w:w="6882" w:type="dxa"/>
        <w:jc w:val="center"/>
        <w:tblInd w:w="0" w:type="dxa"/>
        <w:tblCellMar>
          <w:top w:w="0" w:type="dxa"/>
          <w:left w:w="108" w:type="dxa"/>
          <w:bottom w:w="0" w:type="dxa"/>
          <w:right w:w="108" w:type="dxa"/>
        </w:tblCellMar>
        <w:tblLook w:noVBand="1" w:val="04a0" w:noHBand="0" w:lastColumn="0" w:firstColumn="1" w:lastRow="0" w:firstRow="1"/>
      </w:tblPr>
      <w:tblGrid>
        <w:gridCol w:w="1429"/>
        <w:gridCol w:w="1188"/>
        <w:gridCol w:w="1163"/>
        <w:gridCol w:w="1305"/>
        <w:gridCol w:w="1797"/>
      </w:tblGrid>
      <w:tr>
        <w:trPr>
          <w:trHeight w:val="300" w:hRule="atLeast"/>
        </w:trPr>
        <w:tc>
          <w:tcPr>
            <w:tcW w:w="1429" w:type="dxa"/>
            <w:tcBorders/>
            <w:shd w:fill="auto" w:val="clear"/>
          </w:tcPr>
          <w:p>
            <w:pPr>
              <w:pStyle w:val="Tablecontent"/>
              <w:spacing w:lineRule="auto" w:line="240" w:before="0" w:after="0"/>
              <w:rPr>
                <w:b/>
                <w:b/>
              </w:rPr>
            </w:pPr>
            <w:r>
              <w:rPr>
                <w:rFonts w:eastAsia="Times New Roman" w:cs="Times New Roman"/>
                <w:b/>
                <w:szCs w:val="20"/>
              </w:rPr>
              <w:t>Coefficients</w:t>
            </w:r>
          </w:p>
        </w:tc>
        <w:tc>
          <w:tcPr>
            <w:tcW w:w="1188"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163"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305"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1797"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Quantile</w:t>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Predictor</w:t>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Intercept</w:t>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Lights on</w:t>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Flight altitude</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90%</w:t>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Climb</w:t>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2.788</w:t>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-0.181</w:t>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0.001</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3.501</w:t>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-0.317</w:t>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-0.001</w:t>
            </w:r>
          </w:p>
        </w:tc>
      </w:tr>
      <w:tr>
        <w:trPr>
          <w:trHeight w:val="300" w:hRule="exac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95%</w:t>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Climb</w:t>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2.589</w:t>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0.023</w:t>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0.002</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3.205</w:t>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-0.099</w:t>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0.001</w:t>
            </w:r>
          </w:p>
        </w:tc>
      </w:tr>
      <w:tr>
        <w:trPr>
          <w:trHeight w:val="300" w:hRule="exac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99%</w:t>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Climb</w:t>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1.887</w:t>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0.005</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2.607</w:t>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-0.294</w:t>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0.003</w:t>
            </w:r>
          </w:p>
        </w:tc>
      </w:tr>
      <w:tr>
        <w:trPr>
          <w:trHeight w:val="300" w:hRule="atLeast"/>
        </w:trPr>
        <w:tc>
          <w:tcPr>
            <w:tcW w:w="14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tcPr>
          <w:p>
            <w:pPr>
              <w:pStyle w:val="Tablecontent"/>
              <w:spacing w:lineRule="auto" w:line="240" w:before="0" w:after="0"/>
              <w:rPr>
                <w:b/>
                <w:b/>
              </w:rPr>
            </w:pPr>
            <w:r>
              <w:rPr>
                <w:rFonts w:eastAsia="Times New Roman" w:cs="Times New Roman"/>
                <w:b/>
                <w:szCs w:val="20"/>
              </w:rPr>
              <w:t>p-values</w:t>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tcPr>
          <w:p>
            <w:pPr>
              <w:pStyle w:val="Tablecontent"/>
              <w:spacing w:lineRule="auto" w:line="240" w:before="0" w:after="0"/>
              <w:rPr>
                <w:b/>
                <w:b/>
              </w:rPr>
            </w:pPr>
            <w:r>
              <w:rPr>
                <w:rFonts w:eastAsia="Times New Roman" w:cs="Times New Roman"/>
                <w:b/>
                <w:szCs w:val="20"/>
              </w:rPr>
              <w:t>Quantile</w:t>
            </w:r>
          </w:p>
        </w:tc>
        <w:tc>
          <w:tcPr>
            <w:tcW w:w="118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Predictor</w:t>
            </w:r>
          </w:p>
        </w:tc>
        <w:tc>
          <w:tcPr>
            <w:tcW w:w="116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Intercept</w:t>
            </w:r>
          </w:p>
        </w:tc>
        <w:tc>
          <w:tcPr>
            <w:tcW w:w="130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Lights on</w:t>
            </w:r>
          </w:p>
        </w:tc>
        <w:tc>
          <w:tcPr>
            <w:tcW w:w="179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Flight altitude</w:t>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90%</w:t>
            </w:r>
          </w:p>
        </w:tc>
        <w:tc>
          <w:tcPr>
            <w:tcW w:w="118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1163"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130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0.335</w:t>
            </w:r>
          </w:p>
        </w:tc>
        <w:tc>
          <w:tcPr>
            <w:tcW w:w="179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0.406</w:t>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3"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130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0.089</w:t>
            </w:r>
          </w:p>
        </w:tc>
        <w:tc>
          <w:tcPr>
            <w:tcW w:w="179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0.595</w:t>
            </w:r>
          </w:p>
        </w:tc>
      </w:tr>
      <w:tr>
        <w:trPr>
          <w:trHeight w:val="300" w:hRule="exac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3"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79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95%</w:t>
            </w:r>
          </w:p>
        </w:tc>
        <w:tc>
          <w:tcPr>
            <w:tcW w:w="118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1163"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130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0.937</w:t>
            </w:r>
          </w:p>
        </w:tc>
        <w:tc>
          <w:tcPr>
            <w:tcW w:w="179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0.195</w:t>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3"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130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0.731</w:t>
            </w:r>
          </w:p>
        </w:tc>
        <w:tc>
          <w:tcPr>
            <w:tcW w:w="179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0.519</w:t>
            </w:r>
          </w:p>
        </w:tc>
      </w:tr>
      <w:tr>
        <w:trPr>
          <w:trHeight w:val="300" w:hRule="exac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63"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30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79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99%</w:t>
            </w:r>
          </w:p>
        </w:tc>
        <w:tc>
          <w:tcPr>
            <w:tcW w:w="118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Ascend</w:t>
            </w:r>
          </w:p>
        </w:tc>
        <w:tc>
          <w:tcPr>
            <w:tcW w:w="1163"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0.038</w:t>
            </w:r>
          </w:p>
        </w:tc>
        <w:tc>
          <w:tcPr>
            <w:tcW w:w="130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0.699</w:t>
            </w:r>
          </w:p>
        </w:tc>
        <w:tc>
          <w:tcPr>
            <w:tcW w:w="179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0.188</w:t>
            </w:r>
          </w:p>
        </w:tc>
      </w:tr>
      <w:tr>
        <w:trPr>
          <w:trHeight w:val="300" w:hRule="atLeast"/>
        </w:trPr>
        <w:tc>
          <w:tcPr>
            <w:tcW w:w="14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18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Descend</w:t>
            </w:r>
          </w:p>
        </w:tc>
        <w:tc>
          <w:tcPr>
            <w:tcW w:w="1163"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0.004</w:t>
            </w:r>
          </w:p>
        </w:tc>
        <w:tc>
          <w:tcPr>
            <w:tcW w:w="1305"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0.619</w:t>
            </w:r>
          </w:p>
        </w:tc>
        <w:tc>
          <w:tcPr>
            <w:tcW w:w="179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0.421</w:t>
            </w:r>
          </w:p>
        </w:tc>
      </w:tr>
    </w:tbl>
    <w:p>
      <w:pPr>
        <w:pStyle w:val="Tablecontent"/>
        <w:rPr/>
      </w:pPr>
      <w:r>
        <w:rPr/>
      </w:r>
    </w:p>
    <w:p>
      <w:pPr>
        <w:pStyle w:val="Normal"/>
        <w:rPr/>
      </w:pPr>
      <w:r>
        <w:rPr/>
      </w:r>
      <w:r>
        <w:br w:type="page"/>
      </w:r>
    </w:p>
    <w:p>
      <w:pPr>
        <w:pStyle w:val="Tablecaption"/>
        <w:numPr>
          <w:ilvl w:val="0"/>
          <w:numId w:val="0"/>
        </w:numPr>
        <w:rPr/>
      </w:pPr>
      <w:bookmarkStart w:id="16" w:name="_Toc61687529"/>
      <w:r>
        <w:rPr/>
        <w:t>Supplementary Table 17. Posterior mean values, standard errors (SE) and 80% credible intervals of binomial generalized linear model of change points in the horizontal plane of movement in relation to listed predictors in spring migration season, for three quantiles of directional change.</w:t>
      </w:r>
      <w:bookmarkEnd w:id="16"/>
      <w:r>
        <w:rPr/>
        <w:t xml:space="preserve"> n_eff: A measure of effective sample size. Rhat: Potential scale reduction factor (at convergence, Rhat = 1; Sturtz et al. 2005).</w:t>
      </w:r>
    </w:p>
    <w:tbl>
      <w:tblPr>
        <w:tblStyle w:val="TableGrid"/>
        <w:tblW w:w="8863" w:type="dxa"/>
        <w:jc w:val="left"/>
        <w:tblInd w:w="0" w:type="dxa"/>
        <w:tblCellMar>
          <w:top w:w="0" w:type="dxa"/>
          <w:left w:w="108" w:type="dxa"/>
          <w:bottom w:w="0" w:type="dxa"/>
          <w:right w:w="108" w:type="dxa"/>
        </w:tblCellMar>
        <w:tblLook w:noVBand="1" w:val="04a0" w:noHBand="0" w:lastColumn="0" w:firstColumn="1" w:lastRow="0" w:firstRow="1"/>
      </w:tblPr>
      <w:tblGrid>
        <w:gridCol w:w="3316"/>
        <w:gridCol w:w="923"/>
        <w:gridCol w:w="656"/>
        <w:gridCol w:w="834"/>
        <w:gridCol w:w="837"/>
        <w:gridCol w:w="837"/>
        <w:gridCol w:w="735"/>
        <w:gridCol w:w="724"/>
      </w:tblGrid>
      <w:tr>
        <w:trPr>
          <w:trHeight w:val="300" w:hRule="atLeast"/>
        </w:trPr>
        <w:tc>
          <w:tcPr>
            <w:tcW w:w="3316" w:type="dxa"/>
            <w:tcBorders/>
            <w:shd w:fill="auto" w:val="clear"/>
          </w:tcPr>
          <w:p>
            <w:pPr>
              <w:pStyle w:val="Tablecontent"/>
              <w:spacing w:lineRule="auto" w:line="240" w:before="0" w:after="0"/>
              <w:rPr>
                <w:b/>
                <w:b/>
              </w:rPr>
            </w:pPr>
            <w:r>
              <w:rPr>
                <w:rFonts w:eastAsia="Times New Roman" w:cs="Times New Roman"/>
                <w:b/>
                <w:szCs w:val="20"/>
              </w:rPr>
              <w:t>Model parameters</w:t>
            </w:r>
          </w:p>
        </w:tc>
        <w:tc>
          <w:tcPr>
            <w:tcW w:w="923"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656"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834"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837"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837"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735"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724"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r>
      <w:tr>
        <w:trPr>
          <w:trHeight w:val="300" w:hRule="atLeast"/>
        </w:trPr>
        <w:tc>
          <w:tcPr>
            <w:tcW w:w="3316" w:type="dxa"/>
            <w:tcBorders/>
            <w:shd w:fill="auto" w:val="clear"/>
          </w:tcPr>
          <w:p>
            <w:pPr>
              <w:pStyle w:val="Tablecontent"/>
              <w:spacing w:lineRule="auto" w:line="240" w:before="0" w:after="0"/>
              <w:rPr>
                <w:b/>
                <w:b/>
              </w:rPr>
            </w:pPr>
            <w:r>
              <w:rPr>
                <w:rFonts w:eastAsia="Times New Roman" w:cs="Times New Roman"/>
                <w:b/>
                <w:szCs w:val="20"/>
              </w:rPr>
              <w:t>90% quantile</w:t>
            </w:r>
          </w:p>
        </w:tc>
        <w:tc>
          <w:tcPr>
            <w:tcW w:w="923" w:type="dxa"/>
            <w:tcBorders/>
            <w:shd w:fill="auto" w:val="clear"/>
          </w:tcPr>
          <w:p>
            <w:pPr>
              <w:pStyle w:val="Tablecontent"/>
              <w:spacing w:lineRule="auto" w:line="240" w:before="0" w:after="0"/>
              <w:rPr>
                <w:b/>
                <w:b/>
              </w:rPr>
            </w:pPr>
            <w:r>
              <w:rPr>
                <w:rFonts w:eastAsia="Times New Roman" w:cs="Times New Roman"/>
                <w:b/>
                <w:szCs w:val="20"/>
              </w:rPr>
              <w:t>Mean</w:t>
            </w:r>
          </w:p>
        </w:tc>
        <w:tc>
          <w:tcPr>
            <w:tcW w:w="656" w:type="dxa"/>
            <w:tcBorders/>
            <w:shd w:fill="auto" w:val="clear"/>
          </w:tcPr>
          <w:p>
            <w:pPr>
              <w:pStyle w:val="Tablecontent"/>
              <w:spacing w:lineRule="auto" w:line="240" w:before="0" w:after="0"/>
              <w:rPr>
                <w:b/>
                <w:b/>
              </w:rPr>
            </w:pPr>
            <w:r>
              <w:rPr>
                <w:rFonts w:eastAsia="Times New Roman" w:cs="Times New Roman"/>
                <w:b/>
                <w:szCs w:val="20"/>
              </w:rPr>
              <w:t>SD</w:t>
            </w:r>
          </w:p>
        </w:tc>
        <w:tc>
          <w:tcPr>
            <w:tcW w:w="834" w:type="dxa"/>
            <w:tcBorders/>
            <w:shd w:fill="auto" w:val="clear"/>
          </w:tcPr>
          <w:p>
            <w:pPr>
              <w:pStyle w:val="Tablecontent"/>
              <w:spacing w:lineRule="auto" w:line="240" w:before="0" w:after="0"/>
              <w:rPr>
                <w:b/>
                <w:b/>
              </w:rPr>
            </w:pPr>
            <w:r>
              <w:rPr>
                <w:rFonts w:eastAsia="Times New Roman" w:cs="Times New Roman"/>
                <w:b/>
                <w:szCs w:val="20"/>
              </w:rPr>
              <w:t>10%</w:t>
            </w:r>
          </w:p>
        </w:tc>
        <w:tc>
          <w:tcPr>
            <w:tcW w:w="837" w:type="dxa"/>
            <w:tcBorders/>
            <w:shd w:fill="auto" w:val="clear"/>
          </w:tcPr>
          <w:p>
            <w:pPr>
              <w:pStyle w:val="Tablecontent"/>
              <w:spacing w:lineRule="auto" w:line="240" w:before="0" w:after="0"/>
              <w:rPr>
                <w:b/>
                <w:b/>
              </w:rPr>
            </w:pPr>
            <w:r>
              <w:rPr>
                <w:rFonts w:eastAsia="Times New Roman" w:cs="Times New Roman"/>
                <w:b/>
                <w:szCs w:val="20"/>
              </w:rPr>
              <w:t>50%</w:t>
            </w:r>
          </w:p>
        </w:tc>
        <w:tc>
          <w:tcPr>
            <w:tcW w:w="837" w:type="dxa"/>
            <w:tcBorders/>
            <w:shd w:fill="auto" w:val="clear"/>
          </w:tcPr>
          <w:p>
            <w:pPr>
              <w:pStyle w:val="Tablecontent"/>
              <w:spacing w:lineRule="auto" w:line="240" w:before="0" w:after="0"/>
              <w:rPr>
                <w:b/>
                <w:b/>
              </w:rPr>
            </w:pPr>
            <w:r>
              <w:rPr>
                <w:rFonts w:eastAsia="Times New Roman" w:cs="Times New Roman"/>
                <w:b/>
                <w:szCs w:val="20"/>
              </w:rPr>
              <w:t>90%</w:t>
            </w:r>
          </w:p>
        </w:tc>
        <w:tc>
          <w:tcPr>
            <w:tcW w:w="735" w:type="dxa"/>
            <w:tcBorders/>
            <w:shd w:fill="auto" w:val="clear"/>
          </w:tcPr>
          <w:p>
            <w:pPr>
              <w:pStyle w:val="Tablecontent"/>
              <w:spacing w:lineRule="auto" w:line="240" w:before="0" w:after="0"/>
              <w:rPr>
                <w:b/>
                <w:b/>
              </w:rPr>
            </w:pPr>
            <w:r>
              <w:rPr>
                <w:rFonts w:eastAsia="Times New Roman" w:cs="Times New Roman"/>
                <w:b/>
                <w:szCs w:val="20"/>
              </w:rPr>
              <w:t>n_eff</w:t>
            </w:r>
          </w:p>
        </w:tc>
        <w:tc>
          <w:tcPr>
            <w:tcW w:w="724" w:type="dxa"/>
            <w:tcBorders/>
            <w:shd w:fill="auto" w:val="clear"/>
          </w:tcPr>
          <w:p>
            <w:pPr>
              <w:pStyle w:val="Tablecontent"/>
              <w:spacing w:lineRule="auto" w:line="240" w:before="0" w:after="0"/>
              <w:rPr>
                <w:b/>
                <w:b/>
              </w:rPr>
            </w:pPr>
            <w:r>
              <w:rPr>
                <w:rFonts w:eastAsia="Times New Roman" w:cs="Times New Roman"/>
                <w:b/>
                <w:szCs w:val="20"/>
              </w:rPr>
              <w:t>Rhat</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Intercept</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-0.22</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5944</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-0.37</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6414</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Flight altitude</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7038</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 to structures</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7220</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Minutes to sunrise</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6106</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Height difference</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7155</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Wind support</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-0.35</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-0.53</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-0.34</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5737</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Cross wind</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6528</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Visibility</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5684</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-0.30</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0.28</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-0.67</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-0.30</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5279</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Base cloud height</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5613</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Moon illumination</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0.46</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5291</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structures X Visibility</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-0.35</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6971</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Visibility</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6327</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Cloud cover</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-0.33</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7071</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 X Moon illumination</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0.27</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-0.32</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0.37</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5347</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3316" w:type="dxa"/>
            <w:tcBorders/>
            <w:shd w:fill="auto" w:val="clear"/>
          </w:tcPr>
          <w:p>
            <w:pPr>
              <w:pStyle w:val="Tablecontent"/>
              <w:spacing w:lineRule="auto" w:line="240" w:before="0" w:after="0"/>
              <w:rPr>
                <w:b/>
                <w:b/>
              </w:rPr>
            </w:pPr>
            <w:r>
              <w:rPr>
                <w:rFonts w:eastAsia="Times New Roman" w:cs="Times New Roman"/>
                <w:b/>
                <w:szCs w:val="20"/>
              </w:rPr>
              <w:t>95% quantile</w:t>
            </w:r>
          </w:p>
        </w:tc>
        <w:tc>
          <w:tcPr>
            <w:tcW w:w="923" w:type="dxa"/>
            <w:tcBorders/>
            <w:shd w:fill="auto" w:val="clear"/>
          </w:tcPr>
          <w:p>
            <w:pPr>
              <w:pStyle w:val="Tablecontent"/>
              <w:spacing w:lineRule="auto" w:line="240" w:before="0" w:after="0"/>
              <w:rPr>
                <w:b/>
                <w:b/>
              </w:rPr>
            </w:pPr>
            <w:r>
              <w:rPr>
                <w:rFonts w:eastAsia="Times New Roman" w:cs="Times New Roman"/>
                <w:b/>
                <w:szCs w:val="20"/>
              </w:rPr>
              <w:t>Mean</w:t>
            </w:r>
          </w:p>
        </w:tc>
        <w:tc>
          <w:tcPr>
            <w:tcW w:w="656" w:type="dxa"/>
            <w:tcBorders/>
            <w:shd w:fill="auto" w:val="clear"/>
          </w:tcPr>
          <w:p>
            <w:pPr>
              <w:pStyle w:val="Tablecontent"/>
              <w:spacing w:lineRule="auto" w:line="240" w:before="0" w:after="0"/>
              <w:rPr>
                <w:b/>
                <w:b/>
              </w:rPr>
            </w:pPr>
            <w:r>
              <w:rPr>
                <w:rFonts w:eastAsia="Times New Roman" w:cs="Times New Roman"/>
                <w:b/>
                <w:szCs w:val="20"/>
              </w:rPr>
              <w:t>SD</w:t>
            </w:r>
          </w:p>
        </w:tc>
        <w:tc>
          <w:tcPr>
            <w:tcW w:w="834" w:type="dxa"/>
            <w:tcBorders/>
            <w:shd w:fill="auto" w:val="clear"/>
          </w:tcPr>
          <w:p>
            <w:pPr>
              <w:pStyle w:val="Tablecontent"/>
              <w:spacing w:lineRule="auto" w:line="240" w:before="0" w:after="0"/>
              <w:rPr>
                <w:b/>
                <w:b/>
              </w:rPr>
            </w:pPr>
            <w:r>
              <w:rPr>
                <w:rFonts w:eastAsia="Times New Roman" w:cs="Times New Roman"/>
                <w:b/>
                <w:szCs w:val="20"/>
              </w:rPr>
              <w:t>10%</w:t>
            </w:r>
          </w:p>
        </w:tc>
        <w:tc>
          <w:tcPr>
            <w:tcW w:w="837" w:type="dxa"/>
            <w:tcBorders/>
            <w:shd w:fill="auto" w:val="clear"/>
          </w:tcPr>
          <w:p>
            <w:pPr>
              <w:pStyle w:val="Tablecontent"/>
              <w:spacing w:lineRule="auto" w:line="240" w:before="0" w:after="0"/>
              <w:rPr>
                <w:b/>
                <w:b/>
              </w:rPr>
            </w:pPr>
            <w:r>
              <w:rPr>
                <w:rFonts w:eastAsia="Times New Roman" w:cs="Times New Roman"/>
                <w:b/>
                <w:szCs w:val="20"/>
              </w:rPr>
              <w:t>50%</w:t>
            </w:r>
          </w:p>
        </w:tc>
        <w:tc>
          <w:tcPr>
            <w:tcW w:w="837" w:type="dxa"/>
            <w:tcBorders/>
            <w:shd w:fill="auto" w:val="clear"/>
          </w:tcPr>
          <w:p>
            <w:pPr>
              <w:pStyle w:val="Tablecontent"/>
              <w:spacing w:lineRule="auto" w:line="240" w:before="0" w:after="0"/>
              <w:rPr>
                <w:b/>
                <w:b/>
              </w:rPr>
            </w:pPr>
            <w:r>
              <w:rPr>
                <w:rFonts w:eastAsia="Times New Roman" w:cs="Times New Roman"/>
                <w:b/>
                <w:szCs w:val="20"/>
              </w:rPr>
              <w:t>90%</w:t>
            </w:r>
          </w:p>
        </w:tc>
        <w:tc>
          <w:tcPr>
            <w:tcW w:w="735" w:type="dxa"/>
            <w:tcBorders/>
            <w:shd w:fill="auto" w:val="clear"/>
          </w:tcPr>
          <w:p>
            <w:pPr>
              <w:pStyle w:val="Tablecontent"/>
              <w:spacing w:lineRule="auto" w:line="240" w:before="0" w:after="0"/>
              <w:rPr>
                <w:b/>
                <w:b/>
              </w:rPr>
            </w:pPr>
            <w:r>
              <w:rPr>
                <w:rFonts w:eastAsia="Times New Roman" w:cs="Times New Roman"/>
                <w:b/>
                <w:szCs w:val="20"/>
              </w:rPr>
              <w:t>n_eff</w:t>
            </w:r>
          </w:p>
        </w:tc>
        <w:tc>
          <w:tcPr>
            <w:tcW w:w="724" w:type="dxa"/>
            <w:tcBorders/>
            <w:shd w:fill="auto" w:val="clear"/>
          </w:tcPr>
          <w:p>
            <w:pPr>
              <w:pStyle w:val="Tablecontent"/>
              <w:spacing w:lineRule="auto" w:line="240" w:before="0" w:after="0"/>
              <w:rPr>
                <w:b/>
                <w:b/>
              </w:rPr>
            </w:pPr>
            <w:r>
              <w:rPr>
                <w:rFonts w:eastAsia="Times New Roman" w:cs="Times New Roman"/>
                <w:b/>
                <w:szCs w:val="20"/>
              </w:rPr>
              <w:t>Rhat</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Intercept</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6131</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-0.37</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6802</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Flight altitude</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6618</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 to structures</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6711</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Minutes to sunrise</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6024</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Height difference</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6960</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Wind support</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-0.33</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6056</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Cross wind</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0.38</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6638</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Visibility</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6168</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-0.59</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5459</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Base cloud height</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6389</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Moon illumination</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0.38</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5254</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structures X Visibility</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7187</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Visibility</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-0.33</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6466</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Cloud cover</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-0.26</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6223</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 X Moon illumination</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-0.37</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0.36</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5799</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3316" w:type="dxa"/>
            <w:tcBorders/>
            <w:shd w:fill="auto" w:val="clear"/>
          </w:tcPr>
          <w:p>
            <w:pPr>
              <w:pStyle w:val="Tablecontent"/>
              <w:spacing w:lineRule="auto" w:line="240" w:before="0" w:after="0"/>
              <w:rPr>
                <w:b/>
                <w:b/>
              </w:rPr>
            </w:pPr>
            <w:r>
              <w:rPr>
                <w:rFonts w:eastAsia="Times New Roman" w:cs="Times New Roman"/>
                <w:b/>
                <w:szCs w:val="20"/>
              </w:rPr>
              <w:t>99% quantile</w:t>
            </w:r>
          </w:p>
        </w:tc>
        <w:tc>
          <w:tcPr>
            <w:tcW w:w="923" w:type="dxa"/>
            <w:tcBorders/>
            <w:shd w:fill="auto" w:val="clear"/>
          </w:tcPr>
          <w:p>
            <w:pPr>
              <w:pStyle w:val="Tablecontent"/>
              <w:spacing w:lineRule="auto" w:line="240" w:before="0" w:after="0"/>
              <w:rPr>
                <w:b/>
                <w:b/>
              </w:rPr>
            </w:pPr>
            <w:r>
              <w:rPr>
                <w:rFonts w:eastAsia="Times New Roman" w:cs="Times New Roman"/>
                <w:b/>
                <w:szCs w:val="20"/>
              </w:rPr>
              <w:t>Mean</w:t>
            </w:r>
          </w:p>
        </w:tc>
        <w:tc>
          <w:tcPr>
            <w:tcW w:w="656" w:type="dxa"/>
            <w:tcBorders/>
            <w:shd w:fill="auto" w:val="clear"/>
          </w:tcPr>
          <w:p>
            <w:pPr>
              <w:pStyle w:val="Tablecontent"/>
              <w:spacing w:lineRule="auto" w:line="240" w:before="0" w:after="0"/>
              <w:rPr>
                <w:b/>
                <w:b/>
              </w:rPr>
            </w:pPr>
            <w:r>
              <w:rPr>
                <w:rFonts w:eastAsia="Times New Roman" w:cs="Times New Roman"/>
                <w:b/>
                <w:szCs w:val="20"/>
              </w:rPr>
              <w:t>SD</w:t>
            </w:r>
          </w:p>
        </w:tc>
        <w:tc>
          <w:tcPr>
            <w:tcW w:w="834" w:type="dxa"/>
            <w:tcBorders/>
            <w:shd w:fill="auto" w:val="clear"/>
          </w:tcPr>
          <w:p>
            <w:pPr>
              <w:pStyle w:val="Tablecontent"/>
              <w:spacing w:lineRule="auto" w:line="240" w:before="0" w:after="0"/>
              <w:rPr>
                <w:b/>
                <w:b/>
              </w:rPr>
            </w:pPr>
            <w:r>
              <w:rPr>
                <w:rFonts w:eastAsia="Times New Roman" w:cs="Times New Roman"/>
                <w:b/>
                <w:szCs w:val="20"/>
              </w:rPr>
              <w:t>10%</w:t>
            </w:r>
          </w:p>
        </w:tc>
        <w:tc>
          <w:tcPr>
            <w:tcW w:w="837" w:type="dxa"/>
            <w:tcBorders/>
            <w:shd w:fill="auto" w:val="clear"/>
          </w:tcPr>
          <w:p>
            <w:pPr>
              <w:pStyle w:val="Tablecontent"/>
              <w:spacing w:lineRule="auto" w:line="240" w:before="0" w:after="0"/>
              <w:rPr>
                <w:b/>
                <w:b/>
              </w:rPr>
            </w:pPr>
            <w:r>
              <w:rPr>
                <w:rFonts w:eastAsia="Times New Roman" w:cs="Times New Roman"/>
                <w:b/>
                <w:szCs w:val="20"/>
              </w:rPr>
              <w:t>50%</w:t>
            </w:r>
          </w:p>
        </w:tc>
        <w:tc>
          <w:tcPr>
            <w:tcW w:w="837" w:type="dxa"/>
            <w:tcBorders/>
            <w:shd w:fill="auto" w:val="clear"/>
          </w:tcPr>
          <w:p>
            <w:pPr>
              <w:pStyle w:val="Tablecontent"/>
              <w:spacing w:lineRule="auto" w:line="240" w:before="0" w:after="0"/>
              <w:rPr>
                <w:b/>
                <w:b/>
              </w:rPr>
            </w:pPr>
            <w:r>
              <w:rPr>
                <w:rFonts w:eastAsia="Times New Roman" w:cs="Times New Roman"/>
                <w:b/>
                <w:szCs w:val="20"/>
              </w:rPr>
              <w:t>90%</w:t>
            </w:r>
          </w:p>
        </w:tc>
        <w:tc>
          <w:tcPr>
            <w:tcW w:w="735" w:type="dxa"/>
            <w:tcBorders/>
            <w:shd w:fill="auto" w:val="clear"/>
          </w:tcPr>
          <w:p>
            <w:pPr>
              <w:pStyle w:val="Tablecontent"/>
              <w:spacing w:lineRule="auto" w:line="240" w:before="0" w:after="0"/>
              <w:rPr>
                <w:b/>
                <w:b/>
              </w:rPr>
            </w:pPr>
            <w:r>
              <w:rPr>
                <w:rFonts w:eastAsia="Times New Roman" w:cs="Times New Roman"/>
                <w:b/>
                <w:szCs w:val="20"/>
              </w:rPr>
              <w:t>n_eff</w:t>
            </w:r>
          </w:p>
        </w:tc>
        <w:tc>
          <w:tcPr>
            <w:tcW w:w="724" w:type="dxa"/>
            <w:tcBorders/>
            <w:shd w:fill="auto" w:val="clear"/>
          </w:tcPr>
          <w:p>
            <w:pPr>
              <w:pStyle w:val="Tablecontent"/>
              <w:spacing w:lineRule="auto" w:line="240" w:before="0" w:after="0"/>
              <w:rPr>
                <w:b/>
                <w:b/>
              </w:rPr>
            </w:pPr>
            <w:r>
              <w:rPr>
                <w:rFonts w:eastAsia="Times New Roman" w:cs="Times New Roman"/>
                <w:b/>
                <w:szCs w:val="20"/>
              </w:rPr>
              <w:t>Rhat</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Intercept</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-0.42</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0.37</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5672</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0.35</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7283</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Flight altitude</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-0.45</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6965</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 to structures</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-0.30</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-0.55</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6855</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Minutes to sunrise</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0.28</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7172</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Height difference</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0.34</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7115</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Wind support</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-0.33</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0.25</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-0.65</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-0.32</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5743</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Cross wind</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0.44</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0.44</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0.74</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6629</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Visibility</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0.27</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-0.47</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6214</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-0.37</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0.52</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-1.04</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-0.36</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5693</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Base cloud height</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0.25</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-0.34</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0.30</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5716</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Moon illumination</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0.30</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0.40</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0.30</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0.80</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5329</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structures X Visibility</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-0.38</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7211</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Visibility</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0.28</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0.33</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0.28</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0.71</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5913</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Cloud cover</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0.36</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-0.33</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0.59</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6325</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331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 X Moon illumination</w:t>
            </w:r>
          </w:p>
        </w:tc>
        <w:tc>
          <w:tcPr>
            <w:tcW w:w="9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65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0.53</w:t>
            </w:r>
          </w:p>
        </w:tc>
        <w:tc>
          <w:tcPr>
            <w:tcW w:w="8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-0.66</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83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0.67</w:t>
            </w:r>
          </w:p>
        </w:tc>
        <w:tc>
          <w:tcPr>
            <w:tcW w:w="735"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5372</w:t>
            </w:r>
          </w:p>
        </w:tc>
        <w:tc>
          <w:tcPr>
            <w:tcW w:w="72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bl>
    <w:p>
      <w:pPr>
        <w:pStyle w:val="Tablecontent"/>
        <w:rPr/>
      </w:pPr>
      <w:r>
        <w:rPr/>
      </w:r>
    </w:p>
    <w:p>
      <w:pPr>
        <w:pStyle w:val="Normal"/>
        <w:rPr/>
      </w:pPr>
      <w:r>
        <w:rPr/>
      </w:r>
      <w:r>
        <w:br w:type="page"/>
      </w:r>
    </w:p>
    <w:p>
      <w:pPr>
        <w:pStyle w:val="Tablecaption"/>
        <w:numPr>
          <w:ilvl w:val="0"/>
          <w:numId w:val="0"/>
        </w:numPr>
        <w:rPr/>
      </w:pPr>
      <w:bookmarkStart w:id="17" w:name="_Toc61687530"/>
      <w:r>
        <w:rPr/>
        <w:t>Supplementary Table 18. Posterior mean values, standard errors (SE) and 80% credible intervals of binomial generalized linear models of change points in the horizontal plane of movement in relation to listed predictors in autumn migration season, for three quantiles of directional change.</w:t>
      </w:r>
      <w:bookmarkEnd w:id="17"/>
      <w:r>
        <w:rPr/>
        <w:t xml:space="preserve"> n_eff: A measure of effective sample size. Rhat: Potential scale reduction factor (at convergence, Rhat = 1; Sturtz et al. 2005).</w:t>
      </w:r>
    </w:p>
    <w:tbl>
      <w:tblPr>
        <w:tblStyle w:val="TableGrid"/>
        <w:tblW w:w="7964" w:type="dxa"/>
        <w:jc w:val="left"/>
        <w:tblInd w:w="0" w:type="dxa"/>
        <w:tblCellMar>
          <w:top w:w="0" w:type="dxa"/>
          <w:left w:w="108" w:type="dxa"/>
          <w:bottom w:w="0" w:type="dxa"/>
          <w:right w:w="108" w:type="dxa"/>
        </w:tblCellMar>
        <w:tblLook w:noVBand="1" w:val="04a0" w:noHBand="0" w:lastColumn="0" w:firstColumn="1" w:lastRow="0" w:firstRow="1"/>
      </w:tblPr>
      <w:tblGrid>
        <w:gridCol w:w="2820"/>
        <w:gridCol w:w="802"/>
        <w:gridCol w:w="672"/>
        <w:gridCol w:w="732"/>
        <w:gridCol w:w="731"/>
        <w:gridCol w:w="732"/>
        <w:gridCol w:w="751"/>
        <w:gridCol w:w="723"/>
      </w:tblGrid>
      <w:tr>
        <w:trPr>
          <w:trHeight w:val="300" w:hRule="atLeast"/>
        </w:trPr>
        <w:tc>
          <w:tcPr>
            <w:tcW w:w="2820" w:type="dxa"/>
            <w:tcBorders/>
            <w:shd w:fill="auto" w:val="clear"/>
          </w:tcPr>
          <w:p>
            <w:pPr>
              <w:pStyle w:val="Tablecontent"/>
              <w:spacing w:lineRule="auto" w:line="240" w:before="0" w:after="0"/>
              <w:rPr>
                <w:b/>
                <w:b/>
              </w:rPr>
            </w:pPr>
            <w:r>
              <w:rPr>
                <w:rFonts w:eastAsia="Times New Roman" w:cs="Times New Roman"/>
                <w:b/>
                <w:szCs w:val="20"/>
              </w:rPr>
              <w:t>Model parameters</w:t>
            </w:r>
          </w:p>
        </w:tc>
        <w:tc>
          <w:tcPr>
            <w:tcW w:w="802"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672"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732"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731"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732"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751"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723"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r>
      <w:tr>
        <w:trPr>
          <w:trHeight w:val="300" w:hRule="atLeast"/>
        </w:trPr>
        <w:tc>
          <w:tcPr>
            <w:tcW w:w="2820" w:type="dxa"/>
            <w:tcBorders/>
            <w:shd w:fill="auto" w:val="clear"/>
          </w:tcPr>
          <w:p>
            <w:pPr>
              <w:pStyle w:val="Tablecontent"/>
              <w:spacing w:lineRule="auto" w:line="240" w:before="0" w:after="0"/>
              <w:rPr>
                <w:b/>
                <w:b/>
              </w:rPr>
            </w:pPr>
            <w:r>
              <w:rPr>
                <w:rFonts w:eastAsia="Times New Roman" w:cs="Times New Roman"/>
                <w:b/>
                <w:szCs w:val="20"/>
              </w:rPr>
              <w:t>90% quantile</w:t>
            </w:r>
          </w:p>
        </w:tc>
        <w:tc>
          <w:tcPr>
            <w:tcW w:w="802" w:type="dxa"/>
            <w:tcBorders/>
            <w:shd w:fill="auto" w:val="clear"/>
          </w:tcPr>
          <w:p>
            <w:pPr>
              <w:pStyle w:val="Tablecontent"/>
              <w:spacing w:lineRule="auto" w:line="240" w:before="0" w:after="0"/>
              <w:rPr>
                <w:b/>
                <w:b/>
              </w:rPr>
            </w:pPr>
            <w:r>
              <w:rPr>
                <w:rFonts w:eastAsia="Times New Roman" w:cs="Times New Roman"/>
                <w:b/>
                <w:szCs w:val="20"/>
              </w:rPr>
              <w:t>Mean</w:t>
            </w:r>
          </w:p>
        </w:tc>
        <w:tc>
          <w:tcPr>
            <w:tcW w:w="672" w:type="dxa"/>
            <w:tcBorders/>
            <w:shd w:fill="auto" w:val="clear"/>
          </w:tcPr>
          <w:p>
            <w:pPr>
              <w:pStyle w:val="Tablecontent"/>
              <w:spacing w:lineRule="auto" w:line="240" w:before="0" w:after="0"/>
              <w:rPr>
                <w:b/>
                <w:b/>
              </w:rPr>
            </w:pPr>
            <w:r>
              <w:rPr>
                <w:rFonts w:eastAsia="Times New Roman" w:cs="Times New Roman"/>
                <w:b/>
                <w:szCs w:val="20"/>
              </w:rPr>
              <w:t>SD</w:t>
            </w:r>
          </w:p>
        </w:tc>
        <w:tc>
          <w:tcPr>
            <w:tcW w:w="732" w:type="dxa"/>
            <w:tcBorders/>
            <w:shd w:fill="auto" w:val="clear"/>
          </w:tcPr>
          <w:p>
            <w:pPr>
              <w:pStyle w:val="Tablecontent"/>
              <w:spacing w:lineRule="auto" w:line="240" w:before="0" w:after="0"/>
              <w:rPr>
                <w:b/>
                <w:b/>
              </w:rPr>
            </w:pPr>
            <w:r>
              <w:rPr>
                <w:rFonts w:eastAsia="Times New Roman" w:cs="Times New Roman"/>
                <w:b/>
                <w:szCs w:val="20"/>
              </w:rPr>
              <w:t>10%</w:t>
            </w:r>
          </w:p>
        </w:tc>
        <w:tc>
          <w:tcPr>
            <w:tcW w:w="731" w:type="dxa"/>
            <w:tcBorders/>
            <w:shd w:fill="auto" w:val="clear"/>
          </w:tcPr>
          <w:p>
            <w:pPr>
              <w:pStyle w:val="Tablecontent"/>
              <w:spacing w:lineRule="auto" w:line="240" w:before="0" w:after="0"/>
              <w:rPr>
                <w:b/>
                <w:b/>
              </w:rPr>
            </w:pPr>
            <w:r>
              <w:rPr>
                <w:rFonts w:eastAsia="Times New Roman" w:cs="Times New Roman"/>
                <w:b/>
                <w:szCs w:val="20"/>
              </w:rPr>
              <w:t>50%</w:t>
            </w:r>
          </w:p>
        </w:tc>
        <w:tc>
          <w:tcPr>
            <w:tcW w:w="732" w:type="dxa"/>
            <w:tcBorders/>
            <w:shd w:fill="auto" w:val="clear"/>
          </w:tcPr>
          <w:p>
            <w:pPr>
              <w:pStyle w:val="Tablecontent"/>
              <w:spacing w:lineRule="auto" w:line="240" w:before="0" w:after="0"/>
              <w:rPr>
                <w:b/>
                <w:b/>
              </w:rPr>
            </w:pPr>
            <w:r>
              <w:rPr>
                <w:rFonts w:eastAsia="Times New Roman" w:cs="Times New Roman"/>
                <w:b/>
                <w:szCs w:val="20"/>
              </w:rPr>
              <w:t>90%</w:t>
            </w:r>
          </w:p>
        </w:tc>
        <w:tc>
          <w:tcPr>
            <w:tcW w:w="751" w:type="dxa"/>
            <w:tcBorders/>
            <w:shd w:fill="auto" w:val="clear"/>
          </w:tcPr>
          <w:p>
            <w:pPr>
              <w:pStyle w:val="Tablecontent"/>
              <w:spacing w:lineRule="auto" w:line="240" w:before="0" w:after="0"/>
              <w:rPr>
                <w:b/>
                <w:b/>
              </w:rPr>
            </w:pPr>
            <w:r>
              <w:rPr>
                <w:rFonts w:eastAsia="Times New Roman" w:cs="Times New Roman"/>
                <w:b/>
                <w:szCs w:val="20"/>
              </w:rPr>
              <w:t>n_eff</w:t>
            </w:r>
          </w:p>
        </w:tc>
        <w:tc>
          <w:tcPr>
            <w:tcW w:w="723" w:type="dxa"/>
            <w:tcBorders/>
            <w:shd w:fill="auto" w:val="clear"/>
          </w:tcPr>
          <w:p>
            <w:pPr>
              <w:pStyle w:val="Tablecontent"/>
              <w:spacing w:lineRule="auto" w:line="240" w:before="0" w:after="0"/>
              <w:rPr>
                <w:b/>
                <w:b/>
              </w:rPr>
            </w:pPr>
            <w:r>
              <w:rPr>
                <w:rFonts w:eastAsia="Times New Roman" w:cs="Times New Roman"/>
                <w:b/>
                <w:szCs w:val="20"/>
              </w:rPr>
              <w:t>Rhat</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Intercept</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-0.22</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6639</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0.25</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6777</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Flight altitude</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0.30</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7216</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 to structures</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6509</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Minutes to sunrise</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7256</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Height difference</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6563</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Wind support</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-0.35</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7441</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Cross wind</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6229</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Visibility</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-0.33</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0.25</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6479</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6837</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Base cloud height</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6893</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Moon illumination</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0.22</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0.33</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6739</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structures X Visibility</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6886</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Visibility</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-0.33</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6804</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Cloud cover</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6869</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 X Moon illumination</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6439</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2820" w:type="dxa"/>
            <w:tcBorders/>
            <w:shd w:fill="auto" w:val="clear"/>
          </w:tcPr>
          <w:p>
            <w:pPr>
              <w:pStyle w:val="Tablecontent"/>
              <w:spacing w:lineRule="auto" w:line="240" w:before="0" w:after="0"/>
              <w:rPr>
                <w:b/>
                <w:b/>
              </w:rPr>
            </w:pPr>
            <w:r>
              <w:rPr>
                <w:rFonts w:eastAsia="Times New Roman" w:cs="Times New Roman"/>
                <w:b/>
                <w:szCs w:val="20"/>
              </w:rPr>
              <w:t>95% quantile</w:t>
            </w:r>
          </w:p>
        </w:tc>
        <w:tc>
          <w:tcPr>
            <w:tcW w:w="802" w:type="dxa"/>
            <w:tcBorders/>
            <w:shd w:fill="auto" w:val="clear"/>
          </w:tcPr>
          <w:p>
            <w:pPr>
              <w:pStyle w:val="Tablecontent"/>
              <w:spacing w:lineRule="auto" w:line="240" w:before="0" w:after="0"/>
              <w:rPr>
                <w:b/>
                <w:b/>
              </w:rPr>
            </w:pPr>
            <w:r>
              <w:rPr>
                <w:rFonts w:eastAsia="Times New Roman" w:cs="Times New Roman"/>
                <w:b/>
                <w:szCs w:val="20"/>
              </w:rPr>
              <w:t>Mean</w:t>
            </w:r>
          </w:p>
        </w:tc>
        <w:tc>
          <w:tcPr>
            <w:tcW w:w="672" w:type="dxa"/>
            <w:tcBorders/>
            <w:shd w:fill="auto" w:val="clear"/>
          </w:tcPr>
          <w:p>
            <w:pPr>
              <w:pStyle w:val="Tablecontent"/>
              <w:spacing w:lineRule="auto" w:line="240" w:before="0" w:after="0"/>
              <w:rPr>
                <w:b/>
                <w:b/>
              </w:rPr>
            </w:pPr>
            <w:r>
              <w:rPr>
                <w:rFonts w:eastAsia="Times New Roman" w:cs="Times New Roman"/>
                <w:b/>
                <w:szCs w:val="20"/>
              </w:rPr>
              <w:t>SD</w:t>
            </w:r>
          </w:p>
        </w:tc>
        <w:tc>
          <w:tcPr>
            <w:tcW w:w="732" w:type="dxa"/>
            <w:tcBorders/>
            <w:shd w:fill="auto" w:val="clear"/>
          </w:tcPr>
          <w:p>
            <w:pPr>
              <w:pStyle w:val="Tablecontent"/>
              <w:spacing w:lineRule="auto" w:line="240" w:before="0" w:after="0"/>
              <w:rPr>
                <w:b/>
                <w:b/>
              </w:rPr>
            </w:pPr>
            <w:r>
              <w:rPr>
                <w:rFonts w:eastAsia="Times New Roman" w:cs="Times New Roman"/>
                <w:b/>
                <w:szCs w:val="20"/>
              </w:rPr>
              <w:t>10%</w:t>
            </w:r>
          </w:p>
        </w:tc>
        <w:tc>
          <w:tcPr>
            <w:tcW w:w="731" w:type="dxa"/>
            <w:tcBorders/>
            <w:shd w:fill="auto" w:val="clear"/>
          </w:tcPr>
          <w:p>
            <w:pPr>
              <w:pStyle w:val="Tablecontent"/>
              <w:spacing w:lineRule="auto" w:line="240" w:before="0" w:after="0"/>
              <w:rPr>
                <w:b/>
                <w:b/>
              </w:rPr>
            </w:pPr>
            <w:r>
              <w:rPr>
                <w:rFonts w:eastAsia="Times New Roman" w:cs="Times New Roman"/>
                <w:b/>
                <w:szCs w:val="20"/>
              </w:rPr>
              <w:t>50%</w:t>
            </w:r>
          </w:p>
        </w:tc>
        <w:tc>
          <w:tcPr>
            <w:tcW w:w="732" w:type="dxa"/>
            <w:tcBorders/>
            <w:shd w:fill="auto" w:val="clear"/>
          </w:tcPr>
          <w:p>
            <w:pPr>
              <w:pStyle w:val="Tablecontent"/>
              <w:spacing w:lineRule="auto" w:line="240" w:before="0" w:after="0"/>
              <w:rPr>
                <w:b/>
                <w:b/>
              </w:rPr>
            </w:pPr>
            <w:r>
              <w:rPr>
                <w:rFonts w:eastAsia="Times New Roman" w:cs="Times New Roman"/>
                <w:b/>
                <w:szCs w:val="20"/>
              </w:rPr>
              <w:t>90%</w:t>
            </w:r>
          </w:p>
        </w:tc>
        <w:tc>
          <w:tcPr>
            <w:tcW w:w="751" w:type="dxa"/>
            <w:tcBorders/>
            <w:shd w:fill="auto" w:val="clear"/>
          </w:tcPr>
          <w:p>
            <w:pPr>
              <w:pStyle w:val="Tablecontent"/>
              <w:spacing w:lineRule="auto" w:line="240" w:before="0" w:after="0"/>
              <w:rPr>
                <w:b/>
                <w:b/>
              </w:rPr>
            </w:pPr>
            <w:r>
              <w:rPr>
                <w:rFonts w:eastAsia="Times New Roman" w:cs="Times New Roman"/>
                <w:b/>
                <w:szCs w:val="20"/>
              </w:rPr>
              <w:t>n_eff</w:t>
            </w:r>
          </w:p>
        </w:tc>
        <w:tc>
          <w:tcPr>
            <w:tcW w:w="723" w:type="dxa"/>
            <w:tcBorders/>
            <w:shd w:fill="auto" w:val="clear"/>
          </w:tcPr>
          <w:p>
            <w:pPr>
              <w:pStyle w:val="Tablecontent"/>
              <w:spacing w:lineRule="auto" w:line="240" w:before="0" w:after="0"/>
              <w:rPr>
                <w:b/>
                <w:b/>
              </w:rPr>
            </w:pPr>
            <w:r>
              <w:rPr>
                <w:rFonts w:eastAsia="Times New Roman" w:cs="Times New Roman"/>
                <w:b/>
                <w:szCs w:val="20"/>
              </w:rPr>
              <w:t>Rhat</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Intercept</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7127</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0.34</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6445</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Flight altitude</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0.26</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-0.40</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0.26</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6610</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 to structures</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-0.39</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6837</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Minutes to sunrise</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0.30</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6846</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Height difference</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0.28</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5835</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Wind support</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-0.27</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-0.56</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-0.27</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6304</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Cross wind</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6397</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Visibility</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0.26</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-0.38</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0.28</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6762</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0.26</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-0.44</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5553</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Base cloud height</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0.36</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-0.65</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0.28</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5740</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Moon illumination</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0.28</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6496</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structures X Visibility</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-0.25</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6691</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Visibility</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0.22</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-0.39</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6733</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Cloud cover</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-0.54</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-0.28</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6902</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 X Moon illumination</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0.27</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-0.26</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0.43</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5687</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2820" w:type="dxa"/>
            <w:tcBorders/>
            <w:shd w:fill="auto" w:val="clear"/>
          </w:tcPr>
          <w:p>
            <w:pPr>
              <w:pStyle w:val="Tablecontent"/>
              <w:spacing w:lineRule="auto" w:line="240" w:before="0" w:after="0"/>
              <w:rPr>
                <w:b/>
                <w:b/>
              </w:rPr>
            </w:pPr>
            <w:r>
              <w:rPr>
                <w:rFonts w:eastAsia="Times New Roman" w:cs="Times New Roman"/>
                <w:b/>
                <w:szCs w:val="20"/>
              </w:rPr>
              <w:t>99% quantile</w:t>
            </w:r>
          </w:p>
        </w:tc>
        <w:tc>
          <w:tcPr>
            <w:tcW w:w="802" w:type="dxa"/>
            <w:tcBorders/>
            <w:shd w:fill="auto" w:val="clear"/>
          </w:tcPr>
          <w:p>
            <w:pPr>
              <w:pStyle w:val="Tablecontent"/>
              <w:spacing w:lineRule="auto" w:line="240" w:before="0" w:after="0"/>
              <w:rPr>
                <w:b/>
                <w:b/>
              </w:rPr>
            </w:pPr>
            <w:r>
              <w:rPr>
                <w:rFonts w:eastAsia="Times New Roman" w:cs="Times New Roman"/>
                <w:b/>
                <w:szCs w:val="20"/>
              </w:rPr>
              <w:t>Mean</w:t>
            </w:r>
          </w:p>
        </w:tc>
        <w:tc>
          <w:tcPr>
            <w:tcW w:w="672" w:type="dxa"/>
            <w:tcBorders/>
            <w:shd w:fill="auto" w:val="clear"/>
          </w:tcPr>
          <w:p>
            <w:pPr>
              <w:pStyle w:val="Tablecontent"/>
              <w:spacing w:lineRule="auto" w:line="240" w:before="0" w:after="0"/>
              <w:rPr>
                <w:b/>
                <w:b/>
              </w:rPr>
            </w:pPr>
            <w:r>
              <w:rPr>
                <w:rFonts w:eastAsia="Times New Roman" w:cs="Times New Roman"/>
                <w:b/>
                <w:szCs w:val="20"/>
              </w:rPr>
              <w:t>SD</w:t>
            </w:r>
          </w:p>
        </w:tc>
        <w:tc>
          <w:tcPr>
            <w:tcW w:w="732" w:type="dxa"/>
            <w:tcBorders/>
            <w:shd w:fill="auto" w:val="clear"/>
          </w:tcPr>
          <w:p>
            <w:pPr>
              <w:pStyle w:val="Tablecontent"/>
              <w:spacing w:lineRule="auto" w:line="240" w:before="0" w:after="0"/>
              <w:rPr>
                <w:b/>
                <w:b/>
              </w:rPr>
            </w:pPr>
            <w:r>
              <w:rPr>
                <w:rFonts w:eastAsia="Times New Roman" w:cs="Times New Roman"/>
                <w:b/>
                <w:szCs w:val="20"/>
              </w:rPr>
              <w:t>10%</w:t>
            </w:r>
          </w:p>
        </w:tc>
        <w:tc>
          <w:tcPr>
            <w:tcW w:w="731" w:type="dxa"/>
            <w:tcBorders/>
            <w:shd w:fill="auto" w:val="clear"/>
          </w:tcPr>
          <w:p>
            <w:pPr>
              <w:pStyle w:val="Tablecontent"/>
              <w:spacing w:lineRule="auto" w:line="240" w:before="0" w:after="0"/>
              <w:rPr>
                <w:b/>
                <w:b/>
              </w:rPr>
            </w:pPr>
            <w:r>
              <w:rPr>
                <w:rFonts w:eastAsia="Times New Roman" w:cs="Times New Roman"/>
                <w:b/>
                <w:szCs w:val="20"/>
              </w:rPr>
              <w:t>50%</w:t>
            </w:r>
          </w:p>
        </w:tc>
        <w:tc>
          <w:tcPr>
            <w:tcW w:w="732" w:type="dxa"/>
            <w:tcBorders/>
            <w:shd w:fill="auto" w:val="clear"/>
          </w:tcPr>
          <w:p>
            <w:pPr>
              <w:pStyle w:val="Tablecontent"/>
              <w:spacing w:lineRule="auto" w:line="240" w:before="0" w:after="0"/>
              <w:rPr>
                <w:b/>
                <w:b/>
              </w:rPr>
            </w:pPr>
            <w:r>
              <w:rPr>
                <w:rFonts w:eastAsia="Times New Roman" w:cs="Times New Roman"/>
                <w:b/>
                <w:szCs w:val="20"/>
              </w:rPr>
              <w:t>90%</w:t>
            </w:r>
          </w:p>
        </w:tc>
        <w:tc>
          <w:tcPr>
            <w:tcW w:w="751" w:type="dxa"/>
            <w:tcBorders/>
            <w:shd w:fill="auto" w:val="clear"/>
          </w:tcPr>
          <w:p>
            <w:pPr>
              <w:pStyle w:val="Tablecontent"/>
              <w:spacing w:lineRule="auto" w:line="240" w:before="0" w:after="0"/>
              <w:rPr>
                <w:b/>
                <w:b/>
              </w:rPr>
            </w:pPr>
            <w:r>
              <w:rPr>
                <w:rFonts w:eastAsia="Times New Roman" w:cs="Times New Roman"/>
                <w:b/>
                <w:szCs w:val="20"/>
              </w:rPr>
              <w:t>n_eff</w:t>
            </w:r>
          </w:p>
        </w:tc>
        <w:tc>
          <w:tcPr>
            <w:tcW w:w="723" w:type="dxa"/>
            <w:tcBorders/>
            <w:shd w:fill="auto" w:val="clear"/>
          </w:tcPr>
          <w:p>
            <w:pPr>
              <w:pStyle w:val="Tablecontent"/>
              <w:spacing w:lineRule="auto" w:line="240" w:before="0" w:after="0"/>
              <w:rPr>
                <w:b/>
                <w:b/>
              </w:rPr>
            </w:pPr>
            <w:r>
              <w:rPr>
                <w:rFonts w:eastAsia="Times New Roman" w:cs="Times New Roman"/>
                <w:b/>
                <w:szCs w:val="20"/>
              </w:rPr>
              <w:t>Rhat</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Intercept</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0.30</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-0.37</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0.39</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6399</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0.40</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0.70</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6711</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Flight altitude</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0.38</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-0.45</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0.53</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6538</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 to structures</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0.40</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0.39</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0.80</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6676</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Minutes to sunrise</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0.32</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0.72</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6308</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Height difference</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-0.26</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0.53</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6693</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Wind support</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0.39</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-0.82</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-0.30</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6265</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Cross wind</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0.37</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-0.56</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0.40</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6604</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Visibility</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0.40</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0.69</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-0.48</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0.39</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1.27</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6364</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-0.72</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0.66</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-1.57</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-0.70</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5135</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Base cloud height</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-0.87</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0.70</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-1.77</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-0.88</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5655</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Moon illumination</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-0.36</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0.50</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-0.99</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-0.36</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0.30</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6190</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structures X Visibility</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-0.90</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0.51</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-1.57</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-0.83</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5340</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Visibility</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-0.55</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0.47</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-1.15</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-0.54</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6349</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Cloud cover</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0.27</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0.37</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0.27</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0.73</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7172</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 X Moon illumination</w:t>
            </w:r>
          </w:p>
        </w:tc>
        <w:tc>
          <w:tcPr>
            <w:tcW w:w="80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0.66</w:t>
            </w:r>
          </w:p>
        </w:tc>
        <w:tc>
          <w:tcPr>
            <w:tcW w:w="67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0.55</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0.66</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1.36</w:t>
            </w:r>
          </w:p>
        </w:tc>
        <w:tc>
          <w:tcPr>
            <w:tcW w:w="75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5620</w:t>
            </w:r>
          </w:p>
        </w:tc>
        <w:tc>
          <w:tcPr>
            <w:tcW w:w="72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bl>
    <w:p>
      <w:pPr>
        <w:pStyle w:val="Tablecontent"/>
        <w:rPr/>
      </w:pPr>
      <w:r>
        <w:rPr/>
      </w:r>
    </w:p>
    <w:p>
      <w:pPr>
        <w:pStyle w:val="Normal"/>
        <w:rPr/>
      </w:pPr>
      <w:r>
        <w:rPr/>
      </w:r>
      <w:r>
        <w:br w:type="page"/>
      </w:r>
    </w:p>
    <w:p>
      <w:pPr>
        <w:pStyle w:val="Tablecaption"/>
        <w:numPr>
          <w:ilvl w:val="0"/>
          <w:numId w:val="0"/>
        </w:numPr>
        <w:rPr/>
      </w:pPr>
      <w:bookmarkStart w:id="18" w:name="_Toc61687531"/>
      <w:r>
        <w:rPr/>
        <w:t>Supplementary Table 19. Posterior mean values, standard errors (SE) and 80% credible intervals of binomial generalized linear models of change points in the vertical plane of movement in relation to listed predictors in spring migration season, for three quantiles of directional change.</w:t>
      </w:r>
      <w:bookmarkEnd w:id="18"/>
      <w:r>
        <w:rPr/>
        <w:t xml:space="preserve"> n_eff: A measure of effective sample size. Rhat: Potential scale reduction factor (at convergence, Rhat = 1; Sturtz et al. 2005).</w:t>
      </w:r>
    </w:p>
    <w:tbl>
      <w:tblPr>
        <w:tblStyle w:val="TableGrid"/>
        <w:tblW w:w="8020" w:type="dxa"/>
        <w:jc w:val="left"/>
        <w:tblInd w:w="0" w:type="dxa"/>
        <w:tblCellMar>
          <w:top w:w="0" w:type="dxa"/>
          <w:left w:w="108" w:type="dxa"/>
          <w:bottom w:w="0" w:type="dxa"/>
          <w:right w:w="108" w:type="dxa"/>
        </w:tblCellMar>
        <w:tblLook w:noVBand="1" w:val="04a0" w:noHBand="0" w:lastColumn="0" w:firstColumn="1" w:lastRow="0" w:firstRow="1"/>
      </w:tblPr>
      <w:tblGrid>
        <w:gridCol w:w="2877"/>
        <w:gridCol w:w="803"/>
        <w:gridCol w:w="671"/>
        <w:gridCol w:w="732"/>
        <w:gridCol w:w="733"/>
        <w:gridCol w:w="733"/>
        <w:gridCol w:w="750"/>
        <w:gridCol w:w="720"/>
      </w:tblGrid>
      <w:tr>
        <w:trPr>
          <w:trHeight w:val="300" w:hRule="atLeast"/>
        </w:trPr>
        <w:tc>
          <w:tcPr>
            <w:tcW w:w="2877" w:type="dxa"/>
            <w:tcBorders/>
            <w:shd w:fill="auto" w:val="clear"/>
          </w:tcPr>
          <w:p>
            <w:pPr>
              <w:pStyle w:val="Tablecontent"/>
              <w:spacing w:lineRule="auto" w:line="240" w:before="0" w:after="0"/>
              <w:rPr>
                <w:b/>
                <w:b/>
              </w:rPr>
            </w:pPr>
            <w:r>
              <w:rPr>
                <w:rFonts w:eastAsia="Times New Roman" w:cs="Times New Roman"/>
                <w:b/>
                <w:szCs w:val="20"/>
              </w:rPr>
              <w:t>Model parameters</w:t>
            </w:r>
          </w:p>
        </w:tc>
        <w:tc>
          <w:tcPr>
            <w:tcW w:w="803"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671"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732"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733"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733"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750"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720"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r>
      <w:tr>
        <w:trPr>
          <w:trHeight w:val="300" w:hRule="atLeast"/>
        </w:trPr>
        <w:tc>
          <w:tcPr>
            <w:tcW w:w="2877" w:type="dxa"/>
            <w:tcBorders/>
            <w:shd w:fill="auto" w:val="clear"/>
          </w:tcPr>
          <w:p>
            <w:pPr>
              <w:pStyle w:val="Tablecontent"/>
              <w:spacing w:lineRule="auto" w:line="240" w:before="0" w:after="0"/>
              <w:rPr>
                <w:b/>
                <w:b/>
              </w:rPr>
            </w:pPr>
            <w:r>
              <w:rPr>
                <w:rFonts w:eastAsia="Times New Roman" w:cs="Times New Roman"/>
                <w:b/>
                <w:szCs w:val="20"/>
              </w:rPr>
              <w:t>90% quantile</w:t>
            </w:r>
          </w:p>
        </w:tc>
        <w:tc>
          <w:tcPr>
            <w:tcW w:w="803" w:type="dxa"/>
            <w:tcBorders/>
            <w:shd w:fill="auto" w:val="clear"/>
          </w:tcPr>
          <w:p>
            <w:pPr>
              <w:pStyle w:val="Tablecontent"/>
              <w:spacing w:lineRule="auto" w:line="240" w:before="0" w:after="0"/>
              <w:rPr>
                <w:b/>
                <w:b/>
              </w:rPr>
            </w:pPr>
            <w:r>
              <w:rPr>
                <w:rFonts w:eastAsia="Times New Roman" w:cs="Times New Roman"/>
                <w:b/>
                <w:szCs w:val="20"/>
              </w:rPr>
              <w:t>Mean</w:t>
            </w:r>
          </w:p>
        </w:tc>
        <w:tc>
          <w:tcPr>
            <w:tcW w:w="671" w:type="dxa"/>
            <w:tcBorders/>
            <w:shd w:fill="auto" w:val="clear"/>
          </w:tcPr>
          <w:p>
            <w:pPr>
              <w:pStyle w:val="Tablecontent"/>
              <w:spacing w:lineRule="auto" w:line="240" w:before="0" w:after="0"/>
              <w:rPr>
                <w:b/>
                <w:b/>
              </w:rPr>
            </w:pPr>
            <w:r>
              <w:rPr>
                <w:rFonts w:eastAsia="Times New Roman" w:cs="Times New Roman"/>
                <w:b/>
                <w:szCs w:val="20"/>
              </w:rPr>
              <w:t>SD</w:t>
            </w:r>
          </w:p>
        </w:tc>
        <w:tc>
          <w:tcPr>
            <w:tcW w:w="732" w:type="dxa"/>
            <w:tcBorders/>
            <w:shd w:fill="auto" w:val="clear"/>
          </w:tcPr>
          <w:p>
            <w:pPr>
              <w:pStyle w:val="Tablecontent"/>
              <w:spacing w:lineRule="auto" w:line="240" w:before="0" w:after="0"/>
              <w:rPr>
                <w:b/>
                <w:b/>
              </w:rPr>
            </w:pPr>
            <w:r>
              <w:rPr>
                <w:rFonts w:eastAsia="Times New Roman" w:cs="Times New Roman"/>
                <w:b/>
                <w:szCs w:val="20"/>
              </w:rPr>
              <w:t>10%</w:t>
            </w:r>
          </w:p>
        </w:tc>
        <w:tc>
          <w:tcPr>
            <w:tcW w:w="733" w:type="dxa"/>
            <w:tcBorders/>
            <w:shd w:fill="auto" w:val="clear"/>
          </w:tcPr>
          <w:p>
            <w:pPr>
              <w:pStyle w:val="Tablecontent"/>
              <w:spacing w:lineRule="auto" w:line="240" w:before="0" w:after="0"/>
              <w:rPr>
                <w:b/>
                <w:b/>
              </w:rPr>
            </w:pPr>
            <w:r>
              <w:rPr>
                <w:rFonts w:eastAsia="Times New Roman" w:cs="Times New Roman"/>
                <w:b/>
                <w:szCs w:val="20"/>
              </w:rPr>
              <w:t>50%</w:t>
            </w:r>
          </w:p>
        </w:tc>
        <w:tc>
          <w:tcPr>
            <w:tcW w:w="733" w:type="dxa"/>
            <w:tcBorders/>
            <w:shd w:fill="auto" w:val="clear"/>
          </w:tcPr>
          <w:p>
            <w:pPr>
              <w:pStyle w:val="Tablecontent"/>
              <w:spacing w:lineRule="auto" w:line="240" w:before="0" w:after="0"/>
              <w:rPr>
                <w:b/>
                <w:b/>
              </w:rPr>
            </w:pPr>
            <w:r>
              <w:rPr>
                <w:rFonts w:eastAsia="Times New Roman" w:cs="Times New Roman"/>
                <w:b/>
                <w:szCs w:val="20"/>
              </w:rPr>
              <w:t>90%</w:t>
            </w:r>
          </w:p>
        </w:tc>
        <w:tc>
          <w:tcPr>
            <w:tcW w:w="750" w:type="dxa"/>
            <w:tcBorders/>
            <w:shd w:fill="auto" w:val="clear"/>
          </w:tcPr>
          <w:p>
            <w:pPr>
              <w:pStyle w:val="Tablecontent"/>
              <w:spacing w:lineRule="auto" w:line="240" w:before="0" w:after="0"/>
              <w:rPr>
                <w:b/>
                <w:b/>
              </w:rPr>
            </w:pPr>
            <w:r>
              <w:rPr>
                <w:rFonts w:eastAsia="Times New Roman" w:cs="Times New Roman"/>
                <w:b/>
                <w:szCs w:val="20"/>
              </w:rPr>
              <w:t>n_eff</w:t>
            </w:r>
          </w:p>
        </w:tc>
        <w:tc>
          <w:tcPr>
            <w:tcW w:w="720" w:type="dxa"/>
            <w:tcBorders/>
            <w:shd w:fill="auto" w:val="clear"/>
          </w:tcPr>
          <w:p>
            <w:pPr>
              <w:pStyle w:val="Tablecontent"/>
              <w:spacing w:lineRule="auto" w:line="240" w:before="0" w:after="0"/>
              <w:rPr>
                <w:b/>
                <w:b/>
              </w:rPr>
            </w:pPr>
            <w:r>
              <w:rPr>
                <w:rFonts w:eastAsia="Times New Roman" w:cs="Times New Roman"/>
                <w:b/>
                <w:szCs w:val="20"/>
              </w:rPr>
              <w:t>Rhat</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Intercept</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0.26</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6146</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-0.30</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-0.45</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6052</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Flight altitude</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0.22</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6244</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 to structures</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-0.27</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7016</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Minutes to sunrise</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6429</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Height difference</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7168</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Wind support</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-0.34</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5841</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Cross wind</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6354</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Visibility</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6023</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-0.37</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0.42</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4512</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Base cloud height</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0.28</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5961</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Moon illumination</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-0.30</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4760</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structures X Visibility</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7275</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Visibility</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-0.44</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6257</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Cloud cover</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-0.22</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-0.44</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6111</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 X Moon illumination</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0.33</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-0.58</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0.26</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5102</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2877" w:type="dxa"/>
            <w:tcBorders/>
            <w:shd w:fill="auto" w:val="clear"/>
          </w:tcPr>
          <w:p>
            <w:pPr>
              <w:pStyle w:val="Tablecontent"/>
              <w:spacing w:lineRule="auto" w:line="240" w:before="0" w:after="0"/>
              <w:rPr>
                <w:b/>
                <w:b/>
              </w:rPr>
            </w:pPr>
            <w:r>
              <w:rPr>
                <w:rFonts w:eastAsia="Times New Roman" w:cs="Times New Roman"/>
                <w:b/>
                <w:szCs w:val="20"/>
              </w:rPr>
              <w:t>95% quantile</w:t>
            </w:r>
          </w:p>
        </w:tc>
        <w:tc>
          <w:tcPr>
            <w:tcW w:w="803" w:type="dxa"/>
            <w:tcBorders/>
            <w:shd w:fill="auto" w:val="clear"/>
          </w:tcPr>
          <w:p>
            <w:pPr>
              <w:pStyle w:val="Tablecontent"/>
              <w:spacing w:lineRule="auto" w:line="240" w:before="0" w:after="0"/>
              <w:rPr>
                <w:b/>
                <w:b/>
              </w:rPr>
            </w:pPr>
            <w:r>
              <w:rPr>
                <w:rFonts w:eastAsia="Times New Roman" w:cs="Times New Roman"/>
                <w:b/>
                <w:szCs w:val="20"/>
              </w:rPr>
              <w:t>Mean</w:t>
            </w:r>
          </w:p>
        </w:tc>
        <w:tc>
          <w:tcPr>
            <w:tcW w:w="671" w:type="dxa"/>
            <w:tcBorders/>
            <w:shd w:fill="auto" w:val="clear"/>
          </w:tcPr>
          <w:p>
            <w:pPr>
              <w:pStyle w:val="Tablecontent"/>
              <w:spacing w:lineRule="auto" w:line="240" w:before="0" w:after="0"/>
              <w:rPr>
                <w:b/>
                <w:b/>
              </w:rPr>
            </w:pPr>
            <w:r>
              <w:rPr>
                <w:rFonts w:eastAsia="Times New Roman" w:cs="Times New Roman"/>
                <w:b/>
                <w:szCs w:val="20"/>
              </w:rPr>
              <w:t>SD</w:t>
            </w:r>
          </w:p>
        </w:tc>
        <w:tc>
          <w:tcPr>
            <w:tcW w:w="732" w:type="dxa"/>
            <w:tcBorders/>
            <w:shd w:fill="auto" w:val="clear"/>
          </w:tcPr>
          <w:p>
            <w:pPr>
              <w:pStyle w:val="Tablecontent"/>
              <w:spacing w:lineRule="auto" w:line="240" w:before="0" w:after="0"/>
              <w:rPr>
                <w:b/>
                <w:b/>
              </w:rPr>
            </w:pPr>
            <w:r>
              <w:rPr>
                <w:rFonts w:eastAsia="Times New Roman" w:cs="Times New Roman"/>
                <w:b/>
                <w:szCs w:val="20"/>
              </w:rPr>
              <w:t>10%</w:t>
            </w:r>
          </w:p>
        </w:tc>
        <w:tc>
          <w:tcPr>
            <w:tcW w:w="733" w:type="dxa"/>
            <w:tcBorders/>
            <w:shd w:fill="auto" w:val="clear"/>
          </w:tcPr>
          <w:p>
            <w:pPr>
              <w:pStyle w:val="Tablecontent"/>
              <w:spacing w:lineRule="auto" w:line="240" w:before="0" w:after="0"/>
              <w:rPr>
                <w:b/>
                <w:b/>
              </w:rPr>
            </w:pPr>
            <w:r>
              <w:rPr>
                <w:rFonts w:eastAsia="Times New Roman" w:cs="Times New Roman"/>
                <w:b/>
                <w:szCs w:val="20"/>
              </w:rPr>
              <w:t>50%</w:t>
            </w:r>
          </w:p>
        </w:tc>
        <w:tc>
          <w:tcPr>
            <w:tcW w:w="733" w:type="dxa"/>
            <w:tcBorders/>
            <w:shd w:fill="auto" w:val="clear"/>
          </w:tcPr>
          <w:p>
            <w:pPr>
              <w:pStyle w:val="Tablecontent"/>
              <w:spacing w:lineRule="auto" w:line="240" w:before="0" w:after="0"/>
              <w:rPr>
                <w:b/>
                <w:b/>
              </w:rPr>
            </w:pPr>
            <w:r>
              <w:rPr>
                <w:rFonts w:eastAsia="Times New Roman" w:cs="Times New Roman"/>
                <w:b/>
                <w:szCs w:val="20"/>
              </w:rPr>
              <w:t>90%</w:t>
            </w:r>
          </w:p>
        </w:tc>
        <w:tc>
          <w:tcPr>
            <w:tcW w:w="750" w:type="dxa"/>
            <w:tcBorders/>
            <w:shd w:fill="auto" w:val="clear"/>
          </w:tcPr>
          <w:p>
            <w:pPr>
              <w:pStyle w:val="Tablecontent"/>
              <w:spacing w:lineRule="auto" w:line="240" w:before="0" w:after="0"/>
              <w:rPr>
                <w:b/>
                <w:b/>
              </w:rPr>
            </w:pPr>
            <w:r>
              <w:rPr>
                <w:rFonts w:eastAsia="Times New Roman" w:cs="Times New Roman"/>
                <w:b/>
                <w:szCs w:val="20"/>
              </w:rPr>
              <w:t>n_eff</w:t>
            </w:r>
          </w:p>
        </w:tc>
        <w:tc>
          <w:tcPr>
            <w:tcW w:w="720" w:type="dxa"/>
            <w:tcBorders/>
            <w:shd w:fill="auto" w:val="clear"/>
          </w:tcPr>
          <w:p>
            <w:pPr>
              <w:pStyle w:val="Tablecontent"/>
              <w:spacing w:lineRule="auto" w:line="240" w:before="0" w:after="0"/>
              <w:rPr>
                <w:b/>
                <w:b/>
              </w:rPr>
            </w:pPr>
            <w:r>
              <w:rPr>
                <w:rFonts w:eastAsia="Times New Roman" w:cs="Times New Roman"/>
                <w:b/>
                <w:szCs w:val="20"/>
              </w:rPr>
              <w:t>Rhat</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Intercept</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7025</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-0.40</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-0.57</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-0.40</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6827</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Flight altitude</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6858</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 to structures</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-0.25</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7093</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Minutes to sunrise</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6920</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Height difference</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6968</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Wind support</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0.27</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7018</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Cross wind</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-0.32</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6972</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Visibility</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0.28</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7001</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0.32</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-0.22</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0.61</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6206</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Base cloud height</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6632</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Moon illumination</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-0.42</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6164</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structures X Visibility</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7040</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Visibility</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7236</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Cloud cover</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0.25</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7152</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 X Moon illumination</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0.34</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-0.52</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0.35</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6242</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2877" w:type="dxa"/>
            <w:tcBorders/>
            <w:shd w:fill="auto" w:val="clear"/>
          </w:tcPr>
          <w:p>
            <w:pPr>
              <w:pStyle w:val="Tablecontent"/>
              <w:spacing w:lineRule="auto" w:line="240" w:before="0" w:after="0"/>
              <w:rPr>
                <w:b/>
                <w:b/>
              </w:rPr>
            </w:pPr>
            <w:r>
              <w:rPr>
                <w:rFonts w:eastAsia="Times New Roman" w:cs="Times New Roman"/>
                <w:b/>
                <w:szCs w:val="20"/>
              </w:rPr>
              <w:t>99% quantile</w:t>
            </w:r>
          </w:p>
        </w:tc>
        <w:tc>
          <w:tcPr>
            <w:tcW w:w="803" w:type="dxa"/>
            <w:tcBorders/>
            <w:shd w:fill="auto" w:val="clear"/>
          </w:tcPr>
          <w:p>
            <w:pPr>
              <w:pStyle w:val="Tablecontent"/>
              <w:spacing w:lineRule="auto" w:line="240" w:before="0" w:after="0"/>
              <w:rPr>
                <w:b/>
                <w:b/>
              </w:rPr>
            </w:pPr>
            <w:r>
              <w:rPr>
                <w:rFonts w:eastAsia="Times New Roman" w:cs="Times New Roman"/>
                <w:b/>
                <w:szCs w:val="20"/>
              </w:rPr>
              <w:t>Mean</w:t>
            </w:r>
          </w:p>
        </w:tc>
        <w:tc>
          <w:tcPr>
            <w:tcW w:w="671" w:type="dxa"/>
            <w:tcBorders/>
            <w:shd w:fill="auto" w:val="clear"/>
          </w:tcPr>
          <w:p>
            <w:pPr>
              <w:pStyle w:val="Tablecontent"/>
              <w:spacing w:lineRule="auto" w:line="240" w:before="0" w:after="0"/>
              <w:rPr>
                <w:b/>
                <w:b/>
              </w:rPr>
            </w:pPr>
            <w:r>
              <w:rPr>
                <w:rFonts w:eastAsia="Times New Roman" w:cs="Times New Roman"/>
                <w:b/>
                <w:szCs w:val="20"/>
              </w:rPr>
              <w:t>SD</w:t>
            </w:r>
          </w:p>
        </w:tc>
        <w:tc>
          <w:tcPr>
            <w:tcW w:w="732" w:type="dxa"/>
            <w:tcBorders/>
            <w:shd w:fill="auto" w:val="clear"/>
          </w:tcPr>
          <w:p>
            <w:pPr>
              <w:pStyle w:val="Tablecontent"/>
              <w:spacing w:lineRule="auto" w:line="240" w:before="0" w:after="0"/>
              <w:rPr>
                <w:b/>
                <w:b/>
              </w:rPr>
            </w:pPr>
            <w:r>
              <w:rPr>
                <w:rFonts w:eastAsia="Times New Roman" w:cs="Times New Roman"/>
                <w:b/>
                <w:szCs w:val="20"/>
              </w:rPr>
              <w:t>10%</w:t>
            </w:r>
          </w:p>
        </w:tc>
        <w:tc>
          <w:tcPr>
            <w:tcW w:w="733" w:type="dxa"/>
            <w:tcBorders/>
            <w:shd w:fill="auto" w:val="clear"/>
          </w:tcPr>
          <w:p>
            <w:pPr>
              <w:pStyle w:val="Tablecontent"/>
              <w:spacing w:lineRule="auto" w:line="240" w:before="0" w:after="0"/>
              <w:rPr>
                <w:b/>
                <w:b/>
              </w:rPr>
            </w:pPr>
            <w:r>
              <w:rPr>
                <w:rFonts w:eastAsia="Times New Roman" w:cs="Times New Roman"/>
                <w:b/>
                <w:szCs w:val="20"/>
              </w:rPr>
              <w:t>50%</w:t>
            </w:r>
          </w:p>
        </w:tc>
        <w:tc>
          <w:tcPr>
            <w:tcW w:w="733" w:type="dxa"/>
            <w:tcBorders/>
            <w:shd w:fill="auto" w:val="clear"/>
          </w:tcPr>
          <w:p>
            <w:pPr>
              <w:pStyle w:val="Tablecontent"/>
              <w:spacing w:lineRule="auto" w:line="240" w:before="0" w:after="0"/>
              <w:rPr>
                <w:b/>
                <w:b/>
              </w:rPr>
            </w:pPr>
            <w:r>
              <w:rPr>
                <w:rFonts w:eastAsia="Times New Roman" w:cs="Times New Roman"/>
                <w:b/>
                <w:szCs w:val="20"/>
              </w:rPr>
              <w:t>90%</w:t>
            </w:r>
          </w:p>
        </w:tc>
        <w:tc>
          <w:tcPr>
            <w:tcW w:w="750" w:type="dxa"/>
            <w:tcBorders/>
            <w:shd w:fill="auto" w:val="clear"/>
          </w:tcPr>
          <w:p>
            <w:pPr>
              <w:pStyle w:val="Tablecontent"/>
              <w:spacing w:lineRule="auto" w:line="240" w:before="0" w:after="0"/>
              <w:rPr>
                <w:b/>
                <w:b/>
              </w:rPr>
            </w:pPr>
            <w:r>
              <w:rPr>
                <w:rFonts w:eastAsia="Times New Roman" w:cs="Times New Roman"/>
                <w:b/>
                <w:szCs w:val="20"/>
              </w:rPr>
              <w:t>n_eff</w:t>
            </w:r>
          </w:p>
        </w:tc>
        <w:tc>
          <w:tcPr>
            <w:tcW w:w="720" w:type="dxa"/>
            <w:tcBorders/>
            <w:shd w:fill="auto" w:val="clear"/>
          </w:tcPr>
          <w:p>
            <w:pPr>
              <w:pStyle w:val="Tablecontent"/>
              <w:spacing w:lineRule="auto" w:line="240" w:before="0" w:after="0"/>
              <w:rPr>
                <w:b/>
                <w:b/>
              </w:rPr>
            </w:pPr>
            <w:r>
              <w:rPr>
                <w:rFonts w:eastAsia="Times New Roman" w:cs="Times New Roman"/>
                <w:b/>
                <w:szCs w:val="20"/>
              </w:rPr>
              <w:t>Rhat</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Intercept</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0.37</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-0.47</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0.49</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5907</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-0.53</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0.25</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-0.86</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-0.53</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-0.22</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6561</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Flight altitude</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0.51</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6635</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 to structures</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-0.35</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6852</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Minutes to sunrise</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0.25</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-0.26</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0.38</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6717</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Height difference</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-0.26</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0.32</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7304</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Wind support</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0.44</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-0.63</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0.51</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6125</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Cross wind</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0.27</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0.49</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6287</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Visibility</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0.35</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-0.47</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0.42</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5962</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0.91</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-1.21</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1.11</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5181</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Base cloud height</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0.37</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-0.52</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0.43</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6184</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Moon illumination</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0.41</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-0.52</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0.53</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5518</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structures X Visibility</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-0.59</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-0.30</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6898</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Visibility</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0.38</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-0.65</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5965</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Cloud cover</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0.37</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-0.57</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0.35</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6580</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87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 X Moon illumination</w:t>
            </w:r>
          </w:p>
        </w:tc>
        <w:tc>
          <w:tcPr>
            <w:tcW w:w="80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6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0.83</w:t>
            </w:r>
          </w:p>
        </w:tc>
        <w:tc>
          <w:tcPr>
            <w:tcW w:w="73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-1.10</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73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1.02</w:t>
            </w:r>
          </w:p>
        </w:tc>
        <w:tc>
          <w:tcPr>
            <w:tcW w:w="75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5537</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bl>
    <w:p>
      <w:pPr>
        <w:pStyle w:val="Tablecontent"/>
        <w:rPr/>
      </w:pPr>
      <w:r>
        <w:rPr/>
      </w:r>
    </w:p>
    <w:p>
      <w:pPr>
        <w:pStyle w:val="Normal"/>
        <w:rPr/>
      </w:pPr>
      <w:r>
        <w:rPr/>
      </w:r>
      <w:r>
        <w:br w:type="page"/>
      </w:r>
    </w:p>
    <w:p>
      <w:pPr>
        <w:pStyle w:val="Tablecaption"/>
        <w:numPr>
          <w:ilvl w:val="0"/>
          <w:numId w:val="0"/>
        </w:numPr>
        <w:rPr/>
      </w:pPr>
      <w:bookmarkStart w:id="19" w:name="_Toc61687532"/>
      <w:r>
        <w:rPr/>
        <w:t>Supplementary Table 20. Posterior mean values, standard errors (SE) and 80% credible intervals of binomial generalized linear models of change points in the vertical plane of movement in relation to listed predictors in autumn migration season, for three quantiles of directional change.</w:t>
      </w:r>
      <w:bookmarkEnd w:id="19"/>
      <w:r>
        <w:rPr/>
        <w:t xml:space="preserve"> n_eff: A measure of effective sample size. Rhat: Potential scale reduction factor (at convergence, Rhat = 1; Sturtz et al. 2005).</w:t>
      </w:r>
    </w:p>
    <w:tbl>
      <w:tblPr>
        <w:tblStyle w:val="TableGrid"/>
        <w:tblW w:w="7862" w:type="dxa"/>
        <w:jc w:val="left"/>
        <w:tblInd w:w="0" w:type="dxa"/>
        <w:tblCellMar>
          <w:top w:w="0" w:type="dxa"/>
          <w:left w:w="108" w:type="dxa"/>
          <w:bottom w:w="0" w:type="dxa"/>
          <w:right w:w="108" w:type="dxa"/>
        </w:tblCellMar>
        <w:tblLook w:noVBand="1" w:val="04a0" w:noHBand="0" w:lastColumn="0" w:firstColumn="1" w:lastRow="0" w:firstRow="1"/>
      </w:tblPr>
      <w:tblGrid>
        <w:gridCol w:w="2734"/>
        <w:gridCol w:w="800"/>
        <w:gridCol w:w="669"/>
        <w:gridCol w:w="731"/>
        <w:gridCol w:w="728"/>
        <w:gridCol w:w="731"/>
        <w:gridCol w:w="748"/>
        <w:gridCol w:w="720"/>
      </w:tblGrid>
      <w:tr>
        <w:trPr>
          <w:trHeight w:val="300" w:hRule="atLeast"/>
        </w:trPr>
        <w:tc>
          <w:tcPr>
            <w:tcW w:w="2734" w:type="dxa"/>
            <w:tcBorders/>
            <w:shd w:fill="auto" w:val="clear"/>
          </w:tcPr>
          <w:p>
            <w:pPr>
              <w:pStyle w:val="Tablecontent"/>
              <w:spacing w:lineRule="auto" w:line="240" w:before="0" w:after="0"/>
              <w:rPr>
                <w:b/>
                <w:b/>
              </w:rPr>
            </w:pPr>
            <w:r>
              <w:rPr>
                <w:rFonts w:eastAsia="Times New Roman" w:cs="Times New Roman"/>
                <w:b/>
                <w:szCs w:val="20"/>
              </w:rPr>
              <w:t>Model parameters</w:t>
            </w:r>
          </w:p>
        </w:tc>
        <w:tc>
          <w:tcPr>
            <w:tcW w:w="800"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669"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731"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728"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731"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748"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720"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r>
      <w:tr>
        <w:trPr>
          <w:trHeight w:val="300" w:hRule="atLeast"/>
        </w:trPr>
        <w:tc>
          <w:tcPr>
            <w:tcW w:w="2734" w:type="dxa"/>
            <w:tcBorders/>
            <w:shd w:fill="auto" w:val="clear"/>
          </w:tcPr>
          <w:p>
            <w:pPr>
              <w:pStyle w:val="Tablecontent"/>
              <w:spacing w:lineRule="auto" w:line="240" w:before="0" w:after="0"/>
              <w:rPr>
                <w:b/>
                <w:b/>
              </w:rPr>
            </w:pPr>
            <w:r>
              <w:rPr>
                <w:rFonts w:eastAsia="Times New Roman" w:cs="Times New Roman"/>
                <w:b/>
                <w:szCs w:val="20"/>
              </w:rPr>
              <w:t>90% quantile</w:t>
            </w:r>
          </w:p>
        </w:tc>
        <w:tc>
          <w:tcPr>
            <w:tcW w:w="800" w:type="dxa"/>
            <w:tcBorders/>
            <w:shd w:fill="auto" w:val="clear"/>
          </w:tcPr>
          <w:p>
            <w:pPr>
              <w:pStyle w:val="Tablecontent"/>
              <w:spacing w:lineRule="auto" w:line="240" w:before="0" w:after="0"/>
              <w:rPr>
                <w:b/>
                <w:b/>
              </w:rPr>
            </w:pPr>
            <w:r>
              <w:rPr>
                <w:rFonts w:eastAsia="Times New Roman" w:cs="Times New Roman"/>
                <w:b/>
                <w:szCs w:val="20"/>
              </w:rPr>
              <w:t>Mean</w:t>
            </w:r>
          </w:p>
        </w:tc>
        <w:tc>
          <w:tcPr>
            <w:tcW w:w="669" w:type="dxa"/>
            <w:tcBorders/>
            <w:shd w:fill="auto" w:val="clear"/>
          </w:tcPr>
          <w:p>
            <w:pPr>
              <w:pStyle w:val="Tablecontent"/>
              <w:spacing w:lineRule="auto" w:line="240" w:before="0" w:after="0"/>
              <w:rPr>
                <w:b/>
                <w:b/>
              </w:rPr>
            </w:pPr>
            <w:r>
              <w:rPr>
                <w:rFonts w:eastAsia="Times New Roman" w:cs="Times New Roman"/>
                <w:b/>
                <w:szCs w:val="20"/>
              </w:rPr>
              <w:t>SD</w:t>
            </w:r>
          </w:p>
        </w:tc>
        <w:tc>
          <w:tcPr>
            <w:tcW w:w="731" w:type="dxa"/>
            <w:tcBorders/>
            <w:shd w:fill="auto" w:val="clear"/>
          </w:tcPr>
          <w:p>
            <w:pPr>
              <w:pStyle w:val="Tablecontent"/>
              <w:spacing w:lineRule="auto" w:line="240" w:before="0" w:after="0"/>
              <w:rPr>
                <w:b/>
                <w:b/>
              </w:rPr>
            </w:pPr>
            <w:r>
              <w:rPr>
                <w:rFonts w:eastAsia="Times New Roman" w:cs="Times New Roman"/>
                <w:b/>
                <w:szCs w:val="20"/>
              </w:rPr>
              <w:t>10%</w:t>
            </w:r>
          </w:p>
        </w:tc>
        <w:tc>
          <w:tcPr>
            <w:tcW w:w="728" w:type="dxa"/>
            <w:tcBorders/>
            <w:shd w:fill="auto" w:val="clear"/>
          </w:tcPr>
          <w:p>
            <w:pPr>
              <w:pStyle w:val="Tablecontent"/>
              <w:spacing w:lineRule="auto" w:line="240" w:before="0" w:after="0"/>
              <w:rPr>
                <w:b/>
                <w:b/>
              </w:rPr>
            </w:pPr>
            <w:r>
              <w:rPr>
                <w:rFonts w:eastAsia="Times New Roman" w:cs="Times New Roman"/>
                <w:b/>
                <w:szCs w:val="20"/>
              </w:rPr>
              <w:t>50%</w:t>
            </w:r>
          </w:p>
        </w:tc>
        <w:tc>
          <w:tcPr>
            <w:tcW w:w="731" w:type="dxa"/>
            <w:tcBorders/>
            <w:shd w:fill="auto" w:val="clear"/>
          </w:tcPr>
          <w:p>
            <w:pPr>
              <w:pStyle w:val="Tablecontent"/>
              <w:spacing w:lineRule="auto" w:line="240" w:before="0" w:after="0"/>
              <w:rPr>
                <w:b/>
                <w:b/>
              </w:rPr>
            </w:pPr>
            <w:r>
              <w:rPr>
                <w:rFonts w:eastAsia="Times New Roman" w:cs="Times New Roman"/>
                <w:b/>
                <w:szCs w:val="20"/>
              </w:rPr>
              <w:t>90%</w:t>
            </w:r>
          </w:p>
        </w:tc>
        <w:tc>
          <w:tcPr>
            <w:tcW w:w="748" w:type="dxa"/>
            <w:tcBorders/>
            <w:shd w:fill="auto" w:val="clear"/>
          </w:tcPr>
          <w:p>
            <w:pPr>
              <w:pStyle w:val="Tablecontent"/>
              <w:spacing w:lineRule="auto" w:line="240" w:before="0" w:after="0"/>
              <w:rPr>
                <w:b/>
                <w:b/>
              </w:rPr>
            </w:pPr>
            <w:r>
              <w:rPr>
                <w:rFonts w:eastAsia="Times New Roman" w:cs="Times New Roman"/>
                <w:b/>
                <w:szCs w:val="20"/>
              </w:rPr>
              <w:t>n_eff</w:t>
            </w:r>
          </w:p>
        </w:tc>
        <w:tc>
          <w:tcPr>
            <w:tcW w:w="720" w:type="dxa"/>
            <w:tcBorders/>
            <w:shd w:fill="auto" w:val="clear"/>
          </w:tcPr>
          <w:p>
            <w:pPr>
              <w:pStyle w:val="Tablecontent"/>
              <w:spacing w:lineRule="auto" w:line="240" w:before="0" w:after="0"/>
              <w:rPr>
                <w:b/>
                <w:b/>
              </w:rPr>
            </w:pPr>
            <w:r>
              <w:rPr>
                <w:rFonts w:eastAsia="Times New Roman" w:cs="Times New Roman"/>
                <w:b/>
                <w:szCs w:val="20"/>
              </w:rPr>
              <w:t>Rhat</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Intercept</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6603</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-0.42</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6246</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Flight altitude</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6136</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 to structures</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6443</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Minutes to sunrise</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7005</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Height difference</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7070</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Wind support</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6373</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Cross wind</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6836</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Visibility</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-0.50</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4307</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-0.25</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5844</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Base cloud height</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0.25</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0.46</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4914</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Moon illumination</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-0.26</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0.49</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4183</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structures X Visibility</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6899</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Visibility</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0.10</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0.30</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5390</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Cloud cover</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5430</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 X Moon illumination</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-0.36</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6563</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2734" w:type="dxa"/>
            <w:tcBorders/>
            <w:shd w:fill="auto" w:val="clear"/>
          </w:tcPr>
          <w:p>
            <w:pPr>
              <w:pStyle w:val="Tablecontent"/>
              <w:spacing w:lineRule="auto" w:line="240" w:before="0" w:after="0"/>
              <w:rPr>
                <w:b/>
                <w:b/>
              </w:rPr>
            </w:pPr>
            <w:r>
              <w:rPr>
                <w:rFonts w:eastAsia="Times New Roman" w:cs="Times New Roman"/>
                <w:b/>
                <w:szCs w:val="20"/>
              </w:rPr>
              <w:t>95% quantile</w:t>
            </w:r>
          </w:p>
        </w:tc>
        <w:tc>
          <w:tcPr>
            <w:tcW w:w="800" w:type="dxa"/>
            <w:tcBorders/>
            <w:shd w:fill="auto" w:val="clear"/>
          </w:tcPr>
          <w:p>
            <w:pPr>
              <w:pStyle w:val="Tablecontent"/>
              <w:spacing w:lineRule="auto" w:line="240" w:before="0" w:after="0"/>
              <w:rPr>
                <w:b/>
                <w:b/>
              </w:rPr>
            </w:pPr>
            <w:r>
              <w:rPr>
                <w:rFonts w:eastAsia="Times New Roman" w:cs="Times New Roman"/>
                <w:b/>
                <w:szCs w:val="20"/>
              </w:rPr>
              <w:t>Mean</w:t>
            </w:r>
          </w:p>
        </w:tc>
        <w:tc>
          <w:tcPr>
            <w:tcW w:w="669" w:type="dxa"/>
            <w:tcBorders/>
            <w:shd w:fill="auto" w:val="clear"/>
          </w:tcPr>
          <w:p>
            <w:pPr>
              <w:pStyle w:val="Tablecontent"/>
              <w:spacing w:lineRule="auto" w:line="240" w:before="0" w:after="0"/>
              <w:rPr>
                <w:b/>
                <w:b/>
              </w:rPr>
            </w:pPr>
            <w:r>
              <w:rPr>
                <w:rFonts w:eastAsia="Times New Roman" w:cs="Times New Roman"/>
                <w:b/>
                <w:szCs w:val="20"/>
              </w:rPr>
              <w:t>SD</w:t>
            </w:r>
          </w:p>
        </w:tc>
        <w:tc>
          <w:tcPr>
            <w:tcW w:w="731" w:type="dxa"/>
            <w:tcBorders/>
            <w:shd w:fill="auto" w:val="clear"/>
          </w:tcPr>
          <w:p>
            <w:pPr>
              <w:pStyle w:val="Tablecontent"/>
              <w:spacing w:lineRule="auto" w:line="240" w:before="0" w:after="0"/>
              <w:rPr>
                <w:b/>
                <w:b/>
              </w:rPr>
            </w:pPr>
            <w:r>
              <w:rPr>
                <w:rFonts w:eastAsia="Times New Roman" w:cs="Times New Roman"/>
                <w:b/>
                <w:szCs w:val="20"/>
              </w:rPr>
              <w:t>10%</w:t>
            </w:r>
          </w:p>
        </w:tc>
        <w:tc>
          <w:tcPr>
            <w:tcW w:w="728" w:type="dxa"/>
            <w:tcBorders/>
            <w:shd w:fill="auto" w:val="clear"/>
          </w:tcPr>
          <w:p>
            <w:pPr>
              <w:pStyle w:val="Tablecontent"/>
              <w:spacing w:lineRule="auto" w:line="240" w:before="0" w:after="0"/>
              <w:rPr>
                <w:b/>
                <w:b/>
              </w:rPr>
            </w:pPr>
            <w:r>
              <w:rPr>
                <w:rFonts w:eastAsia="Times New Roman" w:cs="Times New Roman"/>
                <w:b/>
                <w:szCs w:val="20"/>
              </w:rPr>
              <w:t>50%</w:t>
            </w:r>
          </w:p>
        </w:tc>
        <w:tc>
          <w:tcPr>
            <w:tcW w:w="731" w:type="dxa"/>
            <w:tcBorders/>
            <w:shd w:fill="auto" w:val="clear"/>
          </w:tcPr>
          <w:p>
            <w:pPr>
              <w:pStyle w:val="Tablecontent"/>
              <w:spacing w:lineRule="auto" w:line="240" w:before="0" w:after="0"/>
              <w:rPr>
                <w:b/>
                <w:b/>
              </w:rPr>
            </w:pPr>
            <w:r>
              <w:rPr>
                <w:rFonts w:eastAsia="Times New Roman" w:cs="Times New Roman"/>
                <w:b/>
                <w:szCs w:val="20"/>
              </w:rPr>
              <w:t>90%</w:t>
            </w:r>
          </w:p>
        </w:tc>
        <w:tc>
          <w:tcPr>
            <w:tcW w:w="748" w:type="dxa"/>
            <w:tcBorders/>
            <w:shd w:fill="auto" w:val="clear"/>
          </w:tcPr>
          <w:p>
            <w:pPr>
              <w:pStyle w:val="Tablecontent"/>
              <w:spacing w:lineRule="auto" w:line="240" w:before="0" w:after="0"/>
              <w:rPr>
                <w:b/>
                <w:b/>
              </w:rPr>
            </w:pPr>
            <w:r>
              <w:rPr>
                <w:rFonts w:eastAsia="Times New Roman" w:cs="Times New Roman"/>
                <w:b/>
                <w:szCs w:val="20"/>
              </w:rPr>
              <w:t>n_eff</w:t>
            </w:r>
          </w:p>
        </w:tc>
        <w:tc>
          <w:tcPr>
            <w:tcW w:w="720" w:type="dxa"/>
            <w:tcBorders/>
            <w:shd w:fill="auto" w:val="clear"/>
          </w:tcPr>
          <w:p>
            <w:pPr>
              <w:pStyle w:val="Tablecontent"/>
              <w:spacing w:lineRule="auto" w:line="240" w:before="0" w:after="0"/>
              <w:rPr>
                <w:b/>
                <w:b/>
              </w:rPr>
            </w:pPr>
            <w:r>
              <w:rPr>
                <w:rFonts w:eastAsia="Times New Roman" w:cs="Times New Roman"/>
                <w:b/>
                <w:szCs w:val="20"/>
              </w:rPr>
              <w:t>Rhat</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Intercept</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-0.25</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7183</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-0.41</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-0.64</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-0.42</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6451</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Flight altitude</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0.24</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6776</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 to structures</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-0.28</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0.12</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6546</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Minutes to sunrise</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6453</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Height difference</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7097</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Wind support</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0.20</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-0.21</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6784</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Cross wind</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7343</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Visibility</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0.33</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-0.58</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0.27</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4820</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5939</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Base cloud height</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0.28</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0.13</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0.49</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5399</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Moon illumination</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0.33</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0.52</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4761</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structures X Visibility</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0.15</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-0.26</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-0.08</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0.11</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7023</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Visibility</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0.19</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0.41</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5367</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Cloud cover</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0.22</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0.22</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0.45</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5514</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 X Moon illumination</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-0.35</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0.23</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6537</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r>
        <w:trPr>
          <w:trHeight w:val="300" w:hRule="atLeast"/>
        </w:trPr>
        <w:tc>
          <w:tcPr>
            <w:tcW w:w="2734" w:type="dxa"/>
            <w:tcBorders/>
            <w:shd w:fill="auto" w:val="clear"/>
          </w:tcPr>
          <w:p>
            <w:pPr>
              <w:pStyle w:val="Tablecontent"/>
              <w:spacing w:lineRule="auto" w:line="240" w:before="0" w:after="0"/>
              <w:rPr>
                <w:b/>
                <w:b/>
              </w:rPr>
            </w:pPr>
            <w:r>
              <w:rPr>
                <w:rFonts w:eastAsia="Times New Roman" w:cs="Times New Roman"/>
                <w:b/>
                <w:szCs w:val="20"/>
              </w:rPr>
              <w:t>99% quantile</w:t>
            </w:r>
          </w:p>
        </w:tc>
        <w:tc>
          <w:tcPr>
            <w:tcW w:w="800" w:type="dxa"/>
            <w:tcBorders/>
            <w:shd w:fill="auto" w:val="clear"/>
          </w:tcPr>
          <w:p>
            <w:pPr>
              <w:pStyle w:val="Tablecontent"/>
              <w:spacing w:lineRule="auto" w:line="240" w:before="0" w:after="0"/>
              <w:rPr>
                <w:b/>
                <w:b/>
              </w:rPr>
            </w:pPr>
            <w:r>
              <w:rPr>
                <w:rFonts w:eastAsia="Times New Roman" w:cs="Times New Roman"/>
                <w:b/>
                <w:szCs w:val="20"/>
              </w:rPr>
              <w:t>Mean</w:t>
            </w:r>
          </w:p>
        </w:tc>
        <w:tc>
          <w:tcPr>
            <w:tcW w:w="669" w:type="dxa"/>
            <w:tcBorders/>
            <w:shd w:fill="auto" w:val="clear"/>
          </w:tcPr>
          <w:p>
            <w:pPr>
              <w:pStyle w:val="Tablecontent"/>
              <w:spacing w:lineRule="auto" w:line="240" w:before="0" w:after="0"/>
              <w:rPr>
                <w:b/>
                <w:b/>
              </w:rPr>
            </w:pPr>
            <w:r>
              <w:rPr>
                <w:rFonts w:eastAsia="Times New Roman" w:cs="Times New Roman"/>
                <w:b/>
                <w:szCs w:val="20"/>
              </w:rPr>
              <w:t>SD</w:t>
            </w:r>
          </w:p>
        </w:tc>
        <w:tc>
          <w:tcPr>
            <w:tcW w:w="731" w:type="dxa"/>
            <w:tcBorders/>
            <w:shd w:fill="auto" w:val="clear"/>
          </w:tcPr>
          <w:p>
            <w:pPr>
              <w:pStyle w:val="Tablecontent"/>
              <w:spacing w:lineRule="auto" w:line="240" w:before="0" w:after="0"/>
              <w:rPr>
                <w:b/>
                <w:b/>
              </w:rPr>
            </w:pPr>
            <w:r>
              <w:rPr>
                <w:rFonts w:eastAsia="Times New Roman" w:cs="Times New Roman"/>
                <w:b/>
                <w:szCs w:val="20"/>
              </w:rPr>
              <w:t>10%</w:t>
            </w:r>
          </w:p>
        </w:tc>
        <w:tc>
          <w:tcPr>
            <w:tcW w:w="728" w:type="dxa"/>
            <w:tcBorders/>
            <w:shd w:fill="auto" w:val="clear"/>
          </w:tcPr>
          <w:p>
            <w:pPr>
              <w:pStyle w:val="Tablecontent"/>
              <w:spacing w:lineRule="auto" w:line="240" w:before="0" w:after="0"/>
              <w:rPr>
                <w:b/>
                <w:b/>
              </w:rPr>
            </w:pPr>
            <w:r>
              <w:rPr>
                <w:rFonts w:eastAsia="Times New Roman" w:cs="Times New Roman"/>
                <w:b/>
                <w:szCs w:val="20"/>
              </w:rPr>
              <w:t>50%</w:t>
            </w:r>
          </w:p>
        </w:tc>
        <w:tc>
          <w:tcPr>
            <w:tcW w:w="731" w:type="dxa"/>
            <w:tcBorders/>
            <w:shd w:fill="auto" w:val="clear"/>
          </w:tcPr>
          <w:p>
            <w:pPr>
              <w:pStyle w:val="Tablecontent"/>
              <w:spacing w:lineRule="auto" w:line="240" w:before="0" w:after="0"/>
              <w:rPr>
                <w:b/>
                <w:b/>
              </w:rPr>
            </w:pPr>
            <w:r>
              <w:rPr>
                <w:rFonts w:eastAsia="Times New Roman" w:cs="Times New Roman"/>
                <w:b/>
                <w:szCs w:val="20"/>
              </w:rPr>
              <w:t>90%</w:t>
            </w:r>
          </w:p>
        </w:tc>
        <w:tc>
          <w:tcPr>
            <w:tcW w:w="748" w:type="dxa"/>
            <w:tcBorders/>
            <w:shd w:fill="auto" w:val="clear"/>
          </w:tcPr>
          <w:p>
            <w:pPr>
              <w:pStyle w:val="Tablecontent"/>
              <w:spacing w:lineRule="auto" w:line="240" w:before="0" w:after="0"/>
              <w:rPr>
                <w:b/>
                <w:b/>
              </w:rPr>
            </w:pPr>
            <w:r>
              <w:rPr>
                <w:rFonts w:eastAsia="Times New Roman" w:cs="Times New Roman"/>
                <w:b/>
                <w:szCs w:val="20"/>
              </w:rPr>
              <w:t>n_eff</w:t>
            </w:r>
          </w:p>
        </w:tc>
        <w:tc>
          <w:tcPr>
            <w:tcW w:w="720" w:type="dxa"/>
            <w:tcBorders/>
            <w:shd w:fill="auto" w:val="clear"/>
          </w:tcPr>
          <w:p>
            <w:pPr>
              <w:pStyle w:val="Tablecontent"/>
              <w:spacing w:lineRule="auto" w:line="240" w:before="0" w:after="0"/>
              <w:rPr>
                <w:b/>
                <w:b/>
              </w:rPr>
            </w:pPr>
            <w:r>
              <w:rPr>
                <w:rFonts w:eastAsia="Times New Roman" w:cs="Times New Roman"/>
                <w:b/>
                <w:szCs w:val="20"/>
              </w:rPr>
              <w:t>Rhat</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Intercept</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0.37</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-0.77</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-0.29</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6327</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-0.41</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0.46</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-0.40</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0.17</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6718</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Flight altitude</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0.44</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-0.56</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0.55</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6556</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 to structures</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-0.40</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0.39</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6847</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Minutes to sunrise</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-0.26</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0.35</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-0.71</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-0.25</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0.18</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6731</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Height difference</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0.38</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-0.42</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0.55</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6789</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Wind support</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0.53</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-0.52</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0.84</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6571</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Cross wind</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-0.51</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0.79</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5413</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Visibility</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-0.77</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0.66</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-1.61</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-0.77</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0.06</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5640</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-0.67</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0.63</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5868</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Base cloud height</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0.41</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0.69</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-0.48</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1.29</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6076</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Moon illumination</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0.84</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0.67</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0.83</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1.69</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5934</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structures X Visibility</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0.38</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-0.57</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-0.09</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0.39</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6297</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Visibility</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0.61</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0.54</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-0.07</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0.59</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1.31</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6325</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Distance to lights X Cloud cover</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1.12</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0.47</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0.53</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1.11</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1.72</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6559</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r>
        <w:trPr>
          <w:trHeight w:val="300" w:hRule="atLeast"/>
        </w:trPr>
        <w:tc>
          <w:tcPr>
            <w:tcW w:w="273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Cloud cover X Moon illumination</w:t>
            </w:r>
          </w:p>
        </w:tc>
        <w:tc>
          <w:tcPr>
            <w:tcW w:w="80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0.25</w:t>
            </w:r>
          </w:p>
        </w:tc>
        <w:tc>
          <w:tcPr>
            <w:tcW w:w="6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0.55</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-0.45</w:t>
            </w:r>
          </w:p>
        </w:tc>
        <w:tc>
          <w:tcPr>
            <w:tcW w:w="72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0.25</w:t>
            </w:r>
          </w:p>
        </w:tc>
        <w:tc>
          <w:tcPr>
            <w:tcW w:w="73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0.95</w:t>
            </w:r>
          </w:p>
        </w:tc>
        <w:tc>
          <w:tcPr>
            <w:tcW w:w="74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6116</w:t>
            </w:r>
          </w:p>
        </w:tc>
        <w:tc>
          <w:tcPr>
            <w:tcW w:w="72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1.00</w:t>
            </w:r>
          </w:p>
        </w:tc>
      </w:tr>
    </w:tbl>
    <w:p>
      <w:pPr>
        <w:pStyle w:val="Tablecontent"/>
        <w:rPr/>
      </w:pPr>
      <w:r>
        <w:rPr/>
      </w:r>
    </w:p>
    <w:p>
      <w:pPr>
        <w:pStyle w:val="Normal"/>
        <w:rPr/>
      </w:pPr>
      <w:r>
        <w:rPr/>
      </w:r>
      <w:r>
        <w:br w:type="page"/>
      </w:r>
    </w:p>
    <w:p>
      <w:pPr>
        <w:pStyle w:val="Tablecaption"/>
        <w:numPr>
          <w:ilvl w:val="0"/>
          <w:numId w:val="0"/>
        </w:numPr>
        <w:rPr/>
      </w:pPr>
      <w:bookmarkStart w:id="20" w:name="_Toc61687533"/>
      <w:r>
        <w:rPr/>
        <w:t>Supplementary Table 21. Captures in mist nets at each of our site by season.</w:t>
      </w:r>
      <w:bookmarkEnd w:id="20"/>
    </w:p>
    <w:tbl>
      <w:tblPr>
        <w:tblStyle w:val="TableGrid"/>
        <w:tblW w:w="9419" w:type="dxa"/>
        <w:jc w:val="left"/>
        <w:tblInd w:w="0" w:type="dxa"/>
        <w:tblCellMar>
          <w:top w:w="0" w:type="dxa"/>
          <w:left w:w="108" w:type="dxa"/>
          <w:bottom w:w="0" w:type="dxa"/>
          <w:right w:w="108" w:type="dxa"/>
        </w:tblCellMar>
        <w:tblLook w:noVBand="1" w:val="04a0" w:noHBand="0" w:lastColumn="0" w:firstColumn="1" w:lastRow="0" w:firstRow="1"/>
      </w:tblPr>
      <w:tblGrid>
        <w:gridCol w:w="3307"/>
        <w:gridCol w:w="1662"/>
        <w:gridCol w:w="1091"/>
        <w:gridCol w:w="768"/>
        <w:gridCol w:w="771"/>
        <w:gridCol w:w="8"/>
        <w:gridCol w:w="898"/>
        <w:gridCol w:w="906"/>
        <w:gridCol w:w="6"/>
      </w:tblGrid>
      <w:tr>
        <w:trPr/>
        <w:tc>
          <w:tcPr>
            <w:tcW w:w="3307" w:type="dxa"/>
            <w:tcBorders/>
            <w:shd w:fill="auto" w:val="clear"/>
          </w:tcPr>
          <w:p>
            <w:pPr>
              <w:pStyle w:val="Tablecontent"/>
              <w:spacing w:lineRule="auto" w:line="240" w:before="0" w:after="0"/>
              <w:rPr>
                <w:b/>
                <w:b/>
              </w:rPr>
            </w:pPr>
            <w:r>
              <w:rPr>
                <w:rFonts w:eastAsia="Times New Roman" w:cs="Times New Roman"/>
                <w:b/>
                <w:szCs w:val="20"/>
              </w:rPr>
              <w:t>Season</w:t>
            </w:r>
          </w:p>
        </w:tc>
        <w:tc>
          <w:tcPr>
            <w:tcW w:w="1662" w:type="dxa"/>
            <w:tcBorders/>
            <w:shd w:fill="auto" w:val="clear"/>
          </w:tcPr>
          <w:p>
            <w:pPr>
              <w:pStyle w:val="Tablecontent"/>
              <w:spacing w:lineRule="auto" w:line="240" w:before="0" w:after="0"/>
              <w:rPr>
                <w:b/>
                <w:b/>
              </w:rPr>
            </w:pPr>
            <w:r>
              <w:rPr>
                <w:rFonts w:eastAsia="Times New Roman" w:cs="Times New Roman"/>
                <w:b/>
                <w:szCs w:val="20"/>
              </w:rPr>
              <w:t>Autumn 2016</w:t>
            </w:r>
          </w:p>
        </w:tc>
        <w:tc>
          <w:tcPr>
            <w:tcW w:w="2638" w:type="dxa"/>
            <w:gridSpan w:val="4"/>
            <w:tcBorders/>
            <w:shd w:fill="auto" w:val="clear"/>
          </w:tcPr>
          <w:p>
            <w:pPr>
              <w:pStyle w:val="Tablecontent"/>
              <w:spacing w:lineRule="auto" w:line="240" w:before="0" w:after="0"/>
              <w:rPr>
                <w:b/>
                <w:b/>
              </w:rPr>
            </w:pPr>
            <w:r>
              <w:rPr>
                <w:rFonts w:eastAsia="Times New Roman" w:cs="Times New Roman"/>
                <w:b/>
                <w:szCs w:val="20"/>
              </w:rPr>
              <w:t>Spring 2017</w:t>
            </w:r>
          </w:p>
        </w:tc>
        <w:tc>
          <w:tcPr>
            <w:tcW w:w="1810" w:type="dxa"/>
            <w:gridSpan w:val="3"/>
            <w:tcBorders/>
            <w:shd w:fill="auto" w:val="clear"/>
          </w:tcPr>
          <w:p>
            <w:pPr>
              <w:pStyle w:val="Tablecontent"/>
              <w:spacing w:lineRule="auto" w:line="240" w:before="0" w:after="0"/>
              <w:rPr>
                <w:b/>
                <w:b/>
              </w:rPr>
            </w:pPr>
            <w:r>
              <w:rPr>
                <w:rFonts w:eastAsia="Times New Roman" w:cs="Times New Roman"/>
                <w:b/>
                <w:szCs w:val="20"/>
              </w:rPr>
              <w:t>Autumn  2017</w:t>
            </w:r>
          </w:p>
        </w:tc>
      </w:tr>
      <w:tr>
        <w:trPr/>
        <w:tc>
          <w:tcPr>
            <w:tcW w:w="3307" w:type="dxa"/>
            <w:tcBorders/>
            <w:shd w:fill="auto" w:val="clear"/>
          </w:tcPr>
          <w:p>
            <w:pPr>
              <w:pStyle w:val="Tablecontent"/>
              <w:spacing w:lineRule="auto" w:line="240" w:before="0" w:after="0"/>
              <w:rPr>
                <w:b/>
                <w:b/>
              </w:rPr>
            </w:pPr>
            <w:r>
              <w:rPr>
                <w:rFonts w:eastAsia="Times New Roman" w:cs="Times New Roman"/>
                <w:b/>
                <w:szCs w:val="20"/>
              </w:rPr>
              <w:t>Site</w:t>
            </w:r>
          </w:p>
        </w:tc>
        <w:tc>
          <w:tcPr>
            <w:tcW w:w="1662" w:type="dxa"/>
            <w:tcBorders/>
            <w:shd w:fill="auto" w:val="clear"/>
          </w:tcPr>
          <w:p>
            <w:pPr>
              <w:pStyle w:val="Tablecontent"/>
              <w:spacing w:lineRule="auto" w:line="240" w:before="0" w:after="0"/>
              <w:rPr>
                <w:b/>
                <w:b/>
              </w:rPr>
            </w:pPr>
            <w:r>
              <w:rPr>
                <w:rFonts w:eastAsia="Times New Roman" w:cs="Times New Roman"/>
                <w:b/>
                <w:szCs w:val="20"/>
              </w:rPr>
              <w:t>FBBO</w:t>
            </w:r>
          </w:p>
        </w:tc>
        <w:tc>
          <w:tcPr>
            <w:tcW w:w="1091" w:type="dxa"/>
            <w:tcBorders/>
            <w:shd w:fill="auto" w:val="clear"/>
          </w:tcPr>
          <w:p>
            <w:pPr>
              <w:pStyle w:val="Tablecontent"/>
              <w:spacing w:lineRule="auto" w:line="240" w:before="0" w:after="0"/>
              <w:rPr>
                <w:b/>
                <w:b/>
              </w:rPr>
            </w:pPr>
            <w:r>
              <w:rPr>
                <w:rFonts w:eastAsia="Times New Roman" w:cs="Times New Roman"/>
                <w:b/>
                <w:szCs w:val="20"/>
              </w:rPr>
              <w:t>FBBO</w:t>
            </w:r>
          </w:p>
        </w:tc>
        <w:tc>
          <w:tcPr>
            <w:tcW w:w="768" w:type="dxa"/>
            <w:tcBorders/>
            <w:shd w:fill="auto" w:val="clear"/>
          </w:tcPr>
          <w:p>
            <w:pPr>
              <w:pStyle w:val="Tablecontent"/>
              <w:spacing w:lineRule="auto" w:line="240" w:before="0" w:after="0"/>
              <w:rPr>
                <w:b/>
                <w:b/>
              </w:rPr>
            </w:pPr>
            <w:r>
              <w:rPr>
                <w:rFonts w:eastAsia="Times New Roman" w:cs="Times New Roman"/>
                <w:b/>
                <w:szCs w:val="20"/>
              </w:rPr>
              <w:t>NB</w:t>
            </w:r>
          </w:p>
        </w:tc>
        <w:tc>
          <w:tcPr>
            <w:tcW w:w="771" w:type="dxa"/>
            <w:tcBorders/>
            <w:shd w:fill="auto" w:val="clear"/>
          </w:tcPr>
          <w:p>
            <w:pPr>
              <w:pStyle w:val="Tablecontent"/>
              <w:spacing w:lineRule="auto" w:line="240" w:before="0" w:after="0"/>
              <w:rPr>
                <w:b/>
                <w:b/>
              </w:rPr>
            </w:pPr>
            <w:r>
              <w:rPr>
                <w:rFonts w:eastAsia="Times New Roman" w:cs="Times New Roman"/>
                <w:b/>
                <w:szCs w:val="20"/>
              </w:rPr>
              <w:t>HG</w:t>
            </w:r>
          </w:p>
        </w:tc>
        <w:tc>
          <w:tcPr>
            <w:tcW w:w="906" w:type="dxa"/>
            <w:gridSpan w:val="2"/>
            <w:tcBorders/>
            <w:shd w:fill="auto" w:val="clear"/>
          </w:tcPr>
          <w:p>
            <w:pPr>
              <w:pStyle w:val="Tablecontent"/>
              <w:spacing w:lineRule="auto" w:line="240" w:before="0" w:after="0"/>
              <w:rPr>
                <w:b/>
                <w:b/>
              </w:rPr>
            </w:pPr>
            <w:r>
              <w:rPr>
                <w:rFonts w:eastAsia="Times New Roman" w:cs="Times New Roman"/>
                <w:b/>
                <w:szCs w:val="20"/>
              </w:rPr>
              <w:t>FBBO</w:t>
            </w:r>
          </w:p>
        </w:tc>
        <w:tc>
          <w:tcPr>
            <w:tcW w:w="906" w:type="dxa"/>
            <w:tcBorders/>
            <w:shd w:fill="auto" w:val="clear"/>
          </w:tcPr>
          <w:p>
            <w:pPr>
              <w:pStyle w:val="Tablecontent"/>
              <w:spacing w:lineRule="auto" w:line="240" w:before="0" w:after="0"/>
              <w:rPr>
                <w:b/>
                <w:b/>
              </w:rPr>
            </w:pPr>
            <w:r>
              <w:rPr>
                <w:rFonts w:eastAsia="Times New Roman" w:cs="Times New Roman"/>
                <w:b/>
                <w:szCs w:val="20"/>
              </w:rPr>
              <w:t>NB</w:t>
            </w:r>
          </w:p>
        </w:tc>
        <w:tc>
          <w:tcPr>
            <w:tcW w:w="6"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szCs w:val="20"/>
              </w:rPr>
            </w:pPr>
            <w:r>
              <w:rPr>
                <w:rFonts w:eastAsia="Times New Roman" w:cs="Times New Roman"/>
                <w:szCs w:val="20"/>
              </w:rPr>
            </w:r>
          </w:p>
        </w:tc>
      </w:tr>
      <w:tr>
        <w:trPr/>
        <w:tc>
          <w:tcPr>
            <w:tcW w:w="330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Bird-banding effort</w:t>
            </w:r>
          </w:p>
        </w:tc>
        <w:tc>
          <w:tcPr>
            <w:tcW w:w="16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0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06" w:type="dxa"/>
            <w:gridSpan w:val="2"/>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szCs w:val="20"/>
              </w:rPr>
            </w:pPr>
            <w:r>
              <w:rPr>
                <w:rFonts w:eastAsia="Times New Roman" w:cs="Times New Roman"/>
                <w:szCs w:val="20"/>
              </w:rPr>
            </w:r>
          </w:p>
        </w:tc>
      </w:tr>
      <w:tr>
        <w:trPr/>
        <w:tc>
          <w:tcPr>
            <w:tcW w:w="330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Total mist netting days</w:t>
            </w:r>
          </w:p>
        </w:tc>
        <w:tc>
          <w:tcPr>
            <w:tcW w:w="16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52</w:t>
            </w:r>
          </w:p>
        </w:tc>
        <w:tc>
          <w:tcPr>
            <w:tcW w:w="10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53</w:t>
            </w:r>
          </w:p>
        </w:tc>
        <w:tc>
          <w:tcPr>
            <w:tcW w:w="7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53</w:t>
            </w:r>
          </w:p>
        </w:tc>
        <w:tc>
          <w:tcPr>
            <w:tcW w:w="7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43</w:t>
            </w:r>
          </w:p>
        </w:tc>
        <w:tc>
          <w:tcPr>
            <w:tcW w:w="906" w:type="dxa"/>
            <w:gridSpan w:val="2"/>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56</w:t>
            </w:r>
          </w:p>
        </w:tc>
        <w:tc>
          <w:tcPr>
            <w:tcW w:w="9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51</w:t>
            </w:r>
          </w:p>
        </w:tc>
        <w:tc>
          <w:tcPr>
            <w:tcW w:w="6"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szCs w:val="20"/>
              </w:rPr>
            </w:pPr>
            <w:r>
              <w:rPr>
                <w:rFonts w:eastAsia="Times New Roman" w:cs="Times New Roman"/>
                <w:szCs w:val="20"/>
              </w:rPr>
            </w:r>
          </w:p>
        </w:tc>
      </w:tr>
      <w:tr>
        <w:trPr/>
        <w:tc>
          <w:tcPr>
            <w:tcW w:w="330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Total mist netting hours</w:t>
            </w:r>
          </w:p>
        </w:tc>
        <w:tc>
          <w:tcPr>
            <w:tcW w:w="16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2668</w:t>
            </w:r>
          </w:p>
        </w:tc>
        <w:tc>
          <w:tcPr>
            <w:tcW w:w="10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2612</w:t>
            </w:r>
          </w:p>
        </w:tc>
        <w:tc>
          <w:tcPr>
            <w:tcW w:w="7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3816</w:t>
            </w:r>
          </w:p>
        </w:tc>
        <w:tc>
          <w:tcPr>
            <w:tcW w:w="7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2797</w:t>
            </w:r>
          </w:p>
        </w:tc>
        <w:tc>
          <w:tcPr>
            <w:tcW w:w="906" w:type="dxa"/>
            <w:gridSpan w:val="2"/>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3089</w:t>
            </w:r>
          </w:p>
        </w:tc>
        <w:tc>
          <w:tcPr>
            <w:tcW w:w="9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3246</w:t>
            </w:r>
          </w:p>
        </w:tc>
        <w:tc>
          <w:tcPr>
            <w:tcW w:w="6"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szCs w:val="20"/>
              </w:rPr>
            </w:pPr>
            <w:r>
              <w:rPr>
                <w:rFonts w:eastAsia="Times New Roman" w:cs="Times New Roman"/>
                <w:szCs w:val="20"/>
              </w:rPr>
            </w:r>
          </w:p>
        </w:tc>
      </w:tr>
      <w:tr>
        <w:trPr/>
        <w:tc>
          <w:tcPr>
            <w:tcW w:w="330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6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0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06" w:type="dxa"/>
            <w:gridSpan w:val="2"/>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szCs w:val="20"/>
              </w:rPr>
            </w:pPr>
            <w:r>
              <w:rPr>
                <w:rFonts w:eastAsia="Times New Roman" w:cs="Times New Roman"/>
                <w:szCs w:val="20"/>
              </w:rPr>
            </w:r>
          </w:p>
        </w:tc>
      </w:tr>
      <w:tr>
        <w:trPr/>
        <w:tc>
          <w:tcPr>
            <w:tcW w:w="330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Capture totals</w:t>
            </w:r>
          </w:p>
        </w:tc>
        <w:tc>
          <w:tcPr>
            <w:tcW w:w="16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0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06" w:type="dxa"/>
            <w:gridSpan w:val="2"/>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szCs w:val="20"/>
              </w:rPr>
            </w:pPr>
            <w:r>
              <w:rPr>
                <w:rFonts w:eastAsia="Times New Roman" w:cs="Times New Roman"/>
                <w:szCs w:val="20"/>
              </w:rPr>
            </w:r>
          </w:p>
        </w:tc>
      </w:tr>
      <w:tr>
        <w:trPr/>
        <w:tc>
          <w:tcPr>
            <w:tcW w:w="330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 xml:space="preserve">Total captured birds </w:t>
            </w:r>
          </w:p>
        </w:tc>
        <w:tc>
          <w:tcPr>
            <w:tcW w:w="16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2009</w:t>
            </w:r>
          </w:p>
        </w:tc>
        <w:tc>
          <w:tcPr>
            <w:tcW w:w="10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1657</w:t>
            </w:r>
          </w:p>
        </w:tc>
        <w:tc>
          <w:tcPr>
            <w:tcW w:w="7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758</w:t>
            </w:r>
          </w:p>
        </w:tc>
        <w:tc>
          <w:tcPr>
            <w:tcW w:w="7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964</w:t>
            </w:r>
          </w:p>
        </w:tc>
        <w:tc>
          <w:tcPr>
            <w:tcW w:w="906" w:type="dxa"/>
            <w:gridSpan w:val="2"/>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1592</w:t>
            </w:r>
          </w:p>
        </w:tc>
        <w:tc>
          <w:tcPr>
            <w:tcW w:w="9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933</w:t>
            </w:r>
          </w:p>
        </w:tc>
        <w:tc>
          <w:tcPr>
            <w:tcW w:w="6"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szCs w:val="20"/>
              </w:rPr>
            </w:pPr>
            <w:r>
              <w:rPr>
                <w:rFonts w:eastAsia="Times New Roman" w:cs="Times New Roman"/>
                <w:szCs w:val="20"/>
              </w:rPr>
            </w:r>
          </w:p>
        </w:tc>
      </w:tr>
      <w:tr>
        <w:trPr/>
        <w:tc>
          <w:tcPr>
            <w:tcW w:w="330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Total species</w:t>
            </w:r>
          </w:p>
        </w:tc>
        <w:tc>
          <w:tcPr>
            <w:tcW w:w="16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71</w:t>
            </w:r>
          </w:p>
        </w:tc>
        <w:tc>
          <w:tcPr>
            <w:tcW w:w="10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63</w:t>
            </w:r>
          </w:p>
        </w:tc>
        <w:tc>
          <w:tcPr>
            <w:tcW w:w="7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65</w:t>
            </w:r>
          </w:p>
        </w:tc>
        <w:tc>
          <w:tcPr>
            <w:tcW w:w="7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65</w:t>
            </w:r>
          </w:p>
        </w:tc>
        <w:tc>
          <w:tcPr>
            <w:tcW w:w="906" w:type="dxa"/>
            <w:gridSpan w:val="2"/>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76</w:t>
            </w:r>
          </w:p>
        </w:tc>
        <w:tc>
          <w:tcPr>
            <w:tcW w:w="9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62</w:t>
            </w:r>
          </w:p>
        </w:tc>
        <w:tc>
          <w:tcPr>
            <w:tcW w:w="6"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szCs w:val="20"/>
              </w:rPr>
            </w:pPr>
            <w:r>
              <w:rPr>
                <w:rFonts w:eastAsia="Times New Roman" w:cs="Times New Roman"/>
                <w:szCs w:val="20"/>
              </w:rPr>
            </w:r>
          </w:p>
        </w:tc>
      </w:tr>
      <w:tr>
        <w:trPr/>
        <w:tc>
          <w:tcPr>
            <w:tcW w:w="330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 xml:space="preserve">Total Passerines </w:t>
            </w:r>
          </w:p>
        </w:tc>
        <w:tc>
          <w:tcPr>
            <w:tcW w:w="16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1973</w:t>
            </w:r>
          </w:p>
        </w:tc>
        <w:tc>
          <w:tcPr>
            <w:tcW w:w="10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1624</w:t>
            </w:r>
          </w:p>
        </w:tc>
        <w:tc>
          <w:tcPr>
            <w:tcW w:w="7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753</w:t>
            </w:r>
          </w:p>
        </w:tc>
        <w:tc>
          <w:tcPr>
            <w:tcW w:w="7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952</w:t>
            </w:r>
          </w:p>
        </w:tc>
        <w:tc>
          <w:tcPr>
            <w:tcW w:w="906" w:type="dxa"/>
            <w:gridSpan w:val="2"/>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1574</w:t>
            </w:r>
          </w:p>
        </w:tc>
        <w:tc>
          <w:tcPr>
            <w:tcW w:w="9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919</w:t>
            </w:r>
          </w:p>
        </w:tc>
        <w:tc>
          <w:tcPr>
            <w:tcW w:w="6"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szCs w:val="20"/>
              </w:rPr>
            </w:pPr>
            <w:r>
              <w:rPr>
                <w:rFonts w:eastAsia="Times New Roman" w:cs="Times New Roman"/>
                <w:szCs w:val="20"/>
              </w:rPr>
            </w:r>
          </w:p>
        </w:tc>
      </w:tr>
      <w:tr>
        <w:trPr/>
        <w:tc>
          <w:tcPr>
            <w:tcW w:w="330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Total Passerine species</w:t>
            </w:r>
          </w:p>
        </w:tc>
        <w:tc>
          <w:tcPr>
            <w:tcW w:w="16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65</w:t>
            </w:r>
          </w:p>
        </w:tc>
        <w:tc>
          <w:tcPr>
            <w:tcW w:w="10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56</w:t>
            </w:r>
          </w:p>
        </w:tc>
        <w:tc>
          <w:tcPr>
            <w:tcW w:w="7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62</w:t>
            </w:r>
          </w:p>
        </w:tc>
        <w:tc>
          <w:tcPr>
            <w:tcW w:w="7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60</w:t>
            </w:r>
          </w:p>
        </w:tc>
        <w:tc>
          <w:tcPr>
            <w:tcW w:w="906" w:type="dxa"/>
            <w:gridSpan w:val="2"/>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69</w:t>
            </w:r>
          </w:p>
        </w:tc>
        <w:tc>
          <w:tcPr>
            <w:tcW w:w="9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58</w:t>
            </w:r>
          </w:p>
        </w:tc>
        <w:tc>
          <w:tcPr>
            <w:tcW w:w="6"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szCs w:val="20"/>
              </w:rPr>
            </w:pPr>
            <w:r>
              <w:rPr>
                <w:rFonts w:eastAsia="Times New Roman" w:cs="Times New Roman"/>
                <w:szCs w:val="20"/>
              </w:rPr>
            </w:r>
          </w:p>
        </w:tc>
      </w:tr>
      <w:tr>
        <w:trPr/>
        <w:tc>
          <w:tcPr>
            <w:tcW w:w="330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Passerines, new captures only</w:t>
            </w:r>
          </w:p>
        </w:tc>
        <w:tc>
          <w:tcPr>
            <w:tcW w:w="16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983</w:t>
            </w:r>
          </w:p>
        </w:tc>
        <w:tc>
          <w:tcPr>
            <w:tcW w:w="10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586</w:t>
            </w:r>
          </w:p>
        </w:tc>
        <w:tc>
          <w:tcPr>
            <w:tcW w:w="7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596</w:t>
            </w:r>
          </w:p>
        </w:tc>
        <w:tc>
          <w:tcPr>
            <w:tcW w:w="7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763</w:t>
            </w:r>
          </w:p>
        </w:tc>
        <w:tc>
          <w:tcPr>
            <w:tcW w:w="906" w:type="dxa"/>
            <w:gridSpan w:val="2"/>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647</w:t>
            </w:r>
          </w:p>
        </w:tc>
        <w:tc>
          <w:tcPr>
            <w:tcW w:w="9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812</w:t>
            </w:r>
          </w:p>
        </w:tc>
        <w:tc>
          <w:tcPr>
            <w:tcW w:w="6"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szCs w:val="20"/>
              </w:rPr>
            </w:pPr>
            <w:r>
              <w:rPr>
                <w:rFonts w:eastAsia="Times New Roman" w:cs="Times New Roman"/>
                <w:szCs w:val="20"/>
              </w:rPr>
            </w:r>
          </w:p>
        </w:tc>
      </w:tr>
      <w:tr>
        <w:trPr/>
        <w:tc>
          <w:tcPr>
            <w:tcW w:w="330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Passerines, new, night migrants</w:t>
            </w:r>
          </w:p>
        </w:tc>
        <w:tc>
          <w:tcPr>
            <w:tcW w:w="16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787</w:t>
            </w:r>
          </w:p>
        </w:tc>
        <w:tc>
          <w:tcPr>
            <w:tcW w:w="10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528</w:t>
            </w:r>
          </w:p>
        </w:tc>
        <w:tc>
          <w:tcPr>
            <w:tcW w:w="7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535</w:t>
            </w:r>
          </w:p>
        </w:tc>
        <w:tc>
          <w:tcPr>
            <w:tcW w:w="7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718</w:t>
            </w:r>
          </w:p>
        </w:tc>
        <w:tc>
          <w:tcPr>
            <w:tcW w:w="906" w:type="dxa"/>
            <w:gridSpan w:val="2"/>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600</w:t>
            </w:r>
          </w:p>
        </w:tc>
        <w:tc>
          <w:tcPr>
            <w:tcW w:w="9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712</w:t>
            </w:r>
          </w:p>
        </w:tc>
        <w:tc>
          <w:tcPr>
            <w:tcW w:w="6"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szCs w:val="20"/>
              </w:rPr>
            </w:pPr>
            <w:r>
              <w:rPr>
                <w:rFonts w:eastAsia="Times New Roman" w:cs="Times New Roman"/>
                <w:szCs w:val="20"/>
              </w:rPr>
            </w:r>
          </w:p>
        </w:tc>
      </w:tr>
      <w:tr>
        <w:trPr/>
        <w:tc>
          <w:tcPr>
            <w:tcW w:w="330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6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0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06" w:type="dxa"/>
            <w:gridSpan w:val="2"/>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szCs w:val="20"/>
              </w:rPr>
            </w:pPr>
            <w:r>
              <w:rPr>
                <w:rFonts w:eastAsia="Times New Roman" w:cs="Times New Roman"/>
                <w:szCs w:val="20"/>
              </w:rPr>
            </w:r>
          </w:p>
        </w:tc>
      </w:tr>
      <w:tr>
        <w:trPr/>
        <w:tc>
          <w:tcPr>
            <w:tcW w:w="330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Capture by age of night migrants</w:t>
            </w:r>
          </w:p>
        </w:tc>
        <w:tc>
          <w:tcPr>
            <w:tcW w:w="16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0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7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06" w:type="dxa"/>
            <w:gridSpan w:val="2"/>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6"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szCs w:val="20"/>
              </w:rPr>
            </w:pPr>
            <w:r>
              <w:rPr>
                <w:rFonts w:eastAsia="Times New Roman" w:cs="Times New Roman"/>
                <w:szCs w:val="20"/>
              </w:rPr>
            </w:r>
          </w:p>
        </w:tc>
      </w:tr>
      <w:tr>
        <w:trPr/>
        <w:tc>
          <w:tcPr>
            <w:tcW w:w="330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Young of the season (HY in autumn, SY in spring)</w:t>
            </w:r>
          </w:p>
        </w:tc>
        <w:tc>
          <w:tcPr>
            <w:tcW w:w="16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583</w:t>
            </w:r>
          </w:p>
        </w:tc>
        <w:tc>
          <w:tcPr>
            <w:tcW w:w="10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318</w:t>
            </w:r>
          </w:p>
        </w:tc>
        <w:tc>
          <w:tcPr>
            <w:tcW w:w="7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98</w:t>
            </w:r>
          </w:p>
        </w:tc>
        <w:tc>
          <w:tcPr>
            <w:tcW w:w="7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241</w:t>
            </w:r>
          </w:p>
        </w:tc>
        <w:tc>
          <w:tcPr>
            <w:tcW w:w="906" w:type="dxa"/>
            <w:gridSpan w:val="2"/>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480</w:t>
            </w:r>
          </w:p>
        </w:tc>
        <w:tc>
          <w:tcPr>
            <w:tcW w:w="9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568</w:t>
            </w:r>
          </w:p>
        </w:tc>
        <w:tc>
          <w:tcPr>
            <w:tcW w:w="6"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szCs w:val="20"/>
              </w:rPr>
            </w:pPr>
            <w:r>
              <w:rPr>
                <w:rFonts w:eastAsia="Times New Roman" w:cs="Times New Roman"/>
                <w:szCs w:val="20"/>
              </w:rPr>
            </w:r>
          </w:p>
        </w:tc>
      </w:tr>
      <w:tr>
        <w:trPr/>
        <w:tc>
          <w:tcPr>
            <w:tcW w:w="330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Adults (AHY in autumn, ASY in spring)</w:t>
            </w:r>
          </w:p>
        </w:tc>
        <w:tc>
          <w:tcPr>
            <w:tcW w:w="16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203</w:t>
            </w:r>
          </w:p>
        </w:tc>
        <w:tc>
          <w:tcPr>
            <w:tcW w:w="10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203</w:t>
            </w:r>
          </w:p>
        </w:tc>
        <w:tc>
          <w:tcPr>
            <w:tcW w:w="7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159</w:t>
            </w:r>
          </w:p>
        </w:tc>
        <w:tc>
          <w:tcPr>
            <w:tcW w:w="7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w:t>
            </w:r>
          </w:p>
        </w:tc>
        <w:tc>
          <w:tcPr>
            <w:tcW w:w="906" w:type="dxa"/>
            <w:gridSpan w:val="2"/>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120</w:t>
            </w:r>
          </w:p>
        </w:tc>
        <w:tc>
          <w:tcPr>
            <w:tcW w:w="9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143</w:t>
            </w:r>
          </w:p>
        </w:tc>
        <w:tc>
          <w:tcPr>
            <w:tcW w:w="6"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szCs w:val="20"/>
              </w:rPr>
            </w:pPr>
            <w:r>
              <w:rPr>
                <w:rFonts w:eastAsia="Times New Roman" w:cs="Times New Roman"/>
                <w:szCs w:val="20"/>
              </w:rPr>
            </w:r>
          </w:p>
        </w:tc>
      </w:tr>
      <w:tr>
        <w:trPr/>
        <w:tc>
          <w:tcPr>
            <w:tcW w:w="330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Age unknown (unknown or AHY in spring)</w:t>
            </w:r>
          </w:p>
        </w:tc>
        <w:tc>
          <w:tcPr>
            <w:tcW w:w="1662"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09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7</w:t>
            </w:r>
          </w:p>
        </w:tc>
        <w:tc>
          <w:tcPr>
            <w:tcW w:w="76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278</w:t>
            </w:r>
          </w:p>
        </w:tc>
        <w:tc>
          <w:tcPr>
            <w:tcW w:w="77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475</w:t>
            </w:r>
          </w:p>
        </w:tc>
        <w:tc>
          <w:tcPr>
            <w:tcW w:w="906" w:type="dxa"/>
            <w:gridSpan w:val="2"/>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w:t>
            </w:r>
          </w:p>
        </w:tc>
        <w:tc>
          <w:tcPr>
            <w:tcW w:w="90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6" w:type="dxa"/>
            <w:tcBorders>
              <w:top w:val="nil"/>
              <w:left w:val="nil"/>
              <w:bottom w:val="nil"/>
              <w:right w:val="nil"/>
              <w:insideH w:val="nil"/>
              <w:insideV w:val="nil"/>
            </w:tcBorders>
            <w:shd w:fill="auto" w:val="clear"/>
          </w:tcPr>
          <w:p>
            <w:pPr>
              <w:pStyle w:val="Normal"/>
              <w:spacing w:lineRule="auto" w:line="240" w:before="0" w:after="0"/>
              <w:rPr>
                <w:rFonts w:ascii="Times New Roman" w:hAnsi="Times New Roman" w:eastAsia="Times New Roman" w:cs="Times New Roman"/>
                <w:szCs w:val="20"/>
              </w:rPr>
            </w:pPr>
            <w:r>
              <w:rPr>
                <w:rFonts w:eastAsia="Times New Roman" w:cs="Times New Roman"/>
                <w:szCs w:val="20"/>
              </w:rPr>
            </w:r>
          </w:p>
        </w:tc>
      </w:tr>
    </w:tbl>
    <w:p>
      <w:pPr>
        <w:pStyle w:val="Normal"/>
        <w:rPr/>
      </w:pPr>
      <w:r>
        <w:rPr/>
      </w:r>
    </w:p>
    <w:p>
      <w:pPr>
        <w:pStyle w:val="Normal"/>
        <w:rPr/>
      </w:pPr>
      <w:r>
        <w:rPr/>
      </w:r>
    </w:p>
    <w:p>
      <w:pPr>
        <w:pStyle w:val="Normal"/>
        <w:rPr/>
      </w:pPr>
      <w:r>
        <w:rPr/>
      </w:r>
      <w:r>
        <w:br w:type="page"/>
      </w:r>
    </w:p>
    <w:p>
      <w:pPr>
        <w:pStyle w:val="Tablecaption"/>
        <w:numPr>
          <w:ilvl w:val="0"/>
          <w:numId w:val="0"/>
        </w:numPr>
        <w:rPr/>
      </w:pPr>
      <w:bookmarkStart w:id="21" w:name="_Toc61687534"/>
      <w:r>
        <w:rPr/>
        <w:t>Supplementary Table 22. Analysis of variance for differences in capture rates between lights treatment by season at our study site.</w:t>
      </w:r>
      <w:bookmarkEnd w:id="21"/>
    </w:p>
    <w:tbl>
      <w:tblPr>
        <w:tblStyle w:val="TableGrid"/>
        <w:tblW w:w="7749" w:type="dxa"/>
        <w:jc w:val="center"/>
        <w:tblInd w:w="0" w:type="dxa"/>
        <w:tblCellMar>
          <w:top w:w="0" w:type="dxa"/>
          <w:left w:w="108" w:type="dxa"/>
          <w:bottom w:w="0" w:type="dxa"/>
          <w:right w:w="108" w:type="dxa"/>
        </w:tblCellMar>
        <w:tblLook w:noVBand="1" w:val="04a0" w:noHBand="0" w:lastColumn="0" w:firstColumn="1" w:lastRow="0" w:firstRow="1"/>
      </w:tblPr>
      <w:tblGrid>
        <w:gridCol w:w="1149"/>
        <w:gridCol w:w="961"/>
        <w:gridCol w:w="1910"/>
        <w:gridCol w:w="1810"/>
        <w:gridCol w:w="960"/>
        <w:gridCol w:w="958"/>
      </w:tblGrid>
      <w:tr>
        <w:trPr>
          <w:trHeight w:val="300" w:hRule="atLeast"/>
        </w:trPr>
        <w:tc>
          <w:tcPr>
            <w:tcW w:w="114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Source</w:t>
            </w:r>
          </w:p>
        </w:tc>
        <w:tc>
          <w:tcPr>
            <w:tcW w:w="96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DF</w:t>
            </w:r>
          </w:p>
        </w:tc>
        <w:tc>
          <w:tcPr>
            <w:tcW w:w="19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Sum of squares</w:t>
            </w:r>
          </w:p>
        </w:tc>
        <w:tc>
          <w:tcPr>
            <w:tcW w:w="18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Mean Squares</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F</w:t>
            </w:r>
          </w:p>
        </w:tc>
        <w:tc>
          <w:tcPr>
            <w:tcW w:w="95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p</w:t>
            </w:r>
          </w:p>
        </w:tc>
      </w:tr>
      <w:tr>
        <w:trPr>
          <w:trHeight w:val="300" w:hRule="atLeast"/>
        </w:trPr>
        <w:tc>
          <w:tcPr>
            <w:tcW w:w="114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 xml:space="preserve">Season     </w:t>
            </w:r>
          </w:p>
        </w:tc>
        <w:tc>
          <w:tcPr>
            <w:tcW w:w="96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9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18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0.05</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1.40</w:t>
            </w:r>
          </w:p>
        </w:tc>
        <w:tc>
          <w:tcPr>
            <w:tcW w:w="95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0.255</w:t>
            </w:r>
          </w:p>
        </w:tc>
      </w:tr>
      <w:tr>
        <w:trPr>
          <w:trHeight w:val="300" w:hRule="atLeast"/>
        </w:trPr>
        <w:tc>
          <w:tcPr>
            <w:tcW w:w="114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 xml:space="preserve">Error  </w:t>
            </w:r>
          </w:p>
        </w:tc>
        <w:tc>
          <w:tcPr>
            <w:tcW w:w="961"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15</w:t>
            </w:r>
          </w:p>
        </w:tc>
        <w:tc>
          <w:tcPr>
            <w:tcW w:w="19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0.56</w:t>
            </w:r>
          </w:p>
        </w:tc>
        <w:tc>
          <w:tcPr>
            <w:tcW w:w="18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0.04</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5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bl>
    <w:p>
      <w:pPr>
        <w:pStyle w:val="Tablecontent"/>
        <w:rPr/>
      </w:pPr>
      <w:r>
        <w:rPr/>
      </w:r>
    </w:p>
    <w:p>
      <w:pPr>
        <w:pStyle w:val="Tablecaption"/>
        <w:numPr>
          <w:ilvl w:val="0"/>
          <w:numId w:val="0"/>
        </w:numPr>
        <w:rPr/>
      </w:pPr>
      <w:bookmarkStart w:id="22" w:name="_Toc61687535"/>
      <w:r>
        <w:rPr/>
        <w:t>Supplementary Table 23. Analysis of variance for differences in capture rates between lights treatment by season and age group at our study site.</w:t>
      </w:r>
      <w:bookmarkEnd w:id="22"/>
    </w:p>
    <w:tbl>
      <w:tblPr>
        <w:tblStyle w:val="TableGrid"/>
        <w:tblW w:w="8578" w:type="dxa"/>
        <w:jc w:val="center"/>
        <w:tblInd w:w="0" w:type="dxa"/>
        <w:tblCellMar>
          <w:top w:w="0" w:type="dxa"/>
          <w:left w:w="108" w:type="dxa"/>
          <w:bottom w:w="0" w:type="dxa"/>
          <w:right w:w="108" w:type="dxa"/>
        </w:tblCellMar>
        <w:tblLook w:noVBand="1" w:val="04a0" w:noHBand="0" w:lastColumn="0" w:firstColumn="1" w:lastRow="0" w:firstRow="1"/>
      </w:tblPr>
      <w:tblGrid>
        <w:gridCol w:w="2327"/>
        <w:gridCol w:w="876"/>
        <w:gridCol w:w="1718"/>
        <w:gridCol w:w="1629"/>
        <w:gridCol w:w="1014"/>
        <w:gridCol w:w="1013"/>
      </w:tblGrid>
      <w:tr>
        <w:trPr>
          <w:trHeight w:val="300" w:hRule="atLeast"/>
        </w:trPr>
        <w:tc>
          <w:tcPr>
            <w:tcW w:w="2327"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Source</w:t>
            </w:r>
          </w:p>
        </w:tc>
        <w:tc>
          <w:tcPr>
            <w:tcW w:w="876"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DF</w:t>
            </w:r>
          </w:p>
        </w:tc>
        <w:tc>
          <w:tcPr>
            <w:tcW w:w="1718"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Sum of squares</w:t>
            </w:r>
          </w:p>
        </w:tc>
        <w:tc>
          <w:tcPr>
            <w:tcW w:w="162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Mean Squares</w:t>
            </w:r>
          </w:p>
        </w:tc>
        <w:tc>
          <w:tcPr>
            <w:tcW w:w="1014"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F</w:t>
            </w:r>
          </w:p>
        </w:tc>
        <w:tc>
          <w:tcPr>
            <w:tcW w:w="101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p</w:t>
            </w:r>
          </w:p>
        </w:tc>
      </w:tr>
      <w:tr>
        <w:trPr>
          <w:trHeight w:val="300" w:hRule="atLeast"/>
        </w:trPr>
        <w:tc>
          <w:tcPr>
            <w:tcW w:w="232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 xml:space="preserve">Season     </w:t>
            </w:r>
          </w:p>
        </w:tc>
        <w:tc>
          <w:tcPr>
            <w:tcW w:w="8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71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16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1014"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2.07</w:t>
            </w:r>
          </w:p>
        </w:tc>
        <w:tc>
          <w:tcPr>
            <w:tcW w:w="1013"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0.161</w:t>
            </w:r>
          </w:p>
        </w:tc>
      </w:tr>
      <w:tr>
        <w:trPr>
          <w:trHeight w:val="300" w:hRule="atLeast"/>
        </w:trPr>
        <w:tc>
          <w:tcPr>
            <w:tcW w:w="232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Age group</w:t>
            </w:r>
          </w:p>
        </w:tc>
        <w:tc>
          <w:tcPr>
            <w:tcW w:w="8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71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16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0.02</w:t>
            </w:r>
          </w:p>
        </w:tc>
        <w:tc>
          <w:tcPr>
            <w:tcW w:w="1014"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1.57</w:t>
            </w:r>
          </w:p>
        </w:tc>
        <w:tc>
          <w:tcPr>
            <w:tcW w:w="1013"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0.221</w:t>
            </w:r>
          </w:p>
        </w:tc>
      </w:tr>
      <w:tr>
        <w:trPr>
          <w:trHeight w:val="300" w:hRule="atLeast"/>
        </w:trPr>
        <w:tc>
          <w:tcPr>
            <w:tcW w:w="232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Season X Age group</w:t>
            </w:r>
          </w:p>
        </w:tc>
        <w:tc>
          <w:tcPr>
            <w:tcW w:w="8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71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16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1014"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0.48</w:t>
            </w:r>
          </w:p>
        </w:tc>
        <w:tc>
          <w:tcPr>
            <w:tcW w:w="1013"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0.495</w:t>
            </w:r>
          </w:p>
        </w:tc>
      </w:tr>
      <w:tr>
        <w:trPr>
          <w:trHeight w:val="300" w:hRule="atLeast"/>
        </w:trPr>
        <w:tc>
          <w:tcPr>
            <w:tcW w:w="2327"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 xml:space="preserve">Error  </w:t>
            </w:r>
          </w:p>
        </w:tc>
        <w:tc>
          <w:tcPr>
            <w:tcW w:w="876"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29</w:t>
            </w:r>
          </w:p>
        </w:tc>
        <w:tc>
          <w:tcPr>
            <w:tcW w:w="1718"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0.36</w:t>
            </w:r>
          </w:p>
        </w:tc>
        <w:tc>
          <w:tcPr>
            <w:tcW w:w="162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1014"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1013"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bl>
    <w:p>
      <w:pPr>
        <w:pStyle w:val="Tablecaption"/>
        <w:numPr>
          <w:ilvl w:val="0"/>
          <w:numId w:val="0"/>
        </w:numPr>
        <w:rPr/>
      </w:pPr>
      <w:bookmarkStart w:id="23" w:name="_Toc61687536"/>
      <w:r>
        <w:rPr/>
        <w:t>Supplementary Table 24. Analysis of variance for differences in capture rates between experimental and control site by light treatment within trial</w:t>
      </w:r>
      <w:bookmarkEnd w:id="23"/>
    </w:p>
    <w:tbl>
      <w:tblPr>
        <w:tblStyle w:val="TableGrid"/>
        <w:tblW w:w="8283" w:type="dxa"/>
        <w:jc w:val="center"/>
        <w:tblInd w:w="0" w:type="dxa"/>
        <w:tblCellMar>
          <w:top w:w="0" w:type="dxa"/>
          <w:left w:w="108" w:type="dxa"/>
          <w:bottom w:w="0" w:type="dxa"/>
          <w:right w:w="108" w:type="dxa"/>
        </w:tblCellMar>
        <w:tblLook w:noVBand="1" w:val="04a0" w:noHBand="0" w:lastColumn="0" w:firstColumn="1" w:lastRow="0" w:firstRow="1"/>
      </w:tblPr>
      <w:tblGrid>
        <w:gridCol w:w="1683"/>
        <w:gridCol w:w="960"/>
        <w:gridCol w:w="1910"/>
        <w:gridCol w:w="1810"/>
        <w:gridCol w:w="960"/>
        <w:gridCol w:w="959"/>
      </w:tblGrid>
      <w:tr>
        <w:trPr>
          <w:trHeight w:val="300" w:hRule="atLeast"/>
        </w:trPr>
        <w:tc>
          <w:tcPr>
            <w:tcW w:w="168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Source</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DF</w:t>
            </w:r>
          </w:p>
        </w:tc>
        <w:tc>
          <w:tcPr>
            <w:tcW w:w="19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Sum of squares</w:t>
            </w:r>
          </w:p>
        </w:tc>
        <w:tc>
          <w:tcPr>
            <w:tcW w:w="181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Mean Squares</w:t>
            </w:r>
          </w:p>
        </w:tc>
        <w:tc>
          <w:tcPr>
            <w:tcW w:w="96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F</w:t>
            </w:r>
          </w:p>
        </w:tc>
        <w:tc>
          <w:tcPr>
            <w:tcW w:w="95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b/>
                <w:szCs w:val="20"/>
              </w:rPr>
              <w:t>p</w:t>
            </w:r>
          </w:p>
        </w:tc>
      </w:tr>
      <w:tr>
        <w:trPr>
          <w:trHeight w:val="300" w:hRule="atLeast"/>
        </w:trPr>
        <w:tc>
          <w:tcPr>
            <w:tcW w:w="168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 xml:space="preserve">Site       </w:t>
            </w:r>
          </w:p>
        </w:tc>
        <w:tc>
          <w:tcPr>
            <w:tcW w:w="960"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910"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1810"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960"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0.62</w:t>
            </w:r>
          </w:p>
        </w:tc>
        <w:tc>
          <w:tcPr>
            <w:tcW w:w="95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0.439</w:t>
            </w:r>
          </w:p>
        </w:tc>
      </w:tr>
      <w:tr>
        <w:trPr>
          <w:trHeight w:val="300" w:hRule="atLeast"/>
        </w:trPr>
        <w:tc>
          <w:tcPr>
            <w:tcW w:w="168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 xml:space="preserve">Season     </w:t>
            </w:r>
          </w:p>
        </w:tc>
        <w:tc>
          <w:tcPr>
            <w:tcW w:w="960"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910"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1810"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0.03</w:t>
            </w:r>
          </w:p>
        </w:tc>
        <w:tc>
          <w:tcPr>
            <w:tcW w:w="960"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2.25</w:t>
            </w:r>
          </w:p>
        </w:tc>
        <w:tc>
          <w:tcPr>
            <w:tcW w:w="95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0.148</w:t>
            </w:r>
          </w:p>
        </w:tc>
      </w:tr>
      <w:tr>
        <w:trPr>
          <w:trHeight w:val="300" w:hRule="atLeast"/>
        </w:trPr>
        <w:tc>
          <w:tcPr>
            <w:tcW w:w="168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Site X Season</w:t>
            </w:r>
          </w:p>
        </w:tc>
        <w:tc>
          <w:tcPr>
            <w:tcW w:w="960"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1</w:t>
            </w:r>
          </w:p>
        </w:tc>
        <w:tc>
          <w:tcPr>
            <w:tcW w:w="1910"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1810"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0.00</w:t>
            </w:r>
          </w:p>
        </w:tc>
        <w:tc>
          <w:tcPr>
            <w:tcW w:w="960"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0.27</w:t>
            </w:r>
          </w:p>
        </w:tc>
        <w:tc>
          <w:tcPr>
            <w:tcW w:w="95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0.608</w:t>
            </w:r>
          </w:p>
        </w:tc>
      </w:tr>
      <w:tr>
        <w:trPr>
          <w:trHeight w:val="300" w:hRule="atLeast"/>
        </w:trPr>
        <w:tc>
          <w:tcPr>
            <w:tcW w:w="1683"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 xml:space="preserve">Error  </w:t>
            </w:r>
          </w:p>
        </w:tc>
        <w:tc>
          <w:tcPr>
            <w:tcW w:w="960"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22</w:t>
            </w:r>
          </w:p>
        </w:tc>
        <w:tc>
          <w:tcPr>
            <w:tcW w:w="1910"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0.31</w:t>
            </w:r>
          </w:p>
        </w:tc>
        <w:tc>
          <w:tcPr>
            <w:tcW w:w="1810"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0.01</w:t>
            </w:r>
          </w:p>
        </w:tc>
        <w:tc>
          <w:tcPr>
            <w:tcW w:w="960"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c>
          <w:tcPr>
            <w:tcW w:w="959" w:type="dxa"/>
            <w:tcBorders/>
            <w:shd w:fill="auto" w:val="clear"/>
            <w:vAlign w:val="bottom"/>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r>
          </w:p>
        </w:tc>
      </w:tr>
    </w:tbl>
    <w:p>
      <w:pPr>
        <w:pStyle w:val="Tablecaption"/>
        <w:numPr>
          <w:ilvl w:val="0"/>
          <w:numId w:val="0"/>
        </w:numPr>
        <w:rPr/>
      </w:pPr>
      <w:bookmarkStart w:id="24" w:name="_Toc61687537"/>
      <w:r>
        <w:rPr/>
        <w:t>Supplementary Table 25. Pearson correlation coefficients of distance of change points in the horizontal and vertical planes of movement to our experimental lights and to the tracking radar location in Autumn 2016 (Bluestem farms) by season and for the top three quantiles.</w:t>
      </w:r>
      <w:bookmarkEnd w:id="24"/>
    </w:p>
    <w:tbl>
      <w:tblPr>
        <w:tblStyle w:val="TableGrid"/>
        <w:tblW w:w="9349" w:type="dxa"/>
        <w:jc w:val="left"/>
        <w:tblInd w:w="0" w:type="dxa"/>
        <w:tblCellMar>
          <w:top w:w="0" w:type="dxa"/>
          <w:left w:w="108" w:type="dxa"/>
          <w:bottom w:w="0" w:type="dxa"/>
          <w:right w:w="108" w:type="dxa"/>
        </w:tblCellMar>
        <w:tblLook w:noVBand="1" w:val="04a0" w:noHBand="0" w:lastColumn="0" w:firstColumn="1" w:lastRow="0" w:firstRow="1"/>
      </w:tblPr>
      <w:tblGrid>
        <w:gridCol w:w="1869"/>
        <w:gridCol w:w="1870"/>
        <w:gridCol w:w="1870"/>
        <w:gridCol w:w="1870"/>
        <w:gridCol w:w="1870"/>
      </w:tblGrid>
      <w:tr>
        <w:trPr/>
        <w:tc>
          <w:tcPr>
            <w:tcW w:w="1869" w:type="dxa"/>
            <w:tcBorders/>
            <w:shd w:fill="auto" w:val="clear"/>
          </w:tcPr>
          <w:p>
            <w:pPr>
              <w:pStyle w:val="Tablecontent"/>
              <w:spacing w:lineRule="auto" w:line="240" w:before="0" w:after="0"/>
              <w:rPr>
                <w:rFonts w:ascii="Times New Roman" w:hAnsi="Times New Roman" w:eastAsia="Times New Roman" w:cs="Times New Roman"/>
                <w:b/>
                <w:b/>
                <w:szCs w:val="20"/>
              </w:rPr>
            </w:pPr>
            <w:r>
              <w:rPr>
                <w:rFonts w:eastAsia="Times New Roman" w:cs="Times New Roman"/>
                <w:b/>
                <w:szCs w:val="20"/>
              </w:rPr>
            </w:r>
          </w:p>
        </w:tc>
        <w:tc>
          <w:tcPr>
            <w:tcW w:w="3740" w:type="dxa"/>
            <w:gridSpan w:val="2"/>
            <w:tcBorders/>
            <w:shd w:fill="auto" w:val="clear"/>
          </w:tcPr>
          <w:p>
            <w:pPr>
              <w:pStyle w:val="Tablecontent"/>
              <w:spacing w:lineRule="auto" w:line="240" w:before="0" w:after="0"/>
              <w:rPr>
                <w:b/>
                <w:b/>
              </w:rPr>
            </w:pPr>
            <w:r>
              <w:rPr>
                <w:rFonts w:eastAsia="Times New Roman" w:cs="Times New Roman"/>
                <w:b/>
                <w:szCs w:val="20"/>
              </w:rPr>
              <w:t>XY</w:t>
            </w:r>
          </w:p>
        </w:tc>
        <w:tc>
          <w:tcPr>
            <w:tcW w:w="3740" w:type="dxa"/>
            <w:gridSpan w:val="2"/>
            <w:tcBorders/>
            <w:shd w:fill="auto" w:val="clear"/>
          </w:tcPr>
          <w:p>
            <w:pPr>
              <w:pStyle w:val="Tablecontent"/>
              <w:spacing w:lineRule="auto" w:line="240" w:before="0" w:after="0"/>
              <w:rPr>
                <w:b/>
                <w:b/>
              </w:rPr>
            </w:pPr>
            <w:r>
              <w:rPr>
                <w:rFonts w:eastAsia="Times New Roman" w:cs="Times New Roman"/>
                <w:b/>
                <w:szCs w:val="20"/>
              </w:rPr>
              <w:t>Height</w:t>
            </w:r>
          </w:p>
        </w:tc>
      </w:tr>
      <w:tr>
        <w:trPr/>
        <w:tc>
          <w:tcPr>
            <w:tcW w:w="1869" w:type="dxa"/>
            <w:tcBorders/>
            <w:shd w:fill="auto" w:val="clear"/>
          </w:tcPr>
          <w:p>
            <w:pPr>
              <w:pStyle w:val="Tablecontent"/>
              <w:spacing w:lineRule="auto" w:line="240" w:before="0" w:after="0"/>
              <w:rPr>
                <w:b/>
                <w:b/>
              </w:rPr>
            </w:pPr>
            <w:r>
              <w:rPr>
                <w:rFonts w:eastAsia="Times New Roman" w:cs="Times New Roman"/>
                <w:b/>
                <w:szCs w:val="20"/>
              </w:rPr>
              <w:t>Quantile</w:t>
            </w:r>
          </w:p>
        </w:tc>
        <w:tc>
          <w:tcPr>
            <w:tcW w:w="1870" w:type="dxa"/>
            <w:tcBorders/>
            <w:shd w:fill="auto" w:val="clear"/>
          </w:tcPr>
          <w:p>
            <w:pPr>
              <w:pStyle w:val="Tablecontent"/>
              <w:spacing w:lineRule="auto" w:line="240" w:before="0" w:after="0"/>
              <w:rPr>
                <w:b/>
                <w:b/>
              </w:rPr>
            </w:pPr>
            <w:r>
              <w:rPr>
                <w:rFonts w:eastAsia="Times New Roman" w:cs="Times New Roman"/>
                <w:b/>
                <w:szCs w:val="20"/>
              </w:rPr>
              <w:t>Spring</w:t>
            </w:r>
          </w:p>
        </w:tc>
        <w:tc>
          <w:tcPr>
            <w:tcW w:w="1870" w:type="dxa"/>
            <w:tcBorders/>
            <w:shd w:fill="auto" w:val="clear"/>
          </w:tcPr>
          <w:p>
            <w:pPr>
              <w:pStyle w:val="Tablecontent"/>
              <w:spacing w:lineRule="auto" w:line="240" w:before="0" w:after="0"/>
              <w:rPr>
                <w:b/>
                <w:b/>
              </w:rPr>
            </w:pPr>
            <w:r>
              <w:rPr>
                <w:rFonts w:eastAsia="Times New Roman" w:cs="Times New Roman"/>
                <w:b/>
                <w:szCs w:val="20"/>
              </w:rPr>
              <w:t>Autumn</w:t>
            </w:r>
          </w:p>
        </w:tc>
        <w:tc>
          <w:tcPr>
            <w:tcW w:w="1870" w:type="dxa"/>
            <w:tcBorders/>
            <w:shd w:fill="auto" w:val="clear"/>
          </w:tcPr>
          <w:p>
            <w:pPr>
              <w:pStyle w:val="Tablecontent"/>
              <w:spacing w:lineRule="auto" w:line="240" w:before="0" w:after="0"/>
              <w:rPr>
                <w:b/>
                <w:b/>
              </w:rPr>
            </w:pPr>
            <w:r>
              <w:rPr>
                <w:rFonts w:eastAsia="Times New Roman" w:cs="Times New Roman"/>
                <w:b/>
                <w:szCs w:val="20"/>
              </w:rPr>
              <w:t>Spring</w:t>
            </w:r>
          </w:p>
        </w:tc>
        <w:tc>
          <w:tcPr>
            <w:tcW w:w="1870" w:type="dxa"/>
            <w:tcBorders/>
            <w:shd w:fill="auto" w:val="clear"/>
          </w:tcPr>
          <w:p>
            <w:pPr>
              <w:pStyle w:val="Tablecontent"/>
              <w:spacing w:lineRule="auto" w:line="240" w:before="0" w:after="0"/>
              <w:rPr>
                <w:b/>
                <w:b/>
              </w:rPr>
            </w:pPr>
            <w:r>
              <w:rPr>
                <w:rFonts w:eastAsia="Times New Roman" w:cs="Times New Roman"/>
                <w:b/>
                <w:szCs w:val="20"/>
              </w:rPr>
              <w:t>Autumn</w:t>
            </w:r>
          </w:p>
        </w:tc>
      </w:tr>
      <w:tr>
        <w:trPr/>
        <w:tc>
          <w:tcPr>
            <w:tcW w:w="18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99%</w:t>
            </w:r>
          </w:p>
        </w:tc>
        <w:tc>
          <w:tcPr>
            <w:tcW w:w="187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0.85</w:t>
            </w:r>
          </w:p>
        </w:tc>
        <w:tc>
          <w:tcPr>
            <w:tcW w:w="187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0.91</w:t>
            </w:r>
          </w:p>
        </w:tc>
        <w:tc>
          <w:tcPr>
            <w:tcW w:w="187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0.75</w:t>
            </w:r>
          </w:p>
        </w:tc>
        <w:tc>
          <w:tcPr>
            <w:tcW w:w="187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0.85</w:t>
            </w:r>
          </w:p>
        </w:tc>
      </w:tr>
      <w:tr>
        <w:trPr/>
        <w:tc>
          <w:tcPr>
            <w:tcW w:w="18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95%</w:t>
            </w:r>
          </w:p>
        </w:tc>
        <w:tc>
          <w:tcPr>
            <w:tcW w:w="187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0.78</w:t>
            </w:r>
          </w:p>
        </w:tc>
        <w:tc>
          <w:tcPr>
            <w:tcW w:w="187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0.88</w:t>
            </w:r>
          </w:p>
        </w:tc>
        <w:tc>
          <w:tcPr>
            <w:tcW w:w="187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0.77</w:t>
            </w:r>
          </w:p>
        </w:tc>
        <w:tc>
          <w:tcPr>
            <w:tcW w:w="187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0.81</w:t>
            </w:r>
          </w:p>
        </w:tc>
      </w:tr>
      <w:tr>
        <w:trPr/>
        <w:tc>
          <w:tcPr>
            <w:tcW w:w="1869"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90%</w:t>
            </w:r>
          </w:p>
        </w:tc>
        <w:tc>
          <w:tcPr>
            <w:tcW w:w="187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0.77</w:t>
            </w:r>
          </w:p>
        </w:tc>
        <w:tc>
          <w:tcPr>
            <w:tcW w:w="187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0.86</w:t>
            </w:r>
          </w:p>
        </w:tc>
        <w:tc>
          <w:tcPr>
            <w:tcW w:w="187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0.77</w:t>
            </w:r>
          </w:p>
        </w:tc>
        <w:tc>
          <w:tcPr>
            <w:tcW w:w="1870" w:type="dxa"/>
            <w:tcBorders/>
            <w:shd w:fill="auto" w:val="clear"/>
          </w:tcPr>
          <w:p>
            <w:pPr>
              <w:pStyle w:val="Tablecontent"/>
              <w:spacing w:lineRule="auto" w:line="240" w:before="0" w:after="0"/>
              <w:rPr>
                <w:rFonts w:ascii="Times New Roman" w:hAnsi="Times New Roman" w:eastAsia="Times New Roman" w:cs="Times New Roman"/>
                <w:szCs w:val="20"/>
              </w:rPr>
            </w:pPr>
            <w:r>
              <w:rPr>
                <w:rFonts w:eastAsia="Times New Roman" w:cs="Times New Roman"/>
                <w:szCs w:val="20"/>
              </w:rPr>
              <w:t>0.82</w:t>
            </w:r>
          </w:p>
        </w:tc>
      </w:tr>
    </w:tbl>
    <w:p>
      <w:pPr>
        <w:pStyle w:val="Tablecontent"/>
        <w:rPr/>
      </w:pPr>
      <w:r>
        <w:rPr/>
      </w:r>
    </w:p>
    <w:p>
      <w:pPr>
        <w:pStyle w:val="Paragraph"/>
        <w:rPr/>
      </w:pPr>
      <w:r>
        <w:rPr/>
      </w:r>
    </w:p>
    <w:p>
      <w:pPr>
        <w:pStyle w:val="Normal"/>
        <w:rPr/>
      </w:pPr>
      <w:r>
        <w:rPr/>
      </w:r>
      <w:r>
        <w:br w:type="page"/>
      </w:r>
    </w:p>
    <w:p>
      <w:pPr>
        <w:pStyle w:val="APPENDIXTITLEone"/>
        <w:rPr/>
      </w:pPr>
      <w:bookmarkStart w:id="25" w:name="_Toc64136558"/>
      <w:r>
        <w:rPr/>
        <w:t>FIGURES</w:t>
      </w:r>
      <w:bookmarkEnd w:id="25"/>
    </w:p>
    <w:p>
      <w:pPr>
        <w:pStyle w:val="Figureimage"/>
        <w:rPr/>
      </w:pPr>
      <w:r>
        <w:rPr/>
        <w:drawing>
          <wp:inline distT="0" distB="0" distL="0" distR="0">
            <wp:extent cx="5303520" cy="5299075"/>
            <wp:effectExtent l="0" t="0" r="0" b="0"/>
            <wp:docPr id="2"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
                    <pic:cNvPicPr>
                      <a:picLocks noChangeAspect="1" noChangeArrowheads="1"/>
                    </pic:cNvPicPr>
                  </pic:nvPicPr>
                  <pic:blipFill>
                    <a:blip r:embed="rId4"/>
                    <a:stretch>
                      <a:fillRect/>
                    </a:stretch>
                  </pic:blipFill>
                  <pic:spPr bwMode="auto">
                    <a:xfrm>
                      <a:off x="0" y="0"/>
                      <a:ext cx="5303520" cy="5299075"/>
                    </a:xfrm>
                    <a:prstGeom prst="rect">
                      <a:avLst/>
                    </a:prstGeom>
                  </pic:spPr>
                </pic:pic>
              </a:graphicData>
            </a:graphic>
          </wp:inline>
        </w:drawing>
      </w:r>
    </w:p>
    <w:p>
      <w:pPr>
        <w:pStyle w:val="Figurecaption"/>
        <w:numPr>
          <w:ilvl w:val="0"/>
          <w:numId w:val="0"/>
        </w:numPr>
        <w:rPr/>
      </w:pPr>
      <w:bookmarkStart w:id="26" w:name="_Toc61687564"/>
      <w:r>
        <w:rPr/>
        <w:t xml:space="preserve">Supplementary Figure 1. Distribution of artificial lights at night (ALAN) within 5km (white circles) from the centroid (white dots) of our experimental (FBBO = Foreman Branch Bird-banding Observatory) and control sites in eastern Maryland, also showing the Chesapeake Bay in blue. Intensity of ALAN (white pixels on black background) is common to all figure panels, and is based on radiance values around Harford Glen. ALAN data collected by the Luojia 1-01 satellite on July 11, 2018, available at </w:t>
      </w:r>
      <w:hyperlink r:id="rId5">
        <w:r>
          <w:rPr>
            <w:rStyle w:val="InternetLink"/>
          </w:rPr>
          <w:t>http://59.175.109.173:8888/app/login_en.html</w:t>
        </w:r>
      </w:hyperlink>
      <w:r>
        <w:rPr/>
        <w:t>.</w:t>
      </w:r>
      <w:bookmarkEnd w:id="26"/>
      <w:r>
        <w:rPr/>
        <w:t xml:space="preserve"> </w:t>
      </w:r>
    </w:p>
    <w:p>
      <w:pPr>
        <w:pStyle w:val="Figureimage"/>
        <w:rPr/>
      </w:pPr>
      <w:r>
        <w:rPr/>
        <w:drawing>
          <wp:inline distT="0" distB="0" distL="0" distR="0">
            <wp:extent cx="5956300" cy="4322445"/>
            <wp:effectExtent l="0" t="0" r="0" b="0"/>
            <wp:docPr id="3"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1" descr=""/>
                    <pic:cNvPicPr>
                      <a:picLocks noChangeAspect="1" noChangeArrowheads="1"/>
                    </pic:cNvPicPr>
                  </pic:nvPicPr>
                  <pic:blipFill>
                    <a:blip r:embed="rId6"/>
                    <a:stretch>
                      <a:fillRect/>
                    </a:stretch>
                  </pic:blipFill>
                  <pic:spPr bwMode="auto">
                    <a:xfrm>
                      <a:off x="0" y="0"/>
                      <a:ext cx="5956300" cy="4322445"/>
                    </a:xfrm>
                    <a:prstGeom prst="rect">
                      <a:avLst/>
                    </a:prstGeom>
                  </pic:spPr>
                </pic:pic>
              </a:graphicData>
            </a:graphic>
          </wp:inline>
        </w:drawing>
      </w:r>
    </w:p>
    <w:p>
      <w:pPr>
        <w:pStyle w:val="Figurecaption"/>
        <w:numPr>
          <w:ilvl w:val="0"/>
          <w:numId w:val="0"/>
        </w:numPr>
        <w:rPr/>
      </w:pPr>
      <w:bookmarkStart w:id="27" w:name="_Toc61687565"/>
      <w:r>
        <w:rPr/>
        <w:t>Supplementary Figure 2. Spectral composition of our experimental floodlights (continuous black line) in relation to the spectrum of human color vision (dashed gray line).</w:t>
      </w:r>
      <w:bookmarkEnd w:id="27"/>
    </w:p>
    <w:p>
      <w:pPr>
        <w:pStyle w:val="Normal"/>
        <w:rPr/>
      </w:pPr>
      <w:r>
        <w:rPr/>
      </w:r>
      <w:r>
        <w:br w:type="page"/>
      </w:r>
    </w:p>
    <w:p>
      <w:pPr>
        <w:pStyle w:val="Figureimage"/>
        <w:rPr/>
      </w:pPr>
      <w:r>
        <w:rPr/>
        <w:drawing>
          <wp:inline distT="0" distB="0" distL="0" distR="0">
            <wp:extent cx="5674995" cy="5835015"/>
            <wp:effectExtent l="0" t="0" r="0" b="0"/>
            <wp:docPr id="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
                    <pic:cNvPicPr>
                      <a:picLocks noChangeAspect="1" noChangeArrowheads="1"/>
                    </pic:cNvPicPr>
                  </pic:nvPicPr>
                  <pic:blipFill>
                    <a:blip r:embed="rId7"/>
                    <a:stretch>
                      <a:fillRect/>
                    </a:stretch>
                  </pic:blipFill>
                  <pic:spPr bwMode="auto">
                    <a:xfrm>
                      <a:off x="0" y="0"/>
                      <a:ext cx="5674995" cy="5835015"/>
                    </a:xfrm>
                    <a:prstGeom prst="rect">
                      <a:avLst/>
                    </a:prstGeom>
                  </pic:spPr>
                </pic:pic>
              </a:graphicData>
            </a:graphic>
          </wp:inline>
        </w:drawing>
      </w:r>
    </w:p>
    <w:p>
      <w:pPr>
        <w:pStyle w:val="Figurecaption"/>
        <w:numPr>
          <w:ilvl w:val="0"/>
          <w:numId w:val="0"/>
        </w:numPr>
        <w:rPr/>
      </w:pPr>
      <w:bookmarkStart w:id="28" w:name="_Toc61687566"/>
      <w:r>
        <w:rPr/>
        <w:t>Supplementary Figure 3. Two examples of flight paths before (left) and after (right) smoothing with the function ‘TrajSmoothSG’ from the R package ‘trajr’ (McLean and Volponi 2018). Smoothed tracks also show change points (red), and location of our experimental plot (black dot). Notice how smoothing did not remove the potential behavioral reaction (change point identified in red), but reduced the overall jaggedness along the path, minimizing the probability of identifying spurious change points.</w:t>
      </w:r>
      <w:bookmarkEnd w:id="28"/>
    </w:p>
    <w:p>
      <w:pPr>
        <w:pStyle w:val="Normal"/>
        <w:rPr/>
      </w:pPr>
      <w:r>
        <w:rPr/>
      </w:r>
      <w:r>
        <w:br w:type="page"/>
      </w:r>
    </w:p>
    <w:p>
      <w:pPr>
        <w:pStyle w:val="Normal"/>
        <w:rPr>
          <w:caps w:val="false"/>
          <w:smallCaps w:val="false"/>
          <w:strike w:val="false"/>
          <w:dstrike w:val="false"/>
          <w:color w:val="000000"/>
          <w:u w:val="none"/>
          <w:effect w:val="none"/>
        </w:rPr>
      </w:pPr>
      <w:r>
        <w:rPr>
          <w:caps w:val="false"/>
          <w:smallCaps w:val="false"/>
          <w:strike w:val="false"/>
          <w:dstrike w:val="false"/>
          <w:color w:val="000000"/>
          <w:u w:val="none"/>
          <w:effect w:val="none"/>
        </w:rPr>
        <w:drawing>
          <wp:anchor behindDoc="0" distT="0" distB="0" distL="0" distR="0" simplePos="0" locked="0" layoutInCell="1" allowOverlap="1" relativeHeight="19">
            <wp:simplePos x="0" y="0"/>
            <wp:positionH relativeFrom="column">
              <wp:align>center</wp:align>
            </wp:positionH>
            <wp:positionV relativeFrom="paragraph">
              <wp:posOffset>914400</wp:posOffset>
            </wp:positionV>
            <wp:extent cx="4229100" cy="5600700"/>
            <wp:effectExtent l="0" t="0" r="0" b="0"/>
            <wp:wrapSquare wrapText="largest"/>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8"/>
                    <a:stretch>
                      <a:fillRect/>
                    </a:stretch>
                  </pic:blipFill>
                  <pic:spPr bwMode="auto">
                    <a:xfrm>
                      <a:off x="0" y="0"/>
                      <a:ext cx="4229100" cy="5600700"/>
                    </a:xfrm>
                    <a:prstGeom prst="rect">
                      <a:avLst/>
                    </a:prstGeom>
                  </pic:spPr>
                </pic:pic>
              </a:graphicData>
            </a:graphic>
          </wp:anchor>
        </w:drawing>
      </w:r>
      <w:bookmarkStart w:id="29" w:name="docs-internal-guid-71b37ac6-7fff-bb7c-2c"/>
      <w:bookmarkStart w:id="30" w:name="docs-internal-guid-71b37ac6-7fff-bb7c-2c"/>
      <w:bookmarkEnd w:id="30"/>
    </w:p>
    <w:p>
      <w:pPr>
        <w:pStyle w:val="Figureimage"/>
        <w:rPr/>
      </w:pPr>
      <w:r>
        <w:rPr/>
      </w:r>
    </w:p>
    <w:p>
      <w:pPr>
        <w:pStyle w:val="Figurecaption"/>
        <w:numPr>
          <w:ilvl w:val="0"/>
          <w:numId w:val="0"/>
        </w:numPr>
        <w:rPr/>
      </w:pPr>
      <w:bookmarkStart w:id="31" w:name="_Toc61687567"/>
      <w:r>
        <w:rPr/>
        <w:t>Supplementary Figure 4. Three-dimensional representation of flight paths (lines connected with dots) where the three points in the middle represent the steps of real paths used to categorize potential reactions of targets to lights (</w:t>
      </w:r>
      <w:r>
        <w:rPr>
          <w:color w:val="FF0000"/>
        </w:rPr>
        <w:t>red dot</w:t>
      </w:r>
      <w:r>
        <w:rPr/>
        <w:t>), in the horizontal plane of movement. In all panels, paths move from left to right, change points are the third step (mid-point), and the immediate neighbors represent neighboring steps 3 locations away that we compared the change point to. Top three rows represent reactions towards lights; panels in second row represent reactions away.  Third and fourth row represent descending and climbing reactions respectively, and panel centered to their right is a neutral change point (i.e. no discernible change in slant range of change point to lights in relation to its neighbors).</w:t>
      </w:r>
      <w:bookmarkEnd w:id="31"/>
    </w:p>
    <w:p>
      <w:pPr>
        <w:pStyle w:val="Figureimage"/>
        <w:rPr/>
      </w:pPr>
      <w:r>
        <w:rPr/>
        <w:drawing>
          <wp:inline distT="0" distB="0" distL="0" distR="0">
            <wp:extent cx="5943600" cy="5459730"/>
            <wp:effectExtent l="0" t="0" r="0" b="0"/>
            <wp:docPr id="6"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
                    <pic:cNvPicPr>
                      <a:picLocks noChangeAspect="1" noChangeArrowheads="1"/>
                    </pic:cNvPicPr>
                  </pic:nvPicPr>
                  <pic:blipFill>
                    <a:blip r:embed="rId9"/>
                    <a:stretch>
                      <a:fillRect/>
                    </a:stretch>
                  </pic:blipFill>
                  <pic:spPr bwMode="auto">
                    <a:xfrm>
                      <a:off x="0" y="0"/>
                      <a:ext cx="5943600" cy="5459730"/>
                    </a:xfrm>
                    <a:prstGeom prst="rect">
                      <a:avLst/>
                    </a:prstGeom>
                  </pic:spPr>
                </pic:pic>
              </a:graphicData>
            </a:graphic>
          </wp:inline>
        </w:drawing>
      </w:r>
    </w:p>
    <w:p>
      <w:pPr>
        <w:pStyle w:val="Figurecaption"/>
        <w:numPr>
          <w:ilvl w:val="0"/>
          <w:numId w:val="0"/>
        </w:numPr>
        <w:rPr/>
      </w:pPr>
      <w:bookmarkStart w:id="32" w:name="_Toc61687568"/>
      <w:r>
        <w:rPr/>
        <w:t>Supplementary Figure 5. Path (black line; black dot indicating starting point) with change point (circled in red). We categorized the reaction associated to this change point because our experimental lights were located to the side of the change point and path. We did not categorize reactions when lights were behind or ahead of change points (in relation to the main direction of movement of the path; gray areas in in this example). Experimental lights during the night of this particular example (April 25, 2016) were turned off.</w:t>
      </w:r>
      <w:bookmarkEnd w:id="32"/>
    </w:p>
    <w:p>
      <w:pPr>
        <w:pStyle w:val="Figureimage"/>
        <w:rPr/>
      </w:pPr>
      <w:r>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2635885" cy="6712585"/>
            <wp:effectExtent l="0" t="0" r="0" b="0"/>
            <wp:wrapTopAndBottom/>
            <wp:docPr id="7"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
                    <pic:cNvPicPr>
                      <a:picLocks noChangeAspect="1" noChangeArrowheads="1"/>
                    </pic:cNvPicPr>
                  </pic:nvPicPr>
                  <pic:blipFill>
                    <a:blip r:embed="rId10"/>
                    <a:stretch>
                      <a:fillRect/>
                    </a:stretch>
                  </pic:blipFill>
                  <pic:spPr bwMode="auto">
                    <a:xfrm>
                      <a:off x="0" y="0"/>
                      <a:ext cx="2635885" cy="6712585"/>
                    </a:xfrm>
                    <a:prstGeom prst="rect">
                      <a:avLst/>
                    </a:prstGeom>
                  </pic:spPr>
                </pic:pic>
              </a:graphicData>
            </a:graphic>
          </wp:anchor>
        </w:drawing>
      </w:r>
    </w:p>
    <w:p>
      <w:pPr>
        <w:pStyle w:val="Figurecaption"/>
        <w:numPr>
          <w:ilvl w:val="0"/>
          <w:numId w:val="0"/>
        </w:numPr>
        <w:rPr/>
      </w:pPr>
      <w:bookmarkStart w:id="33" w:name="_Toc61687569"/>
      <w:r>
        <w:rPr/>
        <w:t>Supplementary Figure 6. Examples of flight paths with severe irregularities (top) and patterned up-and-down oscillations (bottom), which we discarded from analysis of change points in the horizontal and vertical planes of movement respectively. X, Y, and Z-axes represent Longitude, Latitude, and Altitude respectively, with the latter scaled between zero and one.</w:t>
      </w:r>
      <w:bookmarkEnd w:id="33"/>
    </w:p>
    <w:p>
      <w:pPr>
        <w:pStyle w:val="Figureimage"/>
        <w:rPr/>
      </w:pPr>
      <w:r>
        <w:rPr/>
      </w:r>
    </w:p>
    <w:p>
      <w:pPr>
        <w:pStyle w:val="Paragraph"/>
        <w:rPr/>
      </w:pPr>
      <w:r>
        <w:rPr/>
      </w:r>
    </w:p>
    <w:p>
      <w:pPr>
        <w:pStyle w:val="Figureimage"/>
        <w:rPr/>
      </w:pPr>
      <w:r>
        <w:rPr/>
        <w:drawing>
          <wp:inline distT="0" distB="0" distL="0" distR="0">
            <wp:extent cx="5303520" cy="1767840"/>
            <wp:effectExtent l="0" t="0" r="0" b="0"/>
            <wp:docPr id="8" name="Pictur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8" descr=""/>
                    <pic:cNvPicPr>
                      <a:picLocks noChangeAspect="1" noChangeArrowheads="1"/>
                    </pic:cNvPicPr>
                  </pic:nvPicPr>
                  <pic:blipFill>
                    <a:blip r:embed="rId11"/>
                    <a:stretch>
                      <a:fillRect/>
                    </a:stretch>
                  </pic:blipFill>
                  <pic:spPr bwMode="auto">
                    <a:xfrm>
                      <a:off x="0" y="0"/>
                      <a:ext cx="5303520" cy="1767840"/>
                    </a:xfrm>
                    <a:prstGeom prst="rect">
                      <a:avLst/>
                    </a:prstGeom>
                  </pic:spPr>
                </pic:pic>
              </a:graphicData>
            </a:graphic>
          </wp:inline>
        </w:drawing>
      </w:r>
    </w:p>
    <w:p>
      <w:pPr>
        <w:pStyle w:val="Figurecaption"/>
        <w:numPr>
          <w:ilvl w:val="0"/>
          <w:numId w:val="0"/>
        </w:numPr>
        <w:rPr/>
      </w:pPr>
      <w:bookmarkStart w:id="34" w:name="_Toc61687570"/>
      <w:r>
        <w:rPr/>
        <w:t>Supplementary Figure 7. Probability of change points in XY when our lights were on and off, in spring and autumn, for the top three quantiles of magnitude of directional change tested (see main text).</w:t>
      </w:r>
      <w:bookmarkEnd w:id="34"/>
    </w:p>
    <w:p>
      <w:pPr>
        <w:pStyle w:val="Normal"/>
        <w:rPr/>
      </w:pPr>
      <w:r>
        <w:rPr/>
      </w:r>
      <w:r>
        <w:br w:type="page"/>
      </w:r>
    </w:p>
    <w:p>
      <w:pPr>
        <w:pStyle w:val="Figureimage"/>
        <w:rPr/>
      </w:pPr>
      <w:r>
        <w:rPr/>
        <w:drawing>
          <wp:inline distT="0" distB="0" distL="0" distR="0">
            <wp:extent cx="5487035" cy="1828800"/>
            <wp:effectExtent l="0" t="0" r="0" b="0"/>
            <wp:docPr id="9" name="Pictur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9" descr=""/>
                    <pic:cNvPicPr>
                      <a:picLocks noChangeAspect="1" noChangeArrowheads="1"/>
                    </pic:cNvPicPr>
                  </pic:nvPicPr>
                  <pic:blipFill>
                    <a:blip r:embed="rId12"/>
                    <a:stretch>
                      <a:fillRect/>
                    </a:stretch>
                  </pic:blipFill>
                  <pic:spPr bwMode="auto">
                    <a:xfrm>
                      <a:off x="0" y="0"/>
                      <a:ext cx="5487035" cy="1828800"/>
                    </a:xfrm>
                    <a:prstGeom prst="rect">
                      <a:avLst/>
                    </a:prstGeom>
                  </pic:spPr>
                </pic:pic>
              </a:graphicData>
            </a:graphic>
          </wp:inline>
        </w:drawing>
      </w:r>
    </w:p>
    <w:p>
      <w:pPr>
        <w:pStyle w:val="Figurecaption"/>
        <w:numPr>
          <w:ilvl w:val="0"/>
          <w:numId w:val="0"/>
        </w:numPr>
        <w:rPr/>
      </w:pPr>
      <w:bookmarkStart w:id="35" w:name="_Toc61687571"/>
      <w:r>
        <w:rPr/>
        <w:t>Supplementary Figure 8. Probability of change points in vertical (altitudes) when our lights were on and off, in spring and autumn, for the top three quantiles of magnitude of directional change tested (see main text).</w:t>
      </w:r>
      <w:bookmarkEnd w:id="35"/>
    </w:p>
    <w:p>
      <w:pPr>
        <w:pStyle w:val="Normal"/>
        <w:rPr/>
      </w:pPr>
      <w:r>
        <w:rPr/>
      </w:r>
      <w:r>
        <w:br w:type="page"/>
      </w:r>
    </w:p>
    <w:p>
      <w:pPr>
        <w:pStyle w:val="Normal"/>
        <w:rPr>
          <w:caps w:val="false"/>
          <w:smallCaps w:val="false"/>
          <w:strike w:val="false"/>
          <w:dstrike w:val="false"/>
          <w:color w:val="000000"/>
          <w:u w:val="none"/>
          <w:effect w:val="none"/>
        </w:rPr>
      </w:pPr>
      <w:r>
        <w:rPr>
          <w:caps w:val="false"/>
          <w:smallCaps w:val="false"/>
          <w:strike w:val="false"/>
          <w:dstrike w:val="false"/>
          <w:color w:val="000000"/>
          <w:u w:val="none"/>
          <w:effect w:val="none"/>
        </w:rPr>
        <w:drawing>
          <wp:anchor behindDoc="0" distT="0" distB="0" distL="0" distR="0" simplePos="0" locked="0" layoutInCell="1" allowOverlap="1" relativeHeight="20">
            <wp:simplePos x="0" y="0"/>
            <wp:positionH relativeFrom="column">
              <wp:align>center</wp:align>
            </wp:positionH>
            <wp:positionV relativeFrom="paragraph">
              <wp:posOffset>635</wp:posOffset>
            </wp:positionV>
            <wp:extent cx="5305425" cy="7067550"/>
            <wp:effectExtent l="0" t="0" r="0" b="0"/>
            <wp:wrapSquare wrapText="largest"/>
            <wp:docPr id="1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descr=""/>
                    <pic:cNvPicPr>
                      <a:picLocks noChangeAspect="1" noChangeArrowheads="1"/>
                    </pic:cNvPicPr>
                  </pic:nvPicPr>
                  <pic:blipFill>
                    <a:blip r:embed="rId13"/>
                    <a:stretch>
                      <a:fillRect/>
                    </a:stretch>
                  </pic:blipFill>
                  <pic:spPr bwMode="auto">
                    <a:xfrm>
                      <a:off x="0" y="0"/>
                      <a:ext cx="5305425" cy="7067550"/>
                    </a:xfrm>
                    <a:prstGeom prst="rect">
                      <a:avLst/>
                    </a:prstGeom>
                  </pic:spPr>
                </pic:pic>
              </a:graphicData>
            </a:graphic>
          </wp:anchor>
        </w:drawing>
      </w:r>
      <w:bookmarkStart w:id="36" w:name="docs-internal-guid-891b2e6e-7fff-ca64-4e"/>
      <w:bookmarkStart w:id="37" w:name="docs-internal-guid-891b2e6e-7fff-ca64-4e"/>
      <w:bookmarkEnd w:id="37"/>
    </w:p>
    <w:p>
      <w:pPr>
        <w:pStyle w:val="Figureimage"/>
        <w:rPr/>
      </w:pPr>
      <w:r>
        <w:rPr/>
      </w:r>
    </w:p>
    <w:p>
      <w:pPr>
        <w:pStyle w:val="Figurecaption"/>
        <w:numPr>
          <w:ilvl w:val="0"/>
          <w:numId w:val="0"/>
        </w:numPr>
        <w:rPr/>
      </w:pPr>
      <w:bookmarkStart w:id="38" w:name="_Toc61687572"/>
      <w:r>
        <w:rPr/>
        <w:t>Supplementary Figure 9. Probability of reactions in the horizontal plane in relation to slant range of change points to our experimental lights.</w:t>
      </w:r>
      <w:bookmarkEnd w:id="38"/>
    </w:p>
    <w:p>
      <w:pPr>
        <w:pStyle w:val="Normal"/>
        <w:rPr>
          <w:caps w:val="false"/>
          <w:smallCaps w:val="false"/>
          <w:strike w:val="false"/>
          <w:dstrike w:val="false"/>
          <w:color w:val="000000"/>
          <w:u w:val="none"/>
          <w:effect w:val="none"/>
        </w:rPr>
      </w:pPr>
      <w:bookmarkStart w:id="39" w:name="docs-internal-guid-5c7b09d3-7fff-7010-1b"/>
      <w:bookmarkEnd w:id="39"/>
      <w:r>
        <w:rPr>
          <w:caps w:val="false"/>
          <w:smallCaps w:val="false"/>
          <w:strike w:val="false"/>
          <w:dstrike w:val="false"/>
          <w:color w:val="000000"/>
          <w:u w:val="none"/>
          <w:effect w:val="none"/>
        </w:rPr>
        <w:drawing>
          <wp:inline distT="0" distB="0" distL="0" distR="0">
            <wp:extent cx="5305425" cy="7067550"/>
            <wp:effectExtent l="0" t="0" r="0" b="0"/>
            <wp:docPr id="1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descr=""/>
                    <pic:cNvPicPr>
                      <a:picLocks noChangeAspect="1" noChangeArrowheads="1"/>
                    </pic:cNvPicPr>
                  </pic:nvPicPr>
                  <pic:blipFill>
                    <a:blip r:embed="rId14"/>
                    <a:stretch>
                      <a:fillRect/>
                    </a:stretch>
                  </pic:blipFill>
                  <pic:spPr bwMode="auto">
                    <a:xfrm>
                      <a:off x="0" y="0"/>
                      <a:ext cx="5305425" cy="7067550"/>
                    </a:xfrm>
                    <a:prstGeom prst="rect">
                      <a:avLst/>
                    </a:prstGeom>
                  </pic:spPr>
                </pic:pic>
              </a:graphicData>
            </a:graphic>
          </wp:inline>
        </w:drawing>
      </w:r>
    </w:p>
    <w:p>
      <w:pPr>
        <w:pStyle w:val="Figurecaption"/>
        <w:numPr>
          <w:ilvl w:val="0"/>
          <w:numId w:val="0"/>
        </w:numPr>
        <w:rPr/>
      </w:pPr>
      <w:bookmarkStart w:id="40" w:name="_Toc61687573"/>
      <w:r>
        <w:rPr/>
        <w:t>Supplementary Figure 10. Probability of reactions in the vertical plane in relation to flight altitudes of change points above ground level.</w:t>
      </w:r>
      <w:bookmarkEnd w:id="40"/>
    </w:p>
    <w:p>
      <w:pPr>
        <w:pStyle w:val="Figureimage"/>
        <w:rPr/>
      </w:pPr>
      <w:r>
        <w:rPr/>
        <w:drawing>
          <wp:inline distT="0" distB="0" distL="0" distR="0">
            <wp:extent cx="5191125" cy="2598420"/>
            <wp:effectExtent l="0" t="0" r="0" b="0"/>
            <wp:docPr id="12"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3" descr=""/>
                    <pic:cNvPicPr>
                      <a:picLocks noChangeAspect="1" noChangeArrowheads="1"/>
                    </pic:cNvPicPr>
                  </pic:nvPicPr>
                  <pic:blipFill>
                    <a:blip r:embed="rId15"/>
                    <a:stretch>
                      <a:fillRect/>
                    </a:stretch>
                  </pic:blipFill>
                  <pic:spPr bwMode="auto">
                    <a:xfrm>
                      <a:off x="0" y="0"/>
                      <a:ext cx="5191125" cy="2598420"/>
                    </a:xfrm>
                    <a:prstGeom prst="rect">
                      <a:avLst/>
                    </a:prstGeom>
                  </pic:spPr>
                </pic:pic>
              </a:graphicData>
            </a:graphic>
          </wp:inline>
        </w:drawing>
      </w:r>
    </w:p>
    <w:p>
      <w:pPr>
        <w:pStyle w:val="Figurecaption"/>
        <w:numPr>
          <w:ilvl w:val="0"/>
          <w:numId w:val="0"/>
        </w:numPr>
        <w:rPr/>
      </w:pPr>
      <w:bookmarkStart w:id="41" w:name="_Toc61687574"/>
      <w:r>
        <w:rPr/>
        <w:t>Supplementary Figure 11. Median variance explained (R</w:t>
      </w:r>
      <w:r>
        <w:rPr>
          <w:vertAlign w:val="superscript"/>
        </w:rPr>
        <w:t>2</w:t>
      </w:r>
      <w:r>
        <w:rPr/>
        <w:t>; vertical black line) by each of our seasonal models of probability of behavioral reactions in the horizontal (left) and vertical planes of movement in relation to multiple environmental predictors, by quantile of directional changes.</w:t>
      </w:r>
      <w:bookmarkEnd w:id="41"/>
    </w:p>
    <w:p>
      <w:pPr>
        <w:pStyle w:val="Normal"/>
        <w:rPr/>
      </w:pPr>
      <w:r>
        <w:rPr/>
      </w:r>
      <w:r>
        <w:br w:type="page"/>
      </w:r>
    </w:p>
    <w:p>
      <w:pPr>
        <w:pStyle w:val="Figureimage"/>
        <w:rPr/>
      </w:pPr>
      <w:r>
        <w:rPr/>
        <w:drawing>
          <wp:inline distT="0" distB="0" distL="0" distR="0">
            <wp:extent cx="4743450" cy="6381750"/>
            <wp:effectExtent l="0" t="0" r="0" b="0"/>
            <wp:docPr id="13"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5" descr=""/>
                    <pic:cNvPicPr>
                      <a:picLocks noChangeAspect="1" noChangeArrowheads="1"/>
                    </pic:cNvPicPr>
                  </pic:nvPicPr>
                  <pic:blipFill>
                    <a:blip r:embed="rId16"/>
                    <a:stretch>
                      <a:fillRect/>
                    </a:stretch>
                  </pic:blipFill>
                  <pic:spPr bwMode="auto">
                    <a:xfrm>
                      <a:off x="0" y="0"/>
                      <a:ext cx="4743450" cy="6381750"/>
                    </a:xfrm>
                    <a:prstGeom prst="rect">
                      <a:avLst/>
                    </a:prstGeom>
                  </pic:spPr>
                </pic:pic>
              </a:graphicData>
            </a:graphic>
          </wp:inline>
        </w:drawing>
      </w:r>
    </w:p>
    <w:p>
      <w:pPr>
        <w:pStyle w:val="Figurecaption"/>
        <w:numPr>
          <w:ilvl w:val="0"/>
          <w:numId w:val="0"/>
        </w:numPr>
        <w:rPr/>
      </w:pPr>
      <w:bookmarkStart w:id="42" w:name="_Toc61687575"/>
      <w:r>
        <w:rPr/>
        <w:t>Supplementary Figure 12. Single-predictor plots of probability of occurrence (Y-axes) of change points or behavioral reactions of night-migrating birds in the horizontal plane of movement and in relation to multiple predictors in spring (standardized parameters, X-axes). Probabilities in relation to change points of the 99% quantile (see text).</w:t>
      </w:r>
      <w:bookmarkEnd w:id="42"/>
      <w:r>
        <w:rPr/>
        <w:t xml:space="preserve"> Gray polygons = 95% credible intervals.</w:t>
      </w:r>
    </w:p>
    <w:p>
      <w:pPr>
        <w:pStyle w:val="Figureimage"/>
        <w:rPr/>
      </w:pPr>
      <w:r>
        <w:rPr/>
        <w:drawing>
          <wp:inline distT="0" distB="0" distL="0" distR="0">
            <wp:extent cx="5303520" cy="5303520"/>
            <wp:effectExtent l="0" t="0" r="0" b="0"/>
            <wp:docPr id="14" name="Picture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6" descr=""/>
                    <pic:cNvPicPr>
                      <a:picLocks noChangeAspect="1" noChangeArrowheads="1"/>
                    </pic:cNvPicPr>
                  </pic:nvPicPr>
                  <pic:blipFill>
                    <a:blip r:embed="rId17"/>
                    <a:stretch>
                      <a:fillRect/>
                    </a:stretch>
                  </pic:blipFill>
                  <pic:spPr bwMode="auto">
                    <a:xfrm>
                      <a:off x="0" y="0"/>
                      <a:ext cx="5303520" cy="5303520"/>
                    </a:xfrm>
                    <a:prstGeom prst="rect">
                      <a:avLst/>
                    </a:prstGeom>
                  </pic:spPr>
                </pic:pic>
              </a:graphicData>
            </a:graphic>
          </wp:inline>
        </w:drawing>
      </w:r>
    </w:p>
    <w:p>
      <w:pPr>
        <w:pStyle w:val="Figurecaption"/>
        <w:numPr>
          <w:ilvl w:val="0"/>
          <w:numId w:val="0"/>
        </w:numPr>
        <w:rPr/>
      </w:pPr>
      <w:bookmarkStart w:id="43" w:name="_Toc61687576"/>
      <w:r>
        <w:rPr/>
        <w:t>Supplementary Figure 13. Probability of occurrence (Y-axes) of change points or behavioral reactions of night-migrating birds in the horizontal plane of movement and in relation to the interaction between different predictors in spring. Probabilities in relation to change points of the 99% quantile (see text).</w:t>
      </w:r>
      <w:bookmarkEnd w:id="43"/>
      <w:r>
        <w:rPr/>
        <w:t xml:space="preserve"> </w:t>
      </w:r>
    </w:p>
    <w:p>
      <w:pPr>
        <w:pStyle w:val="Normal"/>
        <w:rPr/>
      </w:pPr>
      <w:r>
        <w:rPr/>
      </w:r>
      <w:r>
        <w:br w:type="page"/>
      </w:r>
    </w:p>
    <w:p>
      <w:pPr>
        <w:pStyle w:val="Figureimage"/>
        <w:rPr/>
      </w:pPr>
      <w:r>
        <w:rPr/>
        <w:drawing>
          <wp:inline distT="0" distB="0" distL="0" distR="0">
            <wp:extent cx="4800600" cy="6457950"/>
            <wp:effectExtent l="0" t="0" r="0" b="0"/>
            <wp:docPr id="15" name="Pictur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8" descr=""/>
                    <pic:cNvPicPr>
                      <a:picLocks noChangeAspect="1" noChangeArrowheads="1"/>
                    </pic:cNvPicPr>
                  </pic:nvPicPr>
                  <pic:blipFill>
                    <a:blip r:embed="rId18"/>
                    <a:stretch>
                      <a:fillRect/>
                    </a:stretch>
                  </pic:blipFill>
                  <pic:spPr bwMode="auto">
                    <a:xfrm>
                      <a:off x="0" y="0"/>
                      <a:ext cx="4800600" cy="6457950"/>
                    </a:xfrm>
                    <a:prstGeom prst="rect">
                      <a:avLst/>
                    </a:prstGeom>
                  </pic:spPr>
                </pic:pic>
              </a:graphicData>
            </a:graphic>
          </wp:inline>
        </w:drawing>
      </w:r>
    </w:p>
    <w:p>
      <w:pPr>
        <w:pStyle w:val="Figurecaption"/>
        <w:numPr>
          <w:ilvl w:val="0"/>
          <w:numId w:val="0"/>
        </w:numPr>
        <w:rPr/>
      </w:pPr>
      <w:bookmarkStart w:id="44" w:name="_Toc61687577"/>
      <w:r>
        <w:rPr/>
        <w:t>Supplementary Figure 14. Single-predictor plots of probability of occurrence (Y-axes) of change points or behavioral reactions of night-migrating birds in the horizontal plane of movement and in relation to multiple predictors in autumn (standardized parameters, X-axes). Probabilities in relation to change points of the 99% quantile (see text).</w:t>
      </w:r>
      <w:bookmarkEnd w:id="44"/>
      <w:r>
        <w:rPr/>
        <w:t xml:space="preserve"> Gray polygons = 95% credible intervals.</w:t>
      </w:r>
    </w:p>
    <w:p>
      <w:pPr>
        <w:pStyle w:val="Figureimage"/>
        <w:rPr/>
      </w:pPr>
      <w:r>
        <w:rPr/>
        <w:drawing>
          <wp:inline distT="0" distB="0" distL="0" distR="0">
            <wp:extent cx="5303520" cy="5303520"/>
            <wp:effectExtent l="0" t="0" r="0" b="0"/>
            <wp:docPr id="16" name="Pictur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9" descr=""/>
                    <pic:cNvPicPr>
                      <a:picLocks noChangeAspect="1" noChangeArrowheads="1"/>
                    </pic:cNvPicPr>
                  </pic:nvPicPr>
                  <pic:blipFill>
                    <a:blip r:embed="rId19"/>
                    <a:stretch>
                      <a:fillRect/>
                    </a:stretch>
                  </pic:blipFill>
                  <pic:spPr bwMode="auto">
                    <a:xfrm>
                      <a:off x="0" y="0"/>
                      <a:ext cx="5303520" cy="5303520"/>
                    </a:xfrm>
                    <a:prstGeom prst="rect">
                      <a:avLst/>
                    </a:prstGeom>
                  </pic:spPr>
                </pic:pic>
              </a:graphicData>
            </a:graphic>
          </wp:inline>
        </w:drawing>
      </w:r>
    </w:p>
    <w:p>
      <w:pPr>
        <w:pStyle w:val="Figurecaption"/>
        <w:numPr>
          <w:ilvl w:val="0"/>
          <w:numId w:val="0"/>
        </w:numPr>
        <w:rPr/>
      </w:pPr>
      <w:bookmarkStart w:id="45" w:name="_Toc61687578"/>
      <w:r>
        <w:rPr/>
        <w:t>Supplementary Figure 15. Probability of occurrence (Y-axes) of change points or behavioral reactions of night-migrating birds in the horizontal plane of movement and in relation to the interaction between different predictors in autumn. Probabilities in relation to change points of the 99% quantile (see text).</w:t>
      </w:r>
      <w:bookmarkEnd w:id="45"/>
    </w:p>
    <w:p>
      <w:pPr>
        <w:pStyle w:val="Normal"/>
        <w:rPr/>
      </w:pPr>
      <w:r>
        <w:rPr/>
      </w:r>
      <w:r>
        <w:br w:type="page"/>
      </w:r>
    </w:p>
    <w:p>
      <w:pPr>
        <w:pStyle w:val="Figureimage"/>
        <w:rPr/>
      </w:pPr>
      <w:r>
        <w:rPr/>
        <w:drawing>
          <wp:inline distT="0" distB="0" distL="0" distR="0">
            <wp:extent cx="4848225" cy="6522085"/>
            <wp:effectExtent l="0" t="0" r="0" b="0"/>
            <wp:docPr id="17" name="Pictur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2" descr=""/>
                    <pic:cNvPicPr>
                      <a:picLocks noChangeAspect="1" noChangeArrowheads="1"/>
                    </pic:cNvPicPr>
                  </pic:nvPicPr>
                  <pic:blipFill>
                    <a:blip r:embed="rId20"/>
                    <a:stretch>
                      <a:fillRect/>
                    </a:stretch>
                  </pic:blipFill>
                  <pic:spPr bwMode="auto">
                    <a:xfrm>
                      <a:off x="0" y="0"/>
                      <a:ext cx="4848225" cy="6522085"/>
                    </a:xfrm>
                    <a:prstGeom prst="rect">
                      <a:avLst/>
                    </a:prstGeom>
                  </pic:spPr>
                </pic:pic>
              </a:graphicData>
            </a:graphic>
          </wp:inline>
        </w:drawing>
      </w:r>
    </w:p>
    <w:p>
      <w:pPr>
        <w:pStyle w:val="Figurecaption"/>
        <w:numPr>
          <w:ilvl w:val="0"/>
          <w:numId w:val="0"/>
        </w:numPr>
        <w:rPr/>
      </w:pPr>
      <w:bookmarkStart w:id="46" w:name="_Toc61687579"/>
      <w:r>
        <w:rPr/>
        <w:t>Supplementary Figure 16. Single-predictor plots of probability of occurrence (Y-axes) of change points or behavioral reactions of night-migrating birds in the vertical plane of movement and in relation to multiple predictors in spring (standardized parameters, X-axes). Probabilities in relation to change points of the 99% quantile (see text).</w:t>
      </w:r>
      <w:bookmarkEnd w:id="46"/>
      <w:r>
        <w:rPr/>
        <w:t xml:space="preserve"> Gray polygons = 95% credible intervals.</w:t>
      </w:r>
    </w:p>
    <w:p>
      <w:pPr>
        <w:pStyle w:val="Figureimage"/>
        <w:rPr/>
      </w:pPr>
      <w:r>
        <w:rPr/>
        <w:drawing>
          <wp:inline distT="0" distB="0" distL="0" distR="0">
            <wp:extent cx="5944235" cy="5944235"/>
            <wp:effectExtent l="0" t="0" r="0" b="0"/>
            <wp:docPr id="18" name="Picture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4" descr=""/>
                    <pic:cNvPicPr>
                      <a:picLocks noChangeAspect="1" noChangeArrowheads="1"/>
                    </pic:cNvPicPr>
                  </pic:nvPicPr>
                  <pic:blipFill>
                    <a:blip r:embed="rId21"/>
                    <a:stretch>
                      <a:fillRect/>
                    </a:stretch>
                  </pic:blipFill>
                  <pic:spPr bwMode="auto">
                    <a:xfrm>
                      <a:off x="0" y="0"/>
                      <a:ext cx="5944235" cy="5944235"/>
                    </a:xfrm>
                    <a:prstGeom prst="rect">
                      <a:avLst/>
                    </a:prstGeom>
                  </pic:spPr>
                </pic:pic>
              </a:graphicData>
            </a:graphic>
          </wp:inline>
        </w:drawing>
      </w:r>
    </w:p>
    <w:p>
      <w:pPr>
        <w:pStyle w:val="Figurecaption"/>
        <w:numPr>
          <w:ilvl w:val="0"/>
          <w:numId w:val="0"/>
        </w:numPr>
        <w:rPr/>
      </w:pPr>
      <w:bookmarkStart w:id="47" w:name="_Toc61687580"/>
      <w:r>
        <w:rPr/>
        <w:t>Supplementary Figure 17. Probability of occurrence (Y-axes) of change points or behavioral reactions of night-migrating birds in the vertical plane of movement and in relation to the interaction between different predictors in spring. Probabilities in relation to change points of the 99% quantile (see text).</w:t>
      </w:r>
      <w:bookmarkEnd w:id="47"/>
    </w:p>
    <w:p>
      <w:pPr>
        <w:pStyle w:val="Normal"/>
        <w:rPr/>
      </w:pPr>
      <w:r>
        <w:rPr/>
      </w:r>
      <w:r>
        <w:br w:type="page"/>
      </w:r>
    </w:p>
    <w:p>
      <w:pPr>
        <w:pStyle w:val="Figureimage"/>
        <w:rPr/>
      </w:pPr>
      <w:r>
        <w:rPr/>
        <w:drawing>
          <wp:inline distT="0" distB="0" distL="0" distR="0">
            <wp:extent cx="4857750" cy="6534785"/>
            <wp:effectExtent l="0" t="0" r="0" b="0"/>
            <wp:docPr id="19" name="Pictur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7" descr=""/>
                    <pic:cNvPicPr>
                      <a:picLocks noChangeAspect="1" noChangeArrowheads="1"/>
                    </pic:cNvPicPr>
                  </pic:nvPicPr>
                  <pic:blipFill>
                    <a:blip r:embed="rId22"/>
                    <a:stretch>
                      <a:fillRect/>
                    </a:stretch>
                  </pic:blipFill>
                  <pic:spPr bwMode="auto">
                    <a:xfrm>
                      <a:off x="0" y="0"/>
                      <a:ext cx="4857750" cy="6534785"/>
                    </a:xfrm>
                    <a:prstGeom prst="rect">
                      <a:avLst/>
                    </a:prstGeom>
                  </pic:spPr>
                </pic:pic>
              </a:graphicData>
            </a:graphic>
          </wp:inline>
        </w:drawing>
      </w:r>
    </w:p>
    <w:p>
      <w:pPr>
        <w:pStyle w:val="Figurecaption"/>
        <w:numPr>
          <w:ilvl w:val="0"/>
          <w:numId w:val="0"/>
        </w:numPr>
        <w:rPr/>
      </w:pPr>
      <w:bookmarkStart w:id="48" w:name="_Toc61687581"/>
      <w:r>
        <w:rPr/>
        <w:t>Supplementary Figure 18. Single-predictor plots of probability of occurrence (Y-axes) of change points or behavioral reactions of night-migrating birds in the vertical plane of movement and in relation to multiple predictors in autumn (standardized parameters, X-axes). Probabilities in relation to change points of the 99% quantile (see text).</w:t>
      </w:r>
      <w:bookmarkEnd w:id="48"/>
      <w:r>
        <w:rPr/>
        <w:t xml:space="preserve"> Gray polygons = 95% credible intervals.</w:t>
      </w:r>
    </w:p>
    <w:p>
      <w:pPr>
        <w:pStyle w:val="Figureimage"/>
        <w:rPr/>
      </w:pPr>
      <w:r>
        <w:rPr/>
        <w:drawing>
          <wp:inline distT="0" distB="0" distL="0" distR="0">
            <wp:extent cx="5944235" cy="5944235"/>
            <wp:effectExtent l="0" t="0" r="0" b="0"/>
            <wp:docPr id="20" name="Picture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0" descr=""/>
                    <pic:cNvPicPr>
                      <a:picLocks noChangeAspect="1" noChangeArrowheads="1"/>
                    </pic:cNvPicPr>
                  </pic:nvPicPr>
                  <pic:blipFill>
                    <a:blip r:embed="rId23"/>
                    <a:stretch>
                      <a:fillRect/>
                    </a:stretch>
                  </pic:blipFill>
                  <pic:spPr bwMode="auto">
                    <a:xfrm>
                      <a:off x="0" y="0"/>
                      <a:ext cx="5944235" cy="5944235"/>
                    </a:xfrm>
                    <a:prstGeom prst="rect">
                      <a:avLst/>
                    </a:prstGeom>
                  </pic:spPr>
                </pic:pic>
              </a:graphicData>
            </a:graphic>
          </wp:inline>
        </w:drawing>
      </w:r>
    </w:p>
    <w:p>
      <w:pPr>
        <w:pStyle w:val="Figurecaption"/>
        <w:numPr>
          <w:ilvl w:val="0"/>
          <w:numId w:val="0"/>
        </w:numPr>
        <w:rPr/>
      </w:pPr>
      <w:bookmarkStart w:id="49" w:name="_Toc61687582"/>
      <w:r>
        <w:rPr/>
        <w:t>Supplementary Figure 19. Probability of occurrence (Y-axes) of change points or behavioral reactions of night-migrating birds in the vertical plane of movement and in relation to the interaction between different predictors in autumn. Probabilities in relation to change points of the 99% quantile (see text).</w:t>
      </w:r>
      <w:bookmarkEnd w:id="49"/>
    </w:p>
    <w:p>
      <w:pPr>
        <w:pStyle w:val="Normal"/>
        <w:rPr/>
      </w:pPr>
      <w:r>
        <w:rPr/>
      </w:r>
      <w:r>
        <w:br w:type="page"/>
      </w:r>
    </w:p>
    <w:p>
      <w:pPr>
        <w:pStyle w:val="Paragraph"/>
        <w:ind w:hanging="0"/>
        <w:rPr/>
      </w:pPr>
      <w:r>
        <w:rPr>
          <w:b/>
        </w:rPr>
        <w:t>Literature cited</w:t>
      </w:r>
    </w:p>
    <w:p>
      <w:pPr>
        <w:pStyle w:val="Paragraph"/>
        <w:rPr/>
      </w:pPr>
      <w:r>
        <w:rPr/>
        <w:t>McLean DJ, Volponi MAS. 2018. trajr: An R package for characterisation of animal trajectories. Ethology 124:440–48.</w:t>
      </w:r>
    </w:p>
    <w:p>
      <w:pPr>
        <w:pStyle w:val="Paragraph"/>
        <w:rPr/>
      </w:pPr>
      <w:r>
        <w:rPr/>
        <w:t>Sturtz S, Ligges U, Gelman A. 2005. R2WinBUGS: A package for running WinBUGS from R. Journal of Statistical Software 12:1–16.</w:t>
      </w:r>
    </w:p>
    <w:sectPr>
      <w:type w:val="nextPage"/>
      <w:pgSz w:w="12240" w:h="15840"/>
      <w:pgMar w:left="1440" w:right="144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onsolas">
    <w:charset w:val="01"/>
    <w:family w:val="roman"/>
    <w:pitch w:val="variable"/>
  </w:font>
  <w:font w:name="Lucida Grande">
    <w:charset w:val="01"/>
    <w:family w:val="roman"/>
    <w:pitch w:val="variable"/>
  </w:font>
  <w:font w:name="Liberation Sans">
    <w:altName w:val="Arial"/>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suff w:val="nothing"/>
      <w:lvlText w:val="Chapter %1"/>
      <w:lvlJc w:val="left"/>
      <w:pPr>
        <w:ind w:left="0" w:hanging="0"/>
      </w:pPr>
      <w:rPr>
        <w:i w:val="false"/>
        <w:b/>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65"/>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9" w:semiHidden="1" w:unhideWhenUsed="1" w:qFormat="1"/>
    <w:lsdException w:name="table of figures" w:uiPriority="39"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030cd"/>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Heading1">
    <w:name w:val="Heading 1"/>
    <w:basedOn w:val="Normal"/>
    <w:link w:val="Heading1Char"/>
    <w:qFormat/>
    <w:rsid w:val="00a030cd"/>
    <w:pPr>
      <w:pageBreakBefore/>
      <w:widowControl/>
      <w:numPr>
        <w:ilvl w:val="0"/>
        <w:numId w:val="1"/>
      </w:numPr>
      <w:bidi w:val="0"/>
      <w:spacing w:lineRule="auto" w:line="240" w:before="1260" w:after="240"/>
      <w:jc w:val="center"/>
      <w:outlineLvl w:val="0"/>
    </w:pPr>
    <w:rPr>
      <w:rFonts w:ascii="Times New Roman" w:hAnsi="Times New Roman" w:eastAsia="Times New Roman" w:cs="Times New Roman"/>
      <w:b/>
      <w:sz w:val="24"/>
      <w:szCs w:val="24"/>
    </w:rPr>
  </w:style>
  <w:style w:type="paragraph" w:styleId="Heading2">
    <w:name w:val="Heading 2"/>
    <w:basedOn w:val="Normal"/>
    <w:link w:val="Heading2Char"/>
    <w:qFormat/>
    <w:rsid w:val="00a030cd"/>
    <w:pPr>
      <w:keepNext w:val="true"/>
      <w:keepLines/>
      <w:spacing w:before="480" w:after="0"/>
      <w:jc w:val="center"/>
      <w:outlineLvl w:val="1"/>
    </w:pPr>
    <w:rPr>
      <w:b/>
    </w:rPr>
  </w:style>
  <w:style w:type="paragraph" w:styleId="Heading3">
    <w:name w:val="Heading 3"/>
    <w:basedOn w:val="Heading2"/>
    <w:link w:val="Heading3Char"/>
    <w:qFormat/>
    <w:rsid w:val="00a030cd"/>
    <w:pPr>
      <w:outlineLvl w:val="2"/>
    </w:pPr>
    <w:rPr>
      <w:b w:val="false"/>
    </w:rPr>
  </w:style>
  <w:style w:type="paragraph" w:styleId="Heading4">
    <w:name w:val="Heading 4"/>
    <w:basedOn w:val="Heading3"/>
    <w:link w:val="Heading4Char"/>
    <w:qFormat/>
    <w:rsid w:val="00a030cd"/>
    <w:pPr>
      <w:jc w:val="left"/>
      <w:outlineLvl w:val="3"/>
    </w:pPr>
    <w:rPr>
      <w:b/>
    </w:rPr>
  </w:style>
  <w:style w:type="paragraph" w:styleId="Heading5">
    <w:name w:val="Heading 5"/>
    <w:basedOn w:val="Heading4"/>
    <w:link w:val="Heading5Char"/>
    <w:qFormat/>
    <w:rsid w:val="00a030cd"/>
    <w:pPr>
      <w:outlineLvl w:val="4"/>
    </w:pPr>
    <w:rPr>
      <w:b w:val="false"/>
    </w:rPr>
  </w:style>
  <w:style w:type="paragraph" w:styleId="Heading6">
    <w:name w:val="Heading 6"/>
    <w:basedOn w:val="Heading5"/>
    <w:next w:val="Normal"/>
    <w:link w:val="Heading6Char"/>
    <w:semiHidden/>
    <w:qFormat/>
    <w:rsid w:val="00a030cd"/>
    <w:pPr>
      <w:spacing w:before="720" w:after="0"/>
      <w:outlineLvl w:val="5"/>
    </w:pPr>
    <w:rPr/>
  </w:style>
  <w:style w:type="paragraph" w:styleId="Heading7">
    <w:name w:val="Heading 7"/>
    <w:basedOn w:val="Heading6"/>
    <w:next w:val="Normal"/>
    <w:link w:val="Heading7Char"/>
    <w:semiHidden/>
    <w:qFormat/>
    <w:rsid w:val="00a030cd"/>
    <w:pPr>
      <w:pageBreakBefore/>
      <w:spacing w:before="0" w:after="0"/>
      <w:outlineLvl w:val="6"/>
    </w:pPr>
    <w:rPr/>
  </w:style>
  <w:style w:type="paragraph" w:styleId="Heading8">
    <w:name w:val="Heading 8"/>
    <w:basedOn w:val="Normal"/>
    <w:next w:val="Normal"/>
    <w:link w:val="Heading8Char"/>
    <w:semiHidden/>
    <w:qFormat/>
    <w:rsid w:val="00a030cd"/>
    <w:pPr>
      <w:keepLines/>
      <w:spacing w:before="240" w:after="480"/>
      <w:outlineLvl w:val="7"/>
    </w:pPr>
    <w:rPr/>
  </w:style>
  <w:style w:type="paragraph" w:styleId="Heading9">
    <w:name w:val="Heading 9"/>
    <w:basedOn w:val="Heading8"/>
    <w:link w:val="Heading9Char"/>
    <w:semiHidden/>
    <w:qFormat/>
    <w:rsid w:val="00a030cd"/>
    <w:pPr>
      <w:spacing w:before="0" w:after="0"/>
      <w:outlineLvl w:val="8"/>
    </w:pPr>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qFormat/>
    <w:rsid w:val="00a030cd"/>
    <w:rPr>
      <w:rFonts w:ascii="Times New Roman" w:hAnsi="Times New Roman" w:eastAsia="Times New Roman" w:cs="Times New Roman"/>
      <w:b/>
      <w:sz w:val="24"/>
      <w:szCs w:val="24"/>
    </w:rPr>
  </w:style>
  <w:style w:type="character" w:styleId="Heading2Char" w:customStyle="1">
    <w:name w:val="Heading 2 Char"/>
    <w:basedOn w:val="DefaultParagraphFont"/>
    <w:link w:val="Heading2"/>
    <w:qFormat/>
    <w:rsid w:val="00a030cd"/>
    <w:rPr>
      <w:rFonts w:ascii="Times New Roman" w:hAnsi="Times New Roman" w:eastAsia="Times New Roman" w:cs="Times New Roman"/>
      <w:b/>
      <w:sz w:val="24"/>
      <w:szCs w:val="24"/>
    </w:rPr>
  </w:style>
  <w:style w:type="character" w:styleId="Heading3Char" w:customStyle="1">
    <w:name w:val="Heading 3 Char"/>
    <w:basedOn w:val="DefaultParagraphFont"/>
    <w:link w:val="Heading3"/>
    <w:qFormat/>
    <w:rsid w:val="00a030cd"/>
    <w:rPr>
      <w:rFonts w:ascii="Times New Roman" w:hAnsi="Times New Roman" w:eastAsia="Times New Roman" w:cs="Times New Roman"/>
      <w:sz w:val="24"/>
      <w:szCs w:val="24"/>
    </w:rPr>
  </w:style>
  <w:style w:type="character" w:styleId="Heading4Char" w:customStyle="1">
    <w:name w:val="Heading 4 Char"/>
    <w:basedOn w:val="DefaultParagraphFont"/>
    <w:link w:val="Heading4"/>
    <w:qFormat/>
    <w:rsid w:val="00a030cd"/>
    <w:rPr>
      <w:rFonts w:ascii="Times New Roman" w:hAnsi="Times New Roman" w:eastAsia="Times New Roman" w:cs="Times New Roman"/>
      <w:b/>
      <w:sz w:val="24"/>
      <w:szCs w:val="24"/>
    </w:rPr>
  </w:style>
  <w:style w:type="character" w:styleId="Heading5Char" w:customStyle="1">
    <w:name w:val="Heading 5 Char"/>
    <w:basedOn w:val="DefaultParagraphFont"/>
    <w:link w:val="Heading5"/>
    <w:qFormat/>
    <w:rsid w:val="00a030cd"/>
    <w:rPr>
      <w:rFonts w:ascii="Times New Roman" w:hAnsi="Times New Roman" w:eastAsia="Times New Roman" w:cs="Times New Roman"/>
      <w:sz w:val="24"/>
      <w:szCs w:val="24"/>
    </w:rPr>
  </w:style>
  <w:style w:type="character" w:styleId="Heading6Char" w:customStyle="1">
    <w:name w:val="Heading 6 Char"/>
    <w:basedOn w:val="DefaultParagraphFont"/>
    <w:link w:val="Heading6"/>
    <w:semiHidden/>
    <w:qFormat/>
    <w:rsid w:val="00a030cd"/>
    <w:rPr>
      <w:rFonts w:ascii="Times New Roman" w:hAnsi="Times New Roman" w:eastAsia="Times New Roman" w:cs="Times New Roman"/>
      <w:sz w:val="24"/>
      <w:szCs w:val="24"/>
    </w:rPr>
  </w:style>
  <w:style w:type="character" w:styleId="Heading7Char" w:customStyle="1">
    <w:name w:val="Heading 7 Char"/>
    <w:basedOn w:val="DefaultParagraphFont"/>
    <w:link w:val="Heading7"/>
    <w:semiHidden/>
    <w:qFormat/>
    <w:rsid w:val="00a030cd"/>
    <w:rPr>
      <w:rFonts w:ascii="Times New Roman" w:hAnsi="Times New Roman" w:eastAsia="Times New Roman" w:cs="Times New Roman"/>
      <w:sz w:val="24"/>
      <w:szCs w:val="24"/>
    </w:rPr>
  </w:style>
  <w:style w:type="character" w:styleId="Heading8Char" w:customStyle="1">
    <w:name w:val="Heading 8 Char"/>
    <w:basedOn w:val="DefaultParagraphFont"/>
    <w:link w:val="Heading8"/>
    <w:semiHidden/>
    <w:qFormat/>
    <w:rsid w:val="00a030cd"/>
    <w:rPr>
      <w:rFonts w:ascii="Times New Roman" w:hAnsi="Times New Roman" w:eastAsia="Times New Roman" w:cs="Times New Roman"/>
      <w:sz w:val="24"/>
      <w:szCs w:val="24"/>
    </w:rPr>
  </w:style>
  <w:style w:type="character" w:styleId="Heading9Char" w:customStyle="1">
    <w:name w:val="Heading 9 Char"/>
    <w:basedOn w:val="DefaultParagraphFont"/>
    <w:link w:val="Heading9"/>
    <w:semiHidden/>
    <w:qFormat/>
    <w:rsid w:val="00a030cd"/>
    <w:rPr>
      <w:rFonts w:ascii="Times New Roman" w:hAnsi="Times New Roman" w:eastAsia="Times New Roman" w:cs="Times New Roman"/>
      <w:sz w:val="24"/>
      <w:szCs w:val="24"/>
    </w:rPr>
  </w:style>
  <w:style w:type="character" w:styleId="FooterChar" w:customStyle="1">
    <w:name w:val="Footer Char"/>
    <w:basedOn w:val="DefaultParagraphFont"/>
    <w:link w:val="Footer"/>
    <w:uiPriority w:val="99"/>
    <w:qFormat/>
    <w:rsid w:val="00a030cd"/>
    <w:rPr>
      <w:rFonts w:ascii="Times New Roman" w:hAnsi="Times New Roman" w:eastAsia="Times New Roman" w:cs="Times New Roman"/>
      <w:sz w:val="24"/>
      <w:szCs w:val="24"/>
    </w:rPr>
  </w:style>
  <w:style w:type="character" w:styleId="EndnoteCharacters">
    <w:name w:val="Endnote Characters"/>
    <w:basedOn w:val="FootnoteCharacters"/>
    <w:semiHidden/>
    <w:qFormat/>
    <w:rsid w:val="00a030cd"/>
    <w:rPr>
      <w:position w:val="0"/>
      <w:sz w:val="18"/>
      <w:sz w:val="18"/>
      <w:vertAlign w:val="baseline"/>
    </w:rPr>
  </w:style>
  <w:style w:type="character" w:styleId="FootnoteCharacters">
    <w:name w:val="Footnote Characters"/>
    <w:basedOn w:val="DefaultParagraphFont"/>
    <w:semiHidden/>
    <w:qFormat/>
    <w:rsid w:val="00a030cd"/>
    <w:rPr>
      <w:sz w:val="18"/>
    </w:rPr>
  </w:style>
  <w:style w:type="character" w:styleId="EndnoteAnchor">
    <w:name w:val="Endnote Anchor"/>
    <w:rPr>
      <w:position w:val="0"/>
      <w:sz w:val="18"/>
      <w:sz w:val="18"/>
      <w:vertAlign w:val="baseline"/>
    </w:rPr>
  </w:style>
  <w:style w:type="character" w:styleId="EndnoteTextChar" w:customStyle="1">
    <w:name w:val="Endnote Text Char"/>
    <w:basedOn w:val="DefaultParagraphFont"/>
    <w:link w:val="EndnoteText"/>
    <w:semiHidden/>
    <w:qFormat/>
    <w:rsid w:val="00a030cd"/>
    <w:rPr>
      <w:rFonts w:ascii="Times New Roman" w:hAnsi="Times New Roman" w:eastAsia="Times New Roman" w:cs="Times New Roman"/>
      <w:sz w:val="24"/>
      <w:szCs w:val="24"/>
    </w:rPr>
  </w:style>
  <w:style w:type="character" w:styleId="FootnoteAnchor">
    <w:name w:val="Footnote Anchor"/>
    <w:rPr>
      <w:sz w:val="18"/>
      <w:vertAlign w:val="superscript"/>
    </w:rPr>
  </w:style>
  <w:style w:type="character" w:styleId="FootnoteTextChar" w:customStyle="1">
    <w:name w:val="Footnote Text Char"/>
    <w:basedOn w:val="DefaultParagraphFont"/>
    <w:link w:val="FootnoteText"/>
    <w:semiHidden/>
    <w:qFormat/>
    <w:rsid w:val="00a030cd"/>
    <w:rPr>
      <w:rFonts w:ascii="Times New Roman" w:hAnsi="Times New Roman" w:eastAsia="Times New Roman" w:cs="Times New Roman"/>
      <w:sz w:val="24"/>
      <w:szCs w:val="24"/>
    </w:rPr>
  </w:style>
  <w:style w:type="character" w:styleId="InternetLink">
    <w:name w:val="Internet Link"/>
    <w:basedOn w:val="DefaultParagraphFont"/>
    <w:uiPriority w:val="99"/>
    <w:unhideWhenUsed/>
    <w:rsid w:val="00a030cd"/>
    <w:rPr>
      <w:color w:val="0563C1" w:themeColor="hyperlink"/>
      <w:u w:val="single"/>
    </w:rPr>
  </w:style>
  <w:style w:type="character" w:styleId="HeaderChar" w:customStyle="1">
    <w:name w:val="Header Char"/>
    <w:basedOn w:val="DefaultParagraphFont"/>
    <w:link w:val="Header"/>
    <w:semiHidden/>
    <w:qFormat/>
    <w:rsid w:val="00a030cd"/>
    <w:rPr>
      <w:rFonts w:ascii="Times New Roman" w:hAnsi="Times New Roman" w:eastAsia="Times New Roman" w:cs="Times New Roman"/>
      <w:sz w:val="24"/>
      <w:szCs w:val="24"/>
    </w:rPr>
  </w:style>
  <w:style w:type="character" w:styleId="PlainTextChar" w:customStyle="1">
    <w:name w:val="Plain Text Char"/>
    <w:basedOn w:val="DefaultParagraphFont"/>
    <w:link w:val="PlainText"/>
    <w:uiPriority w:val="99"/>
    <w:semiHidden/>
    <w:qFormat/>
    <w:rsid w:val="00a030cd"/>
    <w:rPr>
      <w:rFonts w:ascii="Consolas" w:hAnsi="Consolas" w:eastAsia="Calibri" w:cs="Times New Roman"/>
      <w:sz w:val="21"/>
      <w:szCs w:val="21"/>
    </w:rPr>
  </w:style>
  <w:style w:type="character" w:styleId="AppendixChar" w:customStyle="1">
    <w:name w:val="Appendix Char"/>
    <w:basedOn w:val="DefaultParagraphFont"/>
    <w:link w:val="Appendix"/>
    <w:uiPriority w:val="2"/>
    <w:qFormat/>
    <w:rsid w:val="00a030cd"/>
    <w:rPr>
      <w:rFonts w:ascii="Times New Roman" w:hAnsi="Times New Roman" w:eastAsia="Times New Roman" w:cs="Times New Roman"/>
      <w:b/>
      <w:sz w:val="24"/>
      <w:szCs w:val="24"/>
    </w:rPr>
  </w:style>
  <w:style w:type="character" w:styleId="AppendixoneChar" w:customStyle="1">
    <w:name w:val="Appendix - one Char"/>
    <w:basedOn w:val="AppendixChar"/>
    <w:link w:val="Appendix-one"/>
    <w:uiPriority w:val="3"/>
    <w:qFormat/>
    <w:rsid w:val="00a030cd"/>
    <w:rPr>
      <w:rFonts w:ascii="Times New Roman" w:hAnsi="Times New Roman" w:eastAsia="Times New Roman" w:cs="Times New Roman"/>
      <w:b/>
      <w:sz w:val="24"/>
      <w:szCs w:val="24"/>
    </w:rPr>
  </w:style>
  <w:style w:type="character" w:styleId="ParagraphChar" w:customStyle="1">
    <w:name w:val="Paragraph Char"/>
    <w:basedOn w:val="DefaultParagraphFont"/>
    <w:link w:val="Paragraph"/>
    <w:qFormat/>
    <w:rsid w:val="00a030cd"/>
    <w:rPr>
      <w:rFonts w:ascii="Times New Roman" w:hAnsi="Times New Roman" w:eastAsia="Times New Roman" w:cs="Times New Roman"/>
      <w:sz w:val="24"/>
      <w:szCs w:val="24"/>
    </w:rPr>
  </w:style>
  <w:style w:type="character" w:styleId="MAJORSECTIONChar" w:customStyle="1">
    <w:name w:val="MAJOR SECTION Char"/>
    <w:basedOn w:val="ParagraphChar"/>
    <w:link w:val="MAJORSECTION"/>
    <w:qFormat/>
    <w:rsid w:val="00a030cd"/>
    <w:rPr>
      <w:rFonts w:ascii="Times New Roman" w:hAnsi="Times New Roman" w:eastAsia="Times New Roman" w:cs="Times New Roman"/>
      <w:b/>
      <w:sz w:val="24"/>
      <w:szCs w:val="24"/>
    </w:rPr>
  </w:style>
  <w:style w:type="character" w:styleId="MAJORSECTIONnoToCentryChar" w:customStyle="1">
    <w:name w:val="MAJOR SECTION - no ToC entry Char"/>
    <w:basedOn w:val="MAJORSECTIONChar"/>
    <w:link w:val="MAJORSECTION-noToCentry"/>
    <w:qFormat/>
    <w:rsid w:val="00a030cd"/>
    <w:rPr>
      <w:rFonts w:ascii="Times New Roman" w:hAnsi="Times New Roman" w:eastAsia="Times New Roman" w:cs="Times New Roman"/>
      <w:b/>
      <w:sz w:val="24"/>
      <w:szCs w:val="24"/>
    </w:rPr>
  </w:style>
  <w:style w:type="character" w:styleId="BalloonTextChar" w:customStyle="1">
    <w:name w:val="Balloon Text Char"/>
    <w:basedOn w:val="DefaultParagraphFont"/>
    <w:link w:val="BalloonText"/>
    <w:uiPriority w:val="99"/>
    <w:semiHidden/>
    <w:qFormat/>
    <w:rsid w:val="00a030cd"/>
    <w:rPr>
      <w:rFonts w:ascii="Lucida Grande" w:hAnsi="Lucida Grande" w:eastAsia="Times New Roman" w:cs="Lucida Grande"/>
      <w:sz w:val="18"/>
      <w:szCs w:val="18"/>
    </w:rPr>
  </w:style>
  <w:style w:type="character" w:styleId="Annotationreference">
    <w:name w:val="annotation reference"/>
    <w:basedOn w:val="DefaultParagraphFont"/>
    <w:uiPriority w:val="99"/>
    <w:semiHidden/>
    <w:unhideWhenUsed/>
    <w:qFormat/>
    <w:rsid w:val="00a030cd"/>
    <w:rPr>
      <w:sz w:val="16"/>
      <w:szCs w:val="16"/>
    </w:rPr>
  </w:style>
  <w:style w:type="character" w:styleId="CommentTextChar" w:customStyle="1">
    <w:name w:val="Comment Text Char"/>
    <w:basedOn w:val="DefaultParagraphFont"/>
    <w:link w:val="CommentText"/>
    <w:uiPriority w:val="99"/>
    <w:qFormat/>
    <w:rsid w:val="00a030cd"/>
    <w:rPr>
      <w:rFonts w:ascii="Times New Roman" w:hAnsi="Times New Roman" w:eastAsia="Times New Roman" w:cs="Times New Roman"/>
      <w:sz w:val="20"/>
      <w:szCs w:val="20"/>
    </w:rPr>
  </w:style>
  <w:style w:type="character" w:styleId="CommentSubjectChar" w:customStyle="1">
    <w:name w:val="Comment Subject Char"/>
    <w:basedOn w:val="CommentTextChar"/>
    <w:link w:val="CommentSubject"/>
    <w:uiPriority w:val="99"/>
    <w:semiHidden/>
    <w:qFormat/>
    <w:rsid w:val="00a030cd"/>
    <w:rPr>
      <w:rFonts w:ascii="Times New Roman" w:hAnsi="Times New Roman" w:eastAsia="Times New Roman" w:cs="Times New Roman"/>
      <w:b/>
      <w:bCs/>
      <w:sz w:val="20"/>
      <w:szCs w:val="20"/>
    </w:rPr>
  </w:style>
  <w:style w:type="character" w:styleId="APPENDIXTITLEChar" w:customStyle="1">
    <w:name w:val="APPENDIX TITLE Char"/>
    <w:basedOn w:val="DefaultParagraphFont"/>
    <w:link w:val="APPENDIXTITLE"/>
    <w:uiPriority w:val="2"/>
    <w:qFormat/>
    <w:rsid w:val="00a030cd"/>
    <w:rPr>
      <w:rFonts w:ascii="Times New Roman" w:hAnsi="Times New Roman" w:eastAsia="Times New Roman" w:cs="Times New Roman"/>
      <w:b/>
      <w:sz w:val="24"/>
      <w:szCs w:val="24"/>
    </w:rPr>
  </w:style>
  <w:style w:type="character" w:styleId="APPENDIXTITLEoneChar" w:customStyle="1">
    <w:name w:val="APPENDIX TITLE - one Char"/>
    <w:basedOn w:val="APPENDIXTITLEChar"/>
    <w:link w:val="APPENDIXTITLE-one"/>
    <w:uiPriority w:val="3"/>
    <w:qFormat/>
    <w:rsid w:val="00a030cd"/>
    <w:rPr>
      <w:rFonts w:ascii="Times New Roman" w:hAnsi="Times New Roman" w:eastAsia="Times New Roman" w:cs="Times New Roman"/>
      <w:b/>
      <w:sz w:val="24"/>
      <w:szCs w:val="24"/>
    </w:rPr>
  </w:style>
  <w:style w:type="character" w:styleId="TOC7Char" w:customStyle="1">
    <w:name w:val="TOC 7 Char"/>
    <w:basedOn w:val="DefaultParagraphFont"/>
    <w:link w:val="TOC7"/>
    <w:uiPriority w:val="39"/>
    <w:qFormat/>
    <w:rsid w:val="00a030cd"/>
    <w:rPr>
      <w:rFonts w:ascii="Times New Roman" w:hAnsi="Times New Roman" w:eastAsia="Times New Roman" w:cs="Times New Roman"/>
      <w:sz w:val="24"/>
      <w:szCs w:val="24"/>
    </w:rPr>
  </w:style>
  <w:style w:type="character" w:styleId="ParagraphnewpageChar" w:customStyle="1">
    <w:name w:val="Paragraph - new page Char"/>
    <w:basedOn w:val="DefaultParagraphFont"/>
    <w:link w:val="Paragraph-newpage"/>
    <w:qFormat/>
    <w:rsid w:val="00a030cd"/>
    <w:rPr>
      <w:rFonts w:ascii="Times New Roman" w:hAnsi="Times New Roman" w:eastAsia="Times New Roman" w:cs="Times New Roman"/>
      <w:sz w:val="24"/>
      <w:szCs w:val="24"/>
    </w:rPr>
  </w:style>
  <w:style w:type="character" w:styleId="ParagraphContinuednewpageChar" w:customStyle="1">
    <w:name w:val="Paragraph Continued - new page Char"/>
    <w:basedOn w:val="ParagraphnewpageChar"/>
    <w:link w:val="ParagraphContinued-newpage"/>
    <w:qFormat/>
    <w:rsid w:val="00a030cd"/>
    <w:rPr>
      <w:rFonts w:ascii="Times New Roman" w:hAnsi="Times New Roman" w:eastAsia="Times New Roman" w:cs="Times New Roman"/>
      <w:sz w:val="24"/>
      <w:szCs w:val="24"/>
    </w:rPr>
  </w:style>
  <w:style w:type="character" w:styleId="TablecontinuedChar" w:customStyle="1">
    <w:name w:val="Table continued Char"/>
    <w:basedOn w:val="TablecaptionChar"/>
    <w:link w:val="Tablecontinued"/>
    <w:uiPriority w:val="1"/>
    <w:qFormat/>
    <w:rsid w:val="00a030cd"/>
    <w:rPr>
      <w:rFonts w:ascii="Times New Roman" w:hAnsi="Times New Roman" w:eastAsia="Times New Roman" w:cs="Times New Roman"/>
      <w:sz w:val="24"/>
      <w:szCs w:val="24"/>
    </w:rPr>
  </w:style>
  <w:style w:type="character" w:styleId="TablecontentChar" w:customStyle="1">
    <w:name w:val="Table content Char"/>
    <w:basedOn w:val="DefaultParagraphFont"/>
    <w:link w:val="Tablecontent"/>
    <w:uiPriority w:val="1"/>
    <w:qFormat/>
    <w:rsid w:val="00a030cd"/>
    <w:rPr>
      <w:rFonts w:ascii="Times New Roman" w:hAnsi="Times New Roman" w:eastAsia="Times New Roman" w:cs="Times New Roman"/>
      <w:sz w:val="24"/>
      <w:szCs w:val="24"/>
    </w:rPr>
  </w:style>
  <w:style w:type="character" w:styleId="FigurecaptionChar" w:customStyle="1">
    <w:name w:val="Figure caption Char"/>
    <w:basedOn w:val="Heading8Char"/>
    <w:link w:val="Figurecaption"/>
    <w:uiPriority w:val="1"/>
    <w:qFormat/>
    <w:rsid w:val="00a030cd"/>
    <w:rPr>
      <w:rFonts w:ascii="Times New Roman" w:hAnsi="Times New Roman" w:eastAsia="Times New Roman" w:cs="Times New Roman"/>
      <w:sz w:val="24"/>
      <w:szCs w:val="24"/>
    </w:rPr>
  </w:style>
  <w:style w:type="character" w:styleId="TablecaptionChar" w:customStyle="1">
    <w:name w:val="Table - caption Char"/>
    <w:basedOn w:val="Heading6Char"/>
    <w:link w:val="Table-caption"/>
    <w:uiPriority w:val="1"/>
    <w:qFormat/>
    <w:rsid w:val="00a030cd"/>
    <w:rPr>
      <w:rFonts w:ascii="Times New Roman" w:hAnsi="Times New Roman" w:eastAsia="Times New Roman" w:cs="Times New Roman"/>
      <w:sz w:val="24"/>
      <w:szCs w:val="24"/>
    </w:rPr>
  </w:style>
  <w:style w:type="character" w:styleId="ListFormatnumberedChar" w:customStyle="1">
    <w:name w:val="List Format - numbered Char"/>
    <w:basedOn w:val="ParagraphChar"/>
    <w:link w:val="ListFormat-numbered"/>
    <w:uiPriority w:val="1"/>
    <w:qFormat/>
    <w:rsid w:val="00a030cd"/>
    <w:rPr>
      <w:rFonts w:ascii="Times New Roman" w:hAnsi="Times New Roman" w:eastAsia="Times New Roman" w:cs="Times New Roman"/>
      <w:sz w:val="24"/>
      <w:szCs w:val="24"/>
    </w:rPr>
  </w:style>
  <w:style w:type="character" w:styleId="ListFormatbulletedChar" w:customStyle="1">
    <w:name w:val="List Format - bulleted Char"/>
    <w:basedOn w:val="ListFormatnumberedChar"/>
    <w:link w:val="ListFormat-bulleted"/>
    <w:uiPriority w:val="1"/>
    <w:qFormat/>
    <w:rsid w:val="00a030cd"/>
    <w:rPr>
      <w:rFonts w:ascii="Times New Roman" w:hAnsi="Times New Roman" w:eastAsia="Times New Roman" w:cs="Times New Roman"/>
      <w:sz w:val="24"/>
      <w:szCs w:val="24"/>
    </w:rPr>
  </w:style>
  <w:style w:type="character" w:styleId="MAJORSECTIONwithinchapterChar" w:customStyle="1">
    <w:name w:val="MAJOR SECTION - within chapter Char"/>
    <w:basedOn w:val="MAJORSECTIONnoToCentryChar"/>
    <w:link w:val="MAJORSECTION-withinchapter"/>
    <w:qFormat/>
    <w:rsid w:val="00a030cd"/>
    <w:rPr>
      <w:rFonts w:ascii="Times New Roman" w:hAnsi="Times New Roman" w:eastAsia="Times New Roman" w:cs="Times New Roman"/>
      <w:b/>
      <w:sz w:val="24"/>
      <w:szCs w:val="24"/>
    </w:rPr>
  </w:style>
  <w:style w:type="character" w:styleId="FollowedHyperlink">
    <w:name w:val="FollowedHyperlink"/>
    <w:basedOn w:val="DefaultParagraphFont"/>
    <w:uiPriority w:val="99"/>
    <w:semiHidden/>
    <w:unhideWhenUsed/>
    <w:qFormat/>
    <w:rsid w:val="00a030cd"/>
    <w:rPr>
      <w:color w:val="954F72" w:themeColor="followedHyperlink"/>
      <w:u w:val="single"/>
    </w:rPr>
  </w:style>
  <w:style w:type="character" w:styleId="ListLabel1">
    <w:name w:val="ListLabel 1"/>
    <w:qFormat/>
    <w:rPr>
      <w:b w:val="false"/>
      <w:i w:val="false"/>
      <w:sz w:val="24"/>
    </w:rPr>
  </w:style>
  <w:style w:type="character" w:styleId="ListLabel2">
    <w:name w:val="ListLabel 2"/>
    <w:qFormat/>
    <w:rPr>
      <w:sz w:val="24"/>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b/>
      <w:i w:val="false"/>
    </w:rPr>
  </w:style>
  <w:style w:type="character" w:styleId="ListLabel7">
    <w:name w:val="ListLabel 7"/>
    <w:qFormat/>
    <w:rPr>
      <w:b/>
      <w:i w:val="false"/>
    </w:rPr>
  </w:style>
  <w:style w:type="character" w:styleId="ListLabel8">
    <w:name w:val="ListLabel 8"/>
    <w:qFormat/>
    <w:rPr>
      <w:b/>
      <w:i w:val="false"/>
    </w:rPr>
  </w:style>
  <w:style w:type="character" w:styleId="ListLabel9">
    <w:name w:val="ListLabel 9"/>
    <w:qFormat/>
    <w:rPr>
      <w:b/>
      <w:i w:val="false"/>
    </w:rPr>
  </w:style>
  <w:style w:type="character" w:styleId="ListLabel10">
    <w:name w:val="ListLabel 10"/>
    <w:qFormat/>
    <w:rPr>
      <w:b/>
      <w:i w:val="false"/>
    </w:rPr>
  </w:style>
  <w:style w:type="character" w:styleId="ListLabel11">
    <w:name w:val="ListLabel 11"/>
    <w:qFormat/>
    <w:rPr>
      <w:b/>
      <w:i w:val="false"/>
    </w:rPr>
  </w:style>
  <w:style w:type="character" w:styleId="ListLabel12">
    <w:name w:val="ListLabel 12"/>
    <w:qFormat/>
    <w:rPr>
      <w:b/>
      <w:i w:val="false"/>
    </w:rPr>
  </w:style>
  <w:style w:type="character" w:styleId="ListLabel13">
    <w:name w:val="ListLabel 13"/>
    <w:qFormat/>
    <w:rPr>
      <w:b/>
      <w:i w:val="false"/>
    </w:rPr>
  </w:style>
  <w:style w:type="character" w:styleId="ListLabel14">
    <w:name w:val="ListLabel 14"/>
    <w:qFormat/>
    <w:rPr>
      <w:b/>
      <w:i w:val="false"/>
    </w:rPr>
  </w:style>
  <w:style w:type="character" w:styleId="ListLabel15">
    <w:name w:val="ListLabel 15"/>
    <w:qFormat/>
    <w:rPr>
      <w:b/>
      <w:i w:val="false"/>
    </w:rPr>
  </w:style>
  <w:style w:type="character" w:styleId="ListLabel16">
    <w:name w:val="ListLabel 16"/>
    <w:qFormat/>
    <w:rPr/>
  </w:style>
  <w:style w:type="character" w:styleId="ListLabel17">
    <w:name w:val="ListLabel 17"/>
    <w:qFormat/>
    <w:rPr>
      <w:b/>
      <w:i w:val="false"/>
    </w:rPr>
  </w:style>
  <w:style w:type="character" w:styleId="ListLabel18">
    <w:name w:val="ListLabel 18"/>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DocCenter" w:customStyle="1">
    <w:name w:val="Doc Center"/>
    <w:basedOn w:val="Normal"/>
    <w:uiPriority w:val="4"/>
    <w:qFormat/>
    <w:rsid w:val="00a030cd"/>
    <w:pPr>
      <w:jc w:val="center"/>
    </w:pPr>
    <w:rPr/>
  </w:style>
  <w:style w:type="paragraph" w:styleId="DocTitle" w:customStyle="1">
    <w:name w:val="Doc Title"/>
    <w:basedOn w:val="DocCenter"/>
    <w:uiPriority w:val="4"/>
    <w:qFormat/>
    <w:rsid w:val="00a030cd"/>
    <w:pPr>
      <w:spacing w:before="0" w:after="240"/>
    </w:pPr>
    <w:rPr>
      <w:b/>
    </w:rPr>
  </w:style>
  <w:style w:type="paragraph" w:styleId="DocText" w:customStyle="1">
    <w:name w:val="Doc Text"/>
    <w:basedOn w:val="Normal"/>
    <w:uiPriority w:val="4"/>
    <w:qFormat/>
    <w:rsid w:val="00a030cd"/>
    <w:pPr>
      <w:ind w:firstLine="720"/>
    </w:pPr>
    <w:rPr/>
  </w:style>
  <w:style w:type="paragraph" w:styleId="DocApproval" w:customStyle="1">
    <w:name w:val="Doc Approval"/>
    <w:basedOn w:val="Normal"/>
    <w:uiPriority w:val="4"/>
    <w:qFormat/>
    <w:rsid w:val="00a030cd"/>
    <w:pPr>
      <w:tabs>
        <w:tab w:val="left" w:pos="8352" w:leader="underscore"/>
      </w:tabs>
      <w:ind w:left="1260" w:hanging="1260"/>
    </w:pPr>
    <w:rPr/>
  </w:style>
  <w:style w:type="paragraph" w:styleId="MAJORSECTION" w:customStyle="1">
    <w:name w:val="MAJOR SECTION"/>
    <w:basedOn w:val="CHAPTERTITLE"/>
    <w:link w:val="MAJORSECTIONChar"/>
    <w:qFormat/>
    <w:rsid w:val="00a030cd"/>
    <w:pPr>
      <w:pageBreakBefore/>
      <w:spacing w:before="1260" w:after="0"/>
    </w:pPr>
    <w:rPr/>
  </w:style>
  <w:style w:type="paragraph" w:styleId="Tablecontinued" w:customStyle="1">
    <w:name w:val="Table continued"/>
    <w:basedOn w:val="Tablecaption"/>
    <w:link w:val="TablecontinuedChar"/>
    <w:uiPriority w:val="1"/>
    <w:qFormat/>
    <w:rsid w:val="00a030cd"/>
    <w:pPr/>
    <w:rPr/>
  </w:style>
  <w:style w:type="paragraph" w:styleId="Paragraph" w:customStyle="1">
    <w:name w:val="Paragraph"/>
    <w:basedOn w:val="Normal"/>
    <w:link w:val="ParagraphChar"/>
    <w:qFormat/>
    <w:rsid w:val="00a030cd"/>
    <w:pPr>
      <w:spacing w:lineRule="atLeast" w:line="480"/>
      <w:ind w:firstLine="720"/>
    </w:pPr>
    <w:rPr/>
  </w:style>
  <w:style w:type="paragraph" w:styleId="Contents1">
    <w:name w:val="TOC 1"/>
    <w:basedOn w:val="Normal"/>
    <w:uiPriority w:val="39"/>
    <w:rsid w:val="00a030cd"/>
    <w:pPr>
      <w:keepLines/>
      <w:tabs>
        <w:tab w:val="left" w:pos="720" w:leader="none"/>
        <w:tab w:val="right" w:pos="8352" w:leader="dot"/>
      </w:tabs>
      <w:spacing w:before="240" w:after="0"/>
      <w:ind w:right="288" w:hanging="360"/>
    </w:pPr>
    <w:rPr/>
  </w:style>
  <w:style w:type="paragraph" w:styleId="Contents8">
    <w:name w:val="TOC 8"/>
    <w:basedOn w:val="Contents6"/>
    <w:uiPriority w:val="39"/>
    <w:rsid w:val="00a030cd"/>
    <w:pPr>
      <w:spacing w:before="240" w:after="0"/>
      <w:ind w:left="720" w:hanging="0"/>
      <w:contextualSpacing/>
    </w:pPr>
    <w:rPr/>
  </w:style>
  <w:style w:type="paragraph" w:styleId="Contents6">
    <w:name w:val="TOC 6"/>
    <w:basedOn w:val="Contents1"/>
    <w:uiPriority w:val="39"/>
    <w:rsid w:val="00a030cd"/>
    <w:pPr>
      <w:spacing w:before="0" w:after="240"/>
      <w:ind w:left="1260" w:right="288" w:hanging="1260"/>
    </w:pPr>
    <w:rPr>
      <w:szCs w:val="20"/>
    </w:rPr>
  </w:style>
  <w:style w:type="paragraph" w:styleId="Footer">
    <w:name w:val="Footer"/>
    <w:basedOn w:val="Normal"/>
    <w:link w:val="FooterChar"/>
    <w:uiPriority w:val="99"/>
    <w:rsid w:val="00a030cd"/>
    <w:pPr>
      <w:jc w:val="center"/>
    </w:pPr>
    <w:rPr/>
  </w:style>
  <w:style w:type="paragraph" w:styleId="Appendix" w:customStyle="1">
    <w:name w:val="Appendix"/>
    <w:link w:val="AppendixChar"/>
    <w:uiPriority w:val="2"/>
    <w:qFormat/>
    <w:rsid w:val="00a030cd"/>
    <w:pPr>
      <w:pageBreakBefore/>
      <w:widowControl/>
      <w:bidi w:val="0"/>
      <w:spacing w:lineRule="auto" w:line="240" w:before="1260" w:after="240"/>
      <w:jc w:val="center"/>
    </w:pPr>
    <w:rPr>
      <w:rFonts w:ascii="Times New Roman" w:hAnsi="Times New Roman" w:eastAsia="Times New Roman" w:cs="Times New Roman"/>
      <w:b/>
      <w:color w:val="auto"/>
      <w:kern w:val="0"/>
      <w:sz w:val="24"/>
      <w:szCs w:val="24"/>
      <w:lang w:val="en-US" w:eastAsia="en-US" w:bidi="ar-SA"/>
    </w:rPr>
  </w:style>
  <w:style w:type="paragraph" w:styleId="BibEntry" w:customStyle="1">
    <w:name w:val="Bib Entry"/>
    <w:basedOn w:val="Normal"/>
    <w:uiPriority w:val="1"/>
    <w:qFormat/>
    <w:rsid w:val="00a030cd"/>
    <w:pPr>
      <w:keepLines/>
      <w:spacing w:before="240" w:after="0"/>
      <w:ind w:left="720" w:hanging="720"/>
    </w:pPr>
    <w:rPr/>
  </w:style>
  <w:style w:type="paragraph" w:styleId="BibEntrynumbered" w:customStyle="1">
    <w:name w:val="Bib Entry - numbered"/>
    <w:basedOn w:val="Normal"/>
    <w:uiPriority w:val="1"/>
    <w:qFormat/>
    <w:rsid w:val="00a030cd"/>
    <w:pPr>
      <w:keepLines/>
      <w:spacing w:before="240" w:after="0"/>
    </w:pPr>
    <w:rPr/>
  </w:style>
  <w:style w:type="paragraph" w:styleId="ParagraphContinued" w:customStyle="1">
    <w:name w:val="Paragraph Continued"/>
    <w:basedOn w:val="Paragraph"/>
    <w:next w:val="Paragraph"/>
    <w:qFormat/>
    <w:rsid w:val="00a030cd"/>
    <w:pPr>
      <w:ind w:hanging="0"/>
    </w:pPr>
    <w:rPr/>
  </w:style>
  <w:style w:type="paragraph" w:styleId="Endnote">
    <w:name w:val="Endnote Text"/>
    <w:basedOn w:val="Normal"/>
    <w:link w:val="EndnoteTextChar"/>
    <w:semiHidden/>
    <w:rsid w:val="00a030cd"/>
    <w:pPr>
      <w:spacing w:before="0" w:after="240"/>
    </w:pPr>
    <w:rPr/>
  </w:style>
  <w:style w:type="paragraph" w:styleId="Equation" w:customStyle="1">
    <w:name w:val="Equation"/>
    <w:basedOn w:val="Normal"/>
    <w:uiPriority w:val="1"/>
    <w:qFormat/>
    <w:rsid w:val="00a030cd"/>
    <w:pPr>
      <w:tabs>
        <w:tab w:val="center" w:pos="4180" w:leader="none"/>
        <w:tab w:val="right" w:pos="8280" w:leader="none"/>
      </w:tabs>
      <w:spacing w:before="240" w:after="0"/>
    </w:pPr>
    <w:rPr/>
  </w:style>
  <w:style w:type="paragraph" w:styleId="Figureimage" w:customStyle="1">
    <w:name w:val="Figure - image"/>
    <w:basedOn w:val="Normal"/>
    <w:uiPriority w:val="1"/>
    <w:qFormat/>
    <w:rsid w:val="00a030cd"/>
    <w:pPr>
      <w:keepNext w:val="true"/>
      <w:keepLines/>
      <w:spacing w:before="720" w:after="0"/>
      <w:jc w:val="center"/>
    </w:pPr>
    <w:rPr/>
  </w:style>
  <w:style w:type="paragraph" w:styleId="Footnote">
    <w:name w:val="Footnote Text"/>
    <w:basedOn w:val="Normal"/>
    <w:link w:val="FootnoteTextChar"/>
    <w:semiHidden/>
    <w:rsid w:val="00a030cd"/>
    <w:pPr>
      <w:spacing w:before="0" w:after="240"/>
    </w:pPr>
    <w:rPr/>
  </w:style>
  <w:style w:type="paragraph" w:styleId="Header">
    <w:name w:val="Header"/>
    <w:basedOn w:val="Footer"/>
    <w:link w:val="HeaderChar"/>
    <w:semiHidden/>
    <w:rsid w:val="00a030cd"/>
    <w:pPr/>
    <w:rPr/>
  </w:style>
  <w:style w:type="paragraph" w:styleId="ListFormatnumbered" w:customStyle="1">
    <w:name w:val="List Format - numbered"/>
    <w:basedOn w:val="Paragraph"/>
    <w:link w:val="ListFormat-numberedChar"/>
    <w:uiPriority w:val="1"/>
    <w:qFormat/>
    <w:rsid w:val="00a030cd"/>
    <w:pPr>
      <w:spacing w:lineRule="auto" w:line="240" w:before="240" w:after="0"/>
    </w:pPr>
    <w:rPr/>
  </w:style>
  <w:style w:type="paragraph" w:styleId="Paragraphnewpage" w:customStyle="1">
    <w:name w:val="Paragraph - new page"/>
    <w:basedOn w:val="Paragraph"/>
    <w:next w:val="Paragraph"/>
    <w:link w:val="Paragraph-newpageChar"/>
    <w:qFormat/>
    <w:rsid w:val="00a030cd"/>
    <w:pPr>
      <w:pageBreakBefore/>
    </w:pPr>
    <w:rPr/>
  </w:style>
  <w:style w:type="paragraph" w:styleId="Quotation" w:customStyle="1">
    <w:name w:val="Quotation"/>
    <w:basedOn w:val="Normal"/>
    <w:uiPriority w:val="1"/>
    <w:qFormat/>
    <w:rsid w:val="00a030cd"/>
    <w:pPr>
      <w:tabs>
        <w:tab w:val="left" w:pos="1880" w:leader="none"/>
      </w:tabs>
      <w:spacing w:before="240" w:after="0"/>
      <w:ind w:left="720" w:right="720" w:hanging="0"/>
    </w:pPr>
    <w:rPr/>
  </w:style>
  <w:style w:type="paragraph" w:styleId="Contents2">
    <w:name w:val="TOC 2"/>
    <w:basedOn w:val="Contents1"/>
    <w:uiPriority w:val="39"/>
    <w:rsid w:val="00a030cd"/>
    <w:pPr>
      <w:spacing w:before="240" w:after="0"/>
      <w:ind w:left="720" w:right="288" w:hanging="360"/>
      <w:contextualSpacing/>
    </w:pPr>
    <w:rPr/>
  </w:style>
  <w:style w:type="paragraph" w:styleId="Contents3">
    <w:name w:val="TOC 3"/>
    <w:basedOn w:val="Contents2"/>
    <w:uiPriority w:val="39"/>
    <w:rsid w:val="00a030cd"/>
    <w:pPr>
      <w:ind w:left="1080" w:right="288" w:hanging="360"/>
    </w:pPr>
    <w:rPr/>
  </w:style>
  <w:style w:type="paragraph" w:styleId="Contents4">
    <w:name w:val="TOC 4"/>
    <w:basedOn w:val="Contents3"/>
    <w:uiPriority w:val="39"/>
    <w:rsid w:val="00a030cd"/>
    <w:pPr>
      <w:ind w:left="1440" w:right="288" w:hanging="360"/>
    </w:pPr>
    <w:rPr/>
  </w:style>
  <w:style w:type="paragraph" w:styleId="Contents5">
    <w:name w:val="TOC 5"/>
    <w:basedOn w:val="Contents4"/>
    <w:uiPriority w:val="39"/>
    <w:rsid w:val="00a030cd"/>
    <w:pPr>
      <w:ind w:left="1800" w:right="288" w:hanging="360"/>
    </w:pPr>
    <w:rPr/>
  </w:style>
  <w:style w:type="paragraph" w:styleId="Contents7">
    <w:name w:val="TOC 7"/>
    <w:basedOn w:val="Contents1"/>
    <w:link w:val="TOC7Char"/>
    <w:uiPriority w:val="39"/>
    <w:rsid w:val="00a030cd"/>
    <w:pPr>
      <w:spacing w:before="240" w:after="0"/>
      <w:ind w:right="288" w:hanging="360"/>
      <w:contextualSpacing/>
    </w:pPr>
    <w:rPr/>
  </w:style>
  <w:style w:type="paragraph" w:styleId="Contents9">
    <w:name w:val="TOC 9"/>
    <w:basedOn w:val="Contents1"/>
    <w:uiPriority w:val="39"/>
    <w:rsid w:val="00a030cd"/>
    <w:pPr>
      <w:spacing w:before="240" w:after="0"/>
      <w:contextualSpacing/>
    </w:pPr>
    <w:rPr/>
  </w:style>
  <w:style w:type="paragraph" w:styleId="Verse" w:customStyle="1">
    <w:name w:val="Verse"/>
    <w:basedOn w:val="Quotation"/>
    <w:uiPriority w:val="1"/>
    <w:qFormat/>
    <w:rsid w:val="00a030cd"/>
    <w:pPr>
      <w:ind w:left="1440" w:right="720" w:hanging="720"/>
    </w:pPr>
    <w:rPr/>
  </w:style>
  <w:style w:type="paragraph" w:styleId="PlainText">
    <w:name w:val="Plain Text"/>
    <w:basedOn w:val="Normal"/>
    <w:link w:val="PlainTextChar"/>
    <w:uiPriority w:val="99"/>
    <w:semiHidden/>
    <w:unhideWhenUsed/>
    <w:qFormat/>
    <w:rsid w:val="00a030cd"/>
    <w:pPr/>
    <w:rPr>
      <w:rFonts w:ascii="Consolas" w:hAnsi="Consolas" w:eastAsia="Calibri"/>
      <w:sz w:val="21"/>
      <w:szCs w:val="21"/>
    </w:rPr>
  </w:style>
  <w:style w:type="paragraph" w:styleId="Appendixone" w:customStyle="1">
    <w:name w:val="Appendix - one"/>
    <w:basedOn w:val="Normal"/>
    <w:link w:val="Appendix-oneChar"/>
    <w:uiPriority w:val="3"/>
    <w:qFormat/>
    <w:rsid w:val="00a030cd"/>
    <w:pPr>
      <w:pageBreakBefore/>
      <w:spacing w:before="1260" w:after="240"/>
      <w:jc w:val="center"/>
    </w:pPr>
    <w:rPr>
      <w:b/>
    </w:rPr>
  </w:style>
  <w:style w:type="paragraph" w:styleId="MAJORSECTIONnoToCentry" w:customStyle="1">
    <w:name w:val="MAJOR SECTION - no ToC entry"/>
    <w:basedOn w:val="MAJORSECTION"/>
    <w:next w:val="Paragraph"/>
    <w:link w:val="MAJORSECTION-noToCentryChar"/>
    <w:qFormat/>
    <w:rsid w:val="00a030cd"/>
    <w:pPr/>
    <w:rPr/>
  </w:style>
  <w:style w:type="paragraph" w:styleId="BalloonText">
    <w:name w:val="Balloon Text"/>
    <w:basedOn w:val="Normal"/>
    <w:link w:val="BalloonTextChar"/>
    <w:uiPriority w:val="99"/>
    <w:semiHidden/>
    <w:unhideWhenUsed/>
    <w:qFormat/>
    <w:rsid w:val="00a030cd"/>
    <w:pPr/>
    <w:rPr>
      <w:rFonts w:ascii="Lucida Grande" w:hAnsi="Lucida Grande" w:cs="Lucida Grande"/>
      <w:sz w:val="18"/>
      <w:szCs w:val="18"/>
    </w:rPr>
  </w:style>
  <w:style w:type="paragraph" w:styleId="Annotationtext">
    <w:name w:val="annotation text"/>
    <w:basedOn w:val="Normal"/>
    <w:link w:val="CommentTextChar"/>
    <w:uiPriority w:val="99"/>
    <w:unhideWhenUsed/>
    <w:qFormat/>
    <w:rsid w:val="00a030cd"/>
    <w:pPr/>
    <w:rPr>
      <w:sz w:val="20"/>
      <w:szCs w:val="20"/>
    </w:rPr>
  </w:style>
  <w:style w:type="paragraph" w:styleId="Annotationsubject">
    <w:name w:val="annotation subject"/>
    <w:basedOn w:val="Annotationtext"/>
    <w:link w:val="CommentSubjectChar"/>
    <w:uiPriority w:val="99"/>
    <w:semiHidden/>
    <w:unhideWhenUsed/>
    <w:qFormat/>
    <w:rsid w:val="00a030cd"/>
    <w:pPr/>
    <w:rPr>
      <w:b/>
      <w:bCs/>
    </w:rPr>
  </w:style>
  <w:style w:type="paragraph" w:styleId="Revision">
    <w:name w:val="Revision"/>
    <w:uiPriority w:val="99"/>
    <w:semiHidden/>
    <w:qFormat/>
    <w:rsid w:val="00a030cd"/>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APPENDIXTITLE" w:customStyle="1">
    <w:name w:val="APPENDIX TITLE"/>
    <w:basedOn w:val="CHAPTERTITLE"/>
    <w:next w:val="Paragraph"/>
    <w:link w:val="APPENDIXTITLEChar"/>
    <w:uiPriority w:val="2"/>
    <w:qFormat/>
    <w:rsid w:val="00a030cd"/>
    <w:pPr/>
    <w:rPr/>
  </w:style>
  <w:style w:type="paragraph" w:styleId="APPENDIXTITLEone" w:customStyle="1">
    <w:name w:val="APPENDIX TITLE - one"/>
    <w:basedOn w:val="APPENDIXTITLE"/>
    <w:next w:val="Paragraph"/>
    <w:link w:val="APPENDIXTITLE-oneChar"/>
    <w:uiPriority w:val="3"/>
    <w:qFormat/>
    <w:rsid w:val="00a030cd"/>
    <w:pPr/>
    <w:rPr/>
  </w:style>
  <w:style w:type="paragraph" w:styleId="ParagraphContinuednewpage" w:customStyle="1">
    <w:name w:val="Paragraph Continued - new page"/>
    <w:basedOn w:val="Paragraphnewpage"/>
    <w:link w:val="ParagraphContinued-newpageChar"/>
    <w:qFormat/>
    <w:rsid w:val="00a030cd"/>
    <w:pPr>
      <w:ind w:hanging="0"/>
    </w:pPr>
    <w:rPr/>
  </w:style>
  <w:style w:type="paragraph" w:styleId="Tablecontent" w:customStyle="1">
    <w:name w:val="Table content"/>
    <w:basedOn w:val="Normal"/>
    <w:next w:val="Normal"/>
    <w:link w:val="TablecontentChar"/>
    <w:uiPriority w:val="1"/>
    <w:qFormat/>
    <w:rsid w:val="00a030cd"/>
    <w:pPr>
      <w:keepLines/>
    </w:pPr>
    <w:rPr/>
  </w:style>
  <w:style w:type="paragraph" w:styleId="Caption1">
    <w:name w:val="caption"/>
    <w:basedOn w:val="Normal"/>
    <w:next w:val="Normal"/>
    <w:uiPriority w:val="39"/>
    <w:semiHidden/>
    <w:qFormat/>
    <w:rsid w:val="00a030cd"/>
    <w:pPr/>
    <w:rPr>
      <w:bCs/>
      <w:szCs w:val="18"/>
    </w:rPr>
  </w:style>
  <w:style w:type="paragraph" w:styleId="Tableoffigures">
    <w:name w:val="table of figures"/>
    <w:basedOn w:val="Normal"/>
    <w:uiPriority w:val="39"/>
    <w:semiHidden/>
    <w:qFormat/>
    <w:rsid w:val="00a030cd"/>
    <w:pPr>
      <w:spacing w:before="0" w:after="240"/>
      <w:ind w:left="1260" w:hanging="1260"/>
    </w:pPr>
    <w:rPr/>
  </w:style>
  <w:style w:type="paragraph" w:styleId="Figurecaption" w:customStyle="1">
    <w:name w:val="Figure caption"/>
    <w:basedOn w:val="Heading8"/>
    <w:next w:val="Paragraph"/>
    <w:link w:val="FigurecaptionChar"/>
    <w:uiPriority w:val="1"/>
    <w:qFormat/>
    <w:rsid w:val="00a030cd"/>
    <w:pPr>
      <w:spacing w:before="240" w:after="720"/>
    </w:pPr>
    <w:rPr/>
  </w:style>
  <w:style w:type="paragraph" w:styleId="Tablecaption" w:customStyle="1">
    <w:name w:val="Table - caption"/>
    <w:basedOn w:val="Heading6"/>
    <w:link w:val="Table-captionChar"/>
    <w:uiPriority w:val="1"/>
    <w:qFormat/>
    <w:rsid w:val="00a030cd"/>
    <w:pPr>
      <w:spacing w:before="720" w:after="240"/>
    </w:pPr>
    <w:rPr/>
  </w:style>
  <w:style w:type="paragraph" w:styleId="ListFormatbulleted" w:customStyle="1">
    <w:name w:val="List Format - bulleted"/>
    <w:basedOn w:val="ListFormatnumbered"/>
    <w:link w:val="ListFormat-bulletedChar"/>
    <w:uiPriority w:val="1"/>
    <w:qFormat/>
    <w:rsid w:val="00a030cd"/>
    <w:pPr/>
    <w:rPr/>
  </w:style>
  <w:style w:type="paragraph" w:styleId="CHAPTERTITLE" w:customStyle="1">
    <w:name w:val="CHAPTER TITLE"/>
    <w:basedOn w:val="Normal"/>
    <w:next w:val="Paragraph"/>
    <w:qFormat/>
    <w:rsid w:val="00a030cd"/>
    <w:pPr>
      <w:spacing w:before="0" w:after="240"/>
      <w:jc w:val="center"/>
    </w:pPr>
    <w:rPr>
      <w:b/>
    </w:rPr>
  </w:style>
  <w:style w:type="paragraph" w:styleId="MAJORSECTIONwithinchapter" w:customStyle="1">
    <w:name w:val="MAJOR SECTION - within chapter"/>
    <w:basedOn w:val="MAJORSECTIONnoToCentry"/>
    <w:next w:val="Paragraph"/>
    <w:link w:val="MAJORSECTION-withinchapterChar"/>
    <w:qFormat/>
    <w:rsid w:val="00a030cd"/>
    <w:pPr/>
    <w:rPr/>
  </w:style>
  <w:style w:type="paragraph" w:styleId="Bibliography">
    <w:name w:val="Bibliography"/>
    <w:basedOn w:val="Normal"/>
    <w:next w:val="Normal"/>
    <w:uiPriority w:val="37"/>
    <w:unhideWhenUsed/>
    <w:qFormat/>
    <w:rsid w:val="00a030cd"/>
    <w:pPr>
      <w:spacing w:before="0" w:after="240"/>
      <w:ind w:left="720" w:hanging="720"/>
    </w:pPr>
    <w:rPr/>
  </w:style>
  <w:style w:type="numbering" w:styleId="NoList" w:default="1">
    <w:name w:val="No List"/>
    <w:uiPriority w:val="99"/>
    <w:semiHidden/>
    <w:unhideWhenUsed/>
    <w:qFormat/>
  </w:style>
  <w:style w:type="numbering" w:styleId="Tables" w:customStyle="1">
    <w:name w:val="Tables"/>
    <w:uiPriority w:val="99"/>
    <w:qFormat/>
    <w:rsid w:val="00a030cd"/>
  </w:style>
  <w:style w:type="numbering" w:styleId="Figures" w:customStyle="1">
    <w:name w:val="Figures"/>
    <w:uiPriority w:val="99"/>
    <w:qFormat/>
    <w:rsid w:val="00a030cd"/>
  </w:style>
  <w:style w:type="numbering" w:styleId="Headings" w:customStyle="1">
    <w:name w:val="Headings"/>
    <w:uiPriority w:val="99"/>
    <w:qFormat/>
    <w:rsid w:val="00a030cd"/>
  </w:style>
  <w:style w:type="numbering" w:styleId="Appendices" w:customStyle="1">
    <w:name w:val="Appendices"/>
    <w:uiPriority w:val="99"/>
    <w:qFormat/>
    <w:rsid w:val="00a030c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a030cd"/>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faa.gov/regulations_policies/handbooks_manuals/aviation/phak/media/14_phak_ch12.pdf" TargetMode="External"/><Relationship Id="rId3" Type="http://schemas.openxmlformats.org/officeDocument/2006/relationships/image" Target="media/image1.png"/><Relationship Id="rId4" Type="http://schemas.openxmlformats.org/officeDocument/2006/relationships/image" Target="media/image2.tif"/><Relationship Id="rId5" Type="http://schemas.openxmlformats.org/officeDocument/2006/relationships/hyperlink" Target="http://59.175.109.173:8888/app/login_en.html" TargetMode="External"/><Relationship Id="rId6" Type="http://schemas.openxmlformats.org/officeDocument/2006/relationships/image" Target="media/image3.png"/><Relationship Id="rId7" Type="http://schemas.openxmlformats.org/officeDocument/2006/relationships/image" Target="media/image4.tif"/><Relationship Id="rId8" Type="http://schemas.openxmlformats.org/officeDocument/2006/relationships/image" Target="media/image5.png"/><Relationship Id="rId9" Type="http://schemas.openxmlformats.org/officeDocument/2006/relationships/image" Target="media/image6.tif"/><Relationship Id="rId10" Type="http://schemas.openxmlformats.org/officeDocument/2006/relationships/image" Target="media/image7.tif"/><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tif"/><Relationship Id="rId18" Type="http://schemas.openxmlformats.org/officeDocument/2006/relationships/image" Target="media/image15.png"/><Relationship Id="rId19" Type="http://schemas.openxmlformats.org/officeDocument/2006/relationships/image" Target="media/image16.tif"/><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Application>LibreOffice/6.0.7.3$Linux_X86_64 LibreOffice_project/00m0$Build-3</Application>
  <Pages>49</Pages>
  <Words>6160</Words>
  <Characters>30978</Characters>
  <CharactersWithSpaces>34158</CharactersWithSpaces>
  <Paragraphs>3188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2021-06-22T17:55:00Z</dcterms:created>
  <dc:creator>Sergio Cabrera</dc:creator>
  <dc:description/>
  <dc:language>en-US</dc:language>
  <cp:lastModifiedBy/>
  <dcterms:modified xsi:type="dcterms:W3CDTF">2021-06-22T18:45:53Z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