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C" w:rsidRDefault="00947D0C" w:rsidP="001608CA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3E323BB4" wp14:editId="28294C32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0C" w:rsidRPr="00BF1BF9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Paleoceanography</w:t>
      </w:r>
    </w:p>
    <w:p w:rsidR="00947D0C" w:rsidRPr="00CE6EAA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:rsidR="00947D0C" w:rsidRPr="00B77E40" w:rsidRDefault="00647BE2" w:rsidP="001608CA">
      <w:pPr>
        <w:pStyle w:val="Heading1"/>
        <w:contextualSpacing/>
        <w:jc w:val="both"/>
        <w:rPr>
          <w:rFonts w:ascii="Myriad Pro" w:hAnsi="Myriad Pro"/>
          <w:b w:val="0"/>
          <w:sz w:val="22"/>
          <w:szCs w:val="22"/>
        </w:rPr>
      </w:pPr>
      <w:bookmarkStart w:id="0" w:name="_Toc395776431"/>
      <w:r>
        <w:t>Intra-r</w:t>
      </w:r>
      <w:r w:rsidR="001D771C">
        <w:t>eef v</w:t>
      </w:r>
      <w:r w:rsidR="00947D0C">
        <w:t>ariations</w:t>
      </w:r>
      <w:r w:rsidR="00B27CAF">
        <w:t xml:space="preserve"> in</w:t>
      </w:r>
      <w:r w:rsidR="00947D0C">
        <w:t xml:space="preserve"> Li/Mg and</w:t>
      </w:r>
      <w:r w:rsidR="001D771C">
        <w:t xml:space="preserve"> Sr/Ca sea surface temperature p</w:t>
      </w:r>
      <w:r w:rsidR="00947D0C">
        <w:t>roxies in the</w:t>
      </w:r>
      <w:r w:rsidR="001D771C">
        <w:t xml:space="preserve"> Caribbean reef-building c</w:t>
      </w:r>
      <w:r w:rsidR="00947D0C" w:rsidRPr="00A836C1">
        <w:t xml:space="preserve">oral </w:t>
      </w:r>
      <w:r w:rsidR="00947D0C" w:rsidRPr="00A836C1">
        <w:rPr>
          <w:i/>
        </w:rPr>
        <w:t>Siderastrea siderea</w:t>
      </w:r>
      <w:bookmarkEnd w:id="0"/>
    </w:p>
    <w:p w:rsidR="00947D0C" w:rsidRDefault="00947D0C" w:rsidP="001608CA">
      <w:pPr>
        <w:ind w:left="-425" w:right="-476"/>
        <w:contextualSpacing/>
        <w:jc w:val="both"/>
        <w:rPr>
          <w:rFonts w:ascii="Myriad Pro" w:hAnsi="Myriad Pro"/>
          <w:sz w:val="22"/>
          <w:szCs w:val="22"/>
        </w:rPr>
      </w:pPr>
    </w:p>
    <w:p w:rsidR="00947D0C" w:rsidRPr="00644E86" w:rsidRDefault="00947D0C" w:rsidP="001608CA">
      <w:pPr>
        <w:ind w:left="-425" w:right="-476"/>
        <w:contextualSpacing/>
        <w:jc w:val="both"/>
        <w:rPr>
          <w:rFonts w:ascii="Myriad Pro" w:hAnsi="Myriad Pro"/>
          <w:b/>
        </w:rPr>
      </w:pPr>
      <w:r>
        <w:rPr>
          <w:rFonts w:ascii="Myriad Pro" w:hAnsi="Myriad Pro"/>
          <w:sz w:val="22"/>
          <w:szCs w:val="22"/>
        </w:rPr>
        <w:t>Sara E. Fowell</w:t>
      </w:r>
      <w:r w:rsidRPr="00AC736B">
        <w:rPr>
          <w:rFonts w:ascii="Myriad Pro" w:hAnsi="Myriad Pro"/>
          <w:sz w:val="22"/>
          <w:szCs w:val="22"/>
          <w:vertAlign w:val="superscript"/>
        </w:rPr>
        <w:t>1,*</w:t>
      </w:r>
      <w:r>
        <w:rPr>
          <w:rFonts w:ascii="Myriad Pro" w:hAnsi="Myriad Pro"/>
          <w:sz w:val="22"/>
          <w:szCs w:val="22"/>
        </w:rPr>
        <w:t>, Kate Sandford</w:t>
      </w:r>
      <w:r w:rsidRPr="00773ABF">
        <w:rPr>
          <w:rFonts w:ascii="Myriad Pro" w:hAnsi="Myriad Pro"/>
          <w:sz w:val="22"/>
          <w:szCs w:val="22"/>
          <w:vertAlign w:val="superscript"/>
        </w:rPr>
        <w:t>1</w:t>
      </w:r>
      <w:r>
        <w:rPr>
          <w:rFonts w:ascii="Myriad Pro" w:hAnsi="Myriad Pro"/>
          <w:sz w:val="22"/>
          <w:szCs w:val="22"/>
        </w:rPr>
        <w:t>, Joseph A. Stewart</w:t>
      </w:r>
      <w:r w:rsidRPr="00773ABF">
        <w:rPr>
          <w:rFonts w:ascii="Myriad Pro" w:hAnsi="Myriad Pro"/>
          <w:sz w:val="22"/>
          <w:szCs w:val="22"/>
          <w:vertAlign w:val="superscript"/>
        </w:rPr>
        <w:t>1,</w:t>
      </w:r>
      <w:r w:rsidR="007B1433">
        <w:rPr>
          <w:rFonts w:ascii="Myriad Pro" w:hAnsi="Myriad Pro"/>
          <w:sz w:val="22"/>
          <w:szCs w:val="22"/>
          <w:vertAlign w:val="superscript"/>
        </w:rPr>
        <w:t>2</w:t>
      </w:r>
      <w:r>
        <w:rPr>
          <w:rFonts w:ascii="Myriad Pro" w:hAnsi="Myriad Pro"/>
          <w:sz w:val="22"/>
          <w:szCs w:val="22"/>
        </w:rPr>
        <w:t xml:space="preserve">, </w:t>
      </w:r>
      <w:r w:rsidR="007B1433">
        <w:rPr>
          <w:rFonts w:ascii="Myriad Pro" w:hAnsi="Myriad Pro"/>
          <w:sz w:val="22"/>
          <w:szCs w:val="22"/>
        </w:rPr>
        <w:t>Karl D. Castillo</w:t>
      </w:r>
      <w:r w:rsidR="007B1433">
        <w:rPr>
          <w:rFonts w:ascii="Myriad Pro" w:hAnsi="Myriad Pro"/>
          <w:sz w:val="22"/>
          <w:szCs w:val="22"/>
          <w:vertAlign w:val="superscript"/>
        </w:rPr>
        <w:t>3</w:t>
      </w:r>
      <w:r w:rsidR="007B1433">
        <w:rPr>
          <w:rFonts w:ascii="Myriad Pro" w:hAnsi="Myriad Pro"/>
          <w:sz w:val="22"/>
          <w:szCs w:val="22"/>
        </w:rPr>
        <w:t xml:space="preserve">, </w:t>
      </w:r>
      <w:r w:rsidR="0077418C">
        <w:rPr>
          <w:rFonts w:ascii="Myriad Pro" w:hAnsi="Myriad Pro"/>
          <w:sz w:val="22"/>
          <w:szCs w:val="22"/>
        </w:rPr>
        <w:t>Justin B. Ries</w:t>
      </w:r>
      <w:r w:rsidR="0077418C">
        <w:rPr>
          <w:rFonts w:ascii="Myriad Pro" w:hAnsi="Myriad Pro"/>
          <w:sz w:val="22"/>
          <w:szCs w:val="22"/>
          <w:vertAlign w:val="superscript"/>
        </w:rPr>
        <w:t>4</w:t>
      </w:r>
      <w:r w:rsidR="0077418C">
        <w:rPr>
          <w:rFonts w:ascii="Myriad Pro" w:hAnsi="Myriad Pro"/>
          <w:sz w:val="22"/>
          <w:szCs w:val="22"/>
        </w:rPr>
        <w:t xml:space="preserve">, </w:t>
      </w:r>
      <w:r>
        <w:rPr>
          <w:rFonts w:ascii="Myriad Pro" w:hAnsi="Myriad Pro"/>
          <w:sz w:val="22"/>
          <w:szCs w:val="22"/>
        </w:rPr>
        <w:t>Gavin L. Foster</w:t>
      </w:r>
      <w:r w:rsidRPr="00773ABF">
        <w:rPr>
          <w:rFonts w:ascii="Myriad Pro" w:hAnsi="Myriad Pro"/>
          <w:sz w:val="22"/>
          <w:szCs w:val="22"/>
          <w:vertAlign w:val="superscript"/>
        </w:rPr>
        <w:t>1</w:t>
      </w:r>
    </w:p>
    <w:p w:rsidR="00947D0C" w:rsidRDefault="00947D0C" w:rsidP="001608CA">
      <w:pPr>
        <w:pStyle w:val="Affiliation"/>
        <w:jc w:val="both"/>
        <w:rPr>
          <w:rFonts w:ascii="Myriad Pro" w:hAnsi="Myriad Pro"/>
          <w:sz w:val="18"/>
          <w:szCs w:val="18"/>
        </w:rPr>
      </w:pPr>
      <w:r w:rsidRPr="00B77E40">
        <w:rPr>
          <w:rFonts w:ascii="Myriad Pro" w:hAnsi="Myriad Pro"/>
          <w:sz w:val="18"/>
          <w:szCs w:val="18"/>
        </w:rPr>
        <w:t xml:space="preserve"> </w:t>
      </w:r>
      <w:r w:rsidRPr="00773ABF">
        <w:rPr>
          <w:rFonts w:ascii="Myriad Pro" w:hAnsi="Myriad Pro"/>
          <w:sz w:val="18"/>
          <w:szCs w:val="18"/>
          <w:vertAlign w:val="superscript"/>
        </w:rPr>
        <w:t>1</w:t>
      </w:r>
      <w:r w:rsidRPr="00773ABF">
        <w:rPr>
          <w:rFonts w:ascii="Myriad Pro" w:hAnsi="Myriad Pro"/>
          <w:sz w:val="18"/>
          <w:szCs w:val="18"/>
        </w:rPr>
        <w:t xml:space="preserve">Ocean and Earth Science, National Oceanography Centre, Southampton, University of Southampton. SO14 3ZH, UK. </w:t>
      </w:r>
      <w:r w:rsidR="007B1433">
        <w:rPr>
          <w:rFonts w:ascii="Myriad Pro" w:hAnsi="Myriad Pro"/>
          <w:sz w:val="18"/>
          <w:szCs w:val="18"/>
          <w:vertAlign w:val="superscript"/>
        </w:rPr>
        <w:t>2</w:t>
      </w:r>
      <w:r w:rsidRPr="00773ABF">
        <w:rPr>
          <w:rFonts w:ascii="Myriad Pro" w:hAnsi="Myriad Pro"/>
          <w:color w:val="000000"/>
          <w:sz w:val="18"/>
          <w:szCs w:val="18"/>
        </w:rPr>
        <w:t>National Institute of Standards and Technology, Hollings Marine Laboratory, 331 Fort Johnson Rd, Charleston, SC 29412, USA</w:t>
      </w:r>
      <w:r w:rsidRPr="00773ABF">
        <w:rPr>
          <w:rFonts w:ascii="Myriad Pro" w:hAnsi="Myriad Pro"/>
          <w:sz w:val="18"/>
          <w:szCs w:val="18"/>
        </w:rPr>
        <w:t>.</w:t>
      </w:r>
      <w:r w:rsidR="007B1433">
        <w:rPr>
          <w:rFonts w:ascii="Myriad Pro" w:hAnsi="Myriad Pro"/>
          <w:sz w:val="18"/>
          <w:szCs w:val="18"/>
        </w:rPr>
        <w:t xml:space="preserve"> </w:t>
      </w:r>
      <w:r w:rsidR="007B1433">
        <w:rPr>
          <w:rFonts w:ascii="Myriad Pro" w:hAnsi="Myriad Pro"/>
          <w:sz w:val="18"/>
          <w:szCs w:val="18"/>
          <w:vertAlign w:val="superscript"/>
        </w:rPr>
        <w:t>3</w:t>
      </w:r>
      <w:r w:rsidR="007B1433" w:rsidRPr="00773ABF">
        <w:rPr>
          <w:rFonts w:ascii="Myriad Pro" w:hAnsi="Myriad Pro"/>
          <w:sz w:val="18"/>
          <w:szCs w:val="18"/>
        </w:rPr>
        <w:t xml:space="preserve">University of North Carolina, Chapel Hill, NC 27599, USA. </w:t>
      </w:r>
      <w:r w:rsidR="0077418C" w:rsidRPr="0077418C">
        <w:rPr>
          <w:rFonts w:ascii="Myriad Pro" w:hAnsi="Myriad Pro"/>
          <w:sz w:val="18"/>
          <w:szCs w:val="18"/>
          <w:vertAlign w:val="superscript"/>
        </w:rPr>
        <w:t xml:space="preserve"> </w:t>
      </w:r>
      <w:r w:rsidR="0077418C">
        <w:rPr>
          <w:rFonts w:ascii="Myriad Pro" w:hAnsi="Myriad Pro"/>
          <w:sz w:val="18"/>
          <w:szCs w:val="18"/>
          <w:vertAlign w:val="superscript"/>
        </w:rPr>
        <w:t>4</w:t>
      </w:r>
      <w:r w:rsidR="0077418C" w:rsidRPr="00773ABF">
        <w:rPr>
          <w:rFonts w:ascii="Myriad Pro" w:hAnsi="Myriad Pro"/>
          <w:sz w:val="18"/>
          <w:szCs w:val="18"/>
        </w:rPr>
        <w:t>Northeastern University, Marine Science Center, 430 Nahant Road, Nahant, MA 01908, USA.</w:t>
      </w:r>
    </w:p>
    <w:p w:rsidR="00947D0C" w:rsidRPr="00B77E40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sz w:val="18"/>
          <w:szCs w:val="18"/>
        </w:rPr>
      </w:pPr>
    </w:p>
    <w:p w:rsidR="00947D0C" w:rsidRPr="00CE6EAA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:rsidR="00947D0C" w:rsidRPr="00CE6EAA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</w:p>
    <w:p w:rsidR="00947D0C" w:rsidRDefault="00947D0C" w:rsidP="001608CA">
      <w:pPr>
        <w:jc w:val="both"/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>
        <w:rPr>
          <w:rFonts w:ascii="Myriad Pro" w:hAnsi="Myriad Pro"/>
          <w:b/>
        </w:rPr>
        <w:t xml:space="preserve"> </w:t>
      </w:r>
    </w:p>
    <w:p w:rsidR="00947D0C" w:rsidRPr="00E40896" w:rsidRDefault="00947D0C" w:rsidP="001608CA">
      <w:pPr>
        <w:jc w:val="both"/>
        <w:rPr>
          <w:rFonts w:ascii="Myriad Pro" w:hAnsi="Myriad Pro"/>
        </w:rPr>
      </w:pPr>
    </w:p>
    <w:p w:rsidR="001D771C" w:rsidRDefault="001D771C" w:rsidP="001608CA">
      <w:pPr>
        <w:ind w:left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Text </w:t>
      </w:r>
      <w:r w:rsidR="00DA450A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>1</w:t>
      </w:r>
      <w:r w:rsidR="007B1433">
        <w:rPr>
          <w:rFonts w:ascii="Myriad Pro" w:hAnsi="Myriad Pro"/>
          <w:sz w:val="22"/>
          <w:szCs w:val="22"/>
        </w:rPr>
        <w:t xml:space="preserve"> and S2</w:t>
      </w:r>
    </w:p>
    <w:p w:rsidR="00947D0C" w:rsidRDefault="007B1433" w:rsidP="001608CA">
      <w:pPr>
        <w:ind w:left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Captions for Tables S1 to S5</w:t>
      </w:r>
    </w:p>
    <w:p w:rsidR="00DA450A" w:rsidRPr="00CE6EAA" w:rsidRDefault="00947D0C" w:rsidP="001608CA">
      <w:pPr>
        <w:ind w:left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  <w:r w:rsidR="008E1D4D">
        <w:rPr>
          <w:rFonts w:ascii="Myriad Pro" w:hAnsi="Myriad Pro"/>
          <w:sz w:val="22"/>
          <w:szCs w:val="22"/>
        </w:rPr>
        <w:t>Figure</w:t>
      </w:r>
      <w:r w:rsidR="007B1433">
        <w:rPr>
          <w:rFonts w:ascii="Myriad Pro" w:hAnsi="Myriad Pro"/>
          <w:sz w:val="22"/>
          <w:szCs w:val="22"/>
        </w:rPr>
        <w:t>s</w:t>
      </w:r>
      <w:r w:rsidR="008E1D4D">
        <w:rPr>
          <w:rFonts w:ascii="Myriad Pro" w:hAnsi="Myriad Pro"/>
          <w:sz w:val="22"/>
          <w:szCs w:val="22"/>
        </w:rPr>
        <w:t xml:space="preserve"> S1</w:t>
      </w:r>
      <w:r w:rsidR="007B1433">
        <w:rPr>
          <w:rFonts w:ascii="Myriad Pro" w:hAnsi="Myriad Pro"/>
          <w:sz w:val="22"/>
          <w:szCs w:val="22"/>
        </w:rPr>
        <w:t xml:space="preserve"> and S2</w:t>
      </w:r>
      <w:r w:rsidR="004B4CBF">
        <w:rPr>
          <w:rFonts w:ascii="Myriad Pro" w:hAnsi="Myriad Pro"/>
          <w:sz w:val="22"/>
          <w:szCs w:val="22"/>
        </w:rPr>
        <w:t xml:space="preserve"> (also uploaded as pdfs)</w:t>
      </w:r>
    </w:p>
    <w:p w:rsidR="00947D0C" w:rsidRPr="00E40896" w:rsidRDefault="00947D0C" w:rsidP="001608CA">
      <w:pPr>
        <w:ind w:left="720"/>
        <w:jc w:val="both"/>
        <w:rPr>
          <w:rFonts w:ascii="Myriad Pro" w:hAnsi="Myriad Pro"/>
        </w:rPr>
      </w:pPr>
    </w:p>
    <w:p w:rsidR="00947D0C" w:rsidRPr="00CE6EAA" w:rsidRDefault="00947D0C" w:rsidP="001608CA">
      <w:pPr>
        <w:jc w:val="both"/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:rsidR="00947D0C" w:rsidRPr="00E40896" w:rsidRDefault="00947D0C" w:rsidP="001608CA">
      <w:pPr>
        <w:jc w:val="both"/>
        <w:rPr>
          <w:rFonts w:ascii="Myriad Pro Light" w:hAnsi="Myriad Pro Light"/>
          <w:b/>
        </w:rPr>
      </w:pPr>
    </w:p>
    <w:p w:rsidR="00947D0C" w:rsidRPr="00CE6EAA" w:rsidRDefault="007B1433" w:rsidP="001608CA">
      <w:pPr>
        <w:ind w:left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Tables S1 to S5</w:t>
      </w:r>
    </w:p>
    <w:p w:rsidR="00947D0C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b/>
          <w:bCs/>
          <w:szCs w:val="24"/>
        </w:rPr>
      </w:pPr>
    </w:p>
    <w:p w:rsidR="00947D0C" w:rsidRPr="00CE6EAA" w:rsidRDefault="00947D0C" w:rsidP="001608CA">
      <w:pPr>
        <w:spacing w:before="100" w:beforeAutospacing="1" w:after="100" w:afterAutospacing="1"/>
        <w:jc w:val="both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:rsidR="00947D0C" w:rsidRPr="00B27CAF" w:rsidRDefault="0057590F" w:rsidP="001608CA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The </w:t>
      </w:r>
      <w:r w:rsidR="00947D0C">
        <w:rPr>
          <w:rFonts w:ascii="Myriad Pro" w:hAnsi="Myriad Pro"/>
          <w:sz w:val="22"/>
          <w:szCs w:val="22"/>
        </w:rPr>
        <w:t>information incl</w:t>
      </w:r>
      <w:r>
        <w:rPr>
          <w:rFonts w:ascii="Myriad Pro" w:hAnsi="Myriad Pro"/>
          <w:sz w:val="22"/>
          <w:szCs w:val="22"/>
        </w:rPr>
        <w:t>uded in the supporting tables includes information about the composition of consistency standards,</w:t>
      </w:r>
      <w:r w:rsidR="00947D0C">
        <w:rPr>
          <w:rFonts w:ascii="Myriad Pro" w:hAnsi="Myriad Pro"/>
          <w:sz w:val="22"/>
          <w:szCs w:val="22"/>
        </w:rPr>
        <w:t xml:space="preserve"> raw elemental ratios data </w:t>
      </w:r>
      <w:r>
        <w:rPr>
          <w:rFonts w:ascii="Myriad Pro" w:hAnsi="Myriad Pro"/>
          <w:sz w:val="22"/>
          <w:szCs w:val="22"/>
        </w:rPr>
        <w:t xml:space="preserve">from the coral samples, </w:t>
      </w:r>
      <w:r w:rsidR="00947D0C">
        <w:rPr>
          <w:rFonts w:ascii="Myriad Pro" w:hAnsi="Myriad Pro"/>
          <w:sz w:val="22"/>
          <w:szCs w:val="22"/>
        </w:rPr>
        <w:t>and historic and modern temperature data</w:t>
      </w:r>
      <w:r w:rsidR="00B27CAF">
        <w:rPr>
          <w:rFonts w:ascii="Myriad Pro" w:hAnsi="Myriad Pro"/>
          <w:sz w:val="22"/>
          <w:szCs w:val="22"/>
        </w:rPr>
        <w:t xml:space="preserve"> from loggers</w:t>
      </w:r>
      <w:r>
        <w:rPr>
          <w:rFonts w:ascii="Myriad Pro" w:hAnsi="Myriad Pro"/>
          <w:sz w:val="22"/>
          <w:szCs w:val="22"/>
        </w:rPr>
        <w:t>, Reynolds,</w:t>
      </w:r>
      <w:r w:rsidR="00B93168">
        <w:rPr>
          <w:rFonts w:ascii="Myriad Pro" w:hAnsi="Myriad Pro"/>
          <w:sz w:val="22"/>
          <w:szCs w:val="22"/>
        </w:rPr>
        <w:t xml:space="preserve"> or HadISST1</w:t>
      </w:r>
      <w:r w:rsidR="00947D0C">
        <w:rPr>
          <w:rFonts w:ascii="Myriad Pro" w:hAnsi="Myriad Pro"/>
          <w:sz w:val="22"/>
          <w:szCs w:val="22"/>
        </w:rPr>
        <w:t xml:space="preserve">. The </w:t>
      </w:r>
      <w:r w:rsidR="007B1433">
        <w:rPr>
          <w:rFonts w:ascii="Myriad Pro" w:hAnsi="Myriad Pro"/>
          <w:sz w:val="22"/>
          <w:szCs w:val="22"/>
        </w:rPr>
        <w:t>raw coretop elemental and interpolated</w:t>
      </w:r>
      <w:r w:rsidR="00947D0C">
        <w:rPr>
          <w:rFonts w:ascii="Myriad Pro" w:hAnsi="Myriad Pro"/>
          <w:sz w:val="22"/>
          <w:szCs w:val="22"/>
        </w:rPr>
        <w:t xml:space="preserve"> temperature data will allow any user to recreate the calibrations generated in this study. The raw d</w:t>
      </w:r>
      <w:r w:rsidR="005E1C36">
        <w:rPr>
          <w:rFonts w:ascii="Myriad Pro" w:hAnsi="Myriad Pro"/>
          <w:sz w:val="22"/>
          <w:szCs w:val="22"/>
        </w:rPr>
        <w:t xml:space="preserve">owncore elemental data </w:t>
      </w:r>
      <w:r w:rsidR="007B1433">
        <w:rPr>
          <w:rFonts w:ascii="Myriad Pro" w:hAnsi="Myriad Pro"/>
          <w:sz w:val="22"/>
          <w:szCs w:val="22"/>
        </w:rPr>
        <w:t>(Table S4</w:t>
      </w:r>
      <w:r w:rsidR="00947D0C">
        <w:rPr>
          <w:rFonts w:ascii="Myriad Pro" w:hAnsi="Myriad Pro"/>
          <w:sz w:val="22"/>
          <w:szCs w:val="22"/>
        </w:rPr>
        <w:t>) will allow users to recreate the temperature reconstructions seen in this study, or offer the chance to test other calibrations on these historic samples, and compare such reconstructions against t</w:t>
      </w:r>
      <w:r w:rsidR="007B1433">
        <w:rPr>
          <w:rFonts w:ascii="Myriad Pro" w:hAnsi="Myriad Pro"/>
          <w:sz w:val="22"/>
          <w:szCs w:val="22"/>
        </w:rPr>
        <w:t>he HadISST compilation (Table S5</w:t>
      </w:r>
      <w:r w:rsidR="00947D0C">
        <w:rPr>
          <w:rFonts w:ascii="Myriad Pro" w:hAnsi="Myriad Pro"/>
          <w:sz w:val="22"/>
          <w:szCs w:val="22"/>
        </w:rPr>
        <w:t>).</w:t>
      </w:r>
    </w:p>
    <w:p w:rsidR="00B27CAF" w:rsidRDefault="00B27CAF" w:rsidP="001608CA">
      <w:pPr>
        <w:jc w:val="both"/>
        <w:rPr>
          <w:rFonts w:ascii="Myriad Pro" w:hAnsi="Myriad Pro"/>
          <w:sz w:val="22"/>
          <w:szCs w:val="22"/>
        </w:rPr>
      </w:pPr>
    </w:p>
    <w:p w:rsidR="00947D0C" w:rsidRPr="00B27CAF" w:rsidRDefault="00647BE2" w:rsidP="001608CA">
      <w:pPr>
        <w:jc w:val="both"/>
        <w:rPr>
          <w:rFonts w:ascii="Myriad Pro" w:hAnsi="Myriad Pro"/>
          <w:b/>
          <w:sz w:val="22"/>
          <w:szCs w:val="22"/>
        </w:rPr>
      </w:pPr>
      <w:r w:rsidRPr="00B27CAF">
        <w:rPr>
          <w:rFonts w:ascii="Myriad Pro" w:hAnsi="Myriad Pro"/>
          <w:b/>
          <w:sz w:val="22"/>
          <w:szCs w:val="22"/>
        </w:rPr>
        <w:t>Text</w:t>
      </w:r>
    </w:p>
    <w:p w:rsidR="00647BE2" w:rsidRPr="00B27CAF" w:rsidRDefault="00647BE2" w:rsidP="001608CA">
      <w:pPr>
        <w:jc w:val="both"/>
        <w:rPr>
          <w:rFonts w:ascii="Myriad Pro" w:hAnsi="Myriad Pro"/>
          <w:sz w:val="22"/>
          <w:szCs w:val="22"/>
        </w:rPr>
      </w:pPr>
    </w:p>
    <w:p w:rsidR="00647BE2" w:rsidRPr="00B27CAF" w:rsidRDefault="0065455E" w:rsidP="001608CA">
      <w:pPr>
        <w:spacing w:before="120"/>
        <w:jc w:val="both"/>
        <w:rPr>
          <w:rFonts w:ascii="Myriad Pro" w:hAnsi="Myriad Pro"/>
          <w:b/>
          <w:sz w:val="22"/>
          <w:szCs w:val="22"/>
        </w:rPr>
      </w:pPr>
      <w:r w:rsidRPr="00B27CAF">
        <w:rPr>
          <w:rFonts w:ascii="Myriad Pro" w:hAnsi="Myriad Pro"/>
          <w:b/>
          <w:sz w:val="22"/>
          <w:szCs w:val="22"/>
        </w:rPr>
        <w:t xml:space="preserve">Text </w:t>
      </w:r>
      <w:r w:rsidR="00B27CAF" w:rsidRPr="00B27CAF">
        <w:rPr>
          <w:rFonts w:ascii="Myriad Pro" w:hAnsi="Myriad Pro"/>
          <w:b/>
          <w:sz w:val="22"/>
          <w:szCs w:val="22"/>
        </w:rPr>
        <w:t>S</w:t>
      </w:r>
      <w:r w:rsidRPr="00B27CAF">
        <w:rPr>
          <w:rFonts w:ascii="Myriad Pro" w:hAnsi="Myriad Pro"/>
          <w:b/>
          <w:sz w:val="22"/>
          <w:szCs w:val="22"/>
        </w:rPr>
        <w:t>1</w:t>
      </w:r>
    </w:p>
    <w:p w:rsidR="00647BE2" w:rsidRPr="00B27CAF" w:rsidRDefault="00647BE2" w:rsidP="001608CA">
      <w:pPr>
        <w:spacing w:before="120"/>
        <w:jc w:val="both"/>
        <w:rPr>
          <w:rFonts w:ascii="Myriad Pro" w:hAnsi="Myriad Pro"/>
          <w:sz w:val="22"/>
          <w:szCs w:val="22"/>
        </w:rPr>
      </w:pPr>
      <w:r w:rsidRPr="00B27CAF">
        <w:rPr>
          <w:rFonts w:ascii="Myriad Pro" w:hAnsi="Myriad Pro"/>
          <w:sz w:val="22"/>
          <w:szCs w:val="22"/>
        </w:rPr>
        <w:t>The standard set-up for the Element ICP-MS at the University of Southampton includes an additional ammonia (NH</w:t>
      </w:r>
      <w:r w:rsidRPr="00B27CAF">
        <w:rPr>
          <w:rFonts w:ascii="Myriad Pro" w:hAnsi="Myriad Pro"/>
          <w:sz w:val="22"/>
          <w:szCs w:val="22"/>
          <w:vertAlign w:val="subscript"/>
        </w:rPr>
        <w:t>3</w:t>
      </w:r>
      <w:r w:rsidRPr="00B27CAF">
        <w:rPr>
          <w:rFonts w:ascii="Myriad Pro" w:hAnsi="Myriad Pro"/>
          <w:sz w:val="22"/>
          <w:szCs w:val="22"/>
        </w:rPr>
        <w:t>) gas introduced into the spray chamber at a flow rate of 0.07 ml min</w:t>
      </w:r>
      <w:r w:rsidRPr="00B27CAF">
        <w:rPr>
          <w:rFonts w:ascii="Myriad Pro" w:hAnsi="Myriad Pro"/>
          <w:sz w:val="22"/>
          <w:szCs w:val="22"/>
          <w:vertAlign w:val="superscript"/>
        </w:rPr>
        <w:t>-1</w:t>
      </w:r>
      <w:r w:rsidRPr="00B27CAF">
        <w:rPr>
          <w:rFonts w:ascii="Myriad Pro" w:hAnsi="Myriad Pro"/>
          <w:sz w:val="22"/>
          <w:szCs w:val="22"/>
        </w:rPr>
        <w:t xml:space="preserve"> simultaneously with the sample gas to make the internal environment more basic </w:t>
      </w:r>
      <w:r w:rsidRPr="00B27CAF">
        <w:rPr>
          <w:rFonts w:ascii="Myriad Pro" w:hAnsi="Myriad Pro"/>
          <w:sz w:val="22"/>
          <w:szCs w:val="22"/>
        </w:rPr>
        <w:fldChar w:fldCharType="begin"/>
      </w:r>
      <w:r w:rsidR="000301C7">
        <w:rPr>
          <w:rFonts w:ascii="Myriad Pro" w:hAnsi="Myriad Pro"/>
          <w:sz w:val="22"/>
          <w:szCs w:val="22"/>
        </w:rPr>
        <w:instrText xml:space="preserve"> ADDIN EN.CITE &lt;EndNote&gt;&lt;Cite&gt;&lt;Author&gt;Ni&lt;/Author&gt;&lt;Year&gt;2006&lt;/Year&gt;&lt;RecNum&gt;200&lt;/RecNum&gt;&lt;DisplayText&gt;[&lt;style face="italic"&gt;Al-Ammar et al.&lt;/style&gt;, 2000; &lt;style face="italic"&gt;Ni&lt;/style&gt;, 2006]&lt;/DisplayText&gt;&lt;record&gt;&lt;rec-number&gt;200&lt;/rec-number&gt;&lt;foreign-keys&gt;&lt;key app="EN" db-id="0awz050v8aaaa4ewfervev90025xtpvftefw" timestamp="1405608187"&gt;200&lt;/key&gt;&lt;/foreign-keys&gt;&lt;ref-type name="Thesis"&gt;32&lt;/ref-type&gt;&lt;contributors&gt;&lt;authors&gt;&lt;author&gt;Ni, Yunyan&lt;/author&gt;&lt;/authors&gt;&lt;/contributors&gt;&lt;titles&gt;&lt;title&gt;Evaluation of boron isotopes and trace abundances in planktonic foraminifers as palaeo-oceanographic proxies&lt;/title&gt;&lt;secondary-title&gt;Department of Earth Sciences&lt;/secondary-title&gt;&lt;/titles&gt;&lt;pages&gt;217&lt;/pages&gt;&lt;volume&gt;PhD&lt;/volume&gt;&lt;dates&gt;&lt;year&gt;2006&lt;/year&gt;&lt;pub-dates&gt;&lt;date&gt;June 2006&lt;/date&gt;&lt;/pub-dates&gt;&lt;/dates&gt;&lt;pub-location&gt;University of Bristol&lt;/pub-location&gt;&lt;publisher&gt;University of Bristol&lt;/publisher&gt;&lt;urls&gt;&lt;/urls&gt;&lt;/record&gt;&lt;/Cite&gt;&lt;Cite&gt;&lt;Author&gt;Al-Ammar&lt;/Author&gt;&lt;Year&gt;2000&lt;/Year&gt;&lt;RecNum&gt;199&lt;/RecNum&gt;&lt;record&gt;&lt;rec-number&gt;199&lt;/rec-number&gt;&lt;foreign-keys&gt;&lt;key app="EN" db-id="0awz050v8aaaa4ewfervev90025xtpvftefw" timestamp="1405606569"&gt;199&lt;/key&gt;&lt;/foreign-keys&gt;&lt;ref-type name="Journal Article"&gt;17&lt;/ref-type&gt;&lt;contributors&gt;&lt;authors&gt;&lt;author&gt;Al-Ammar, Assad S. &lt;/author&gt;&lt;author&gt;Gupta, Rajesh K.&lt;/author&gt;&lt;author&gt;Barnes, Ramon M.&lt;/author&gt;&lt;/authors&gt;&lt;/contributors&gt;&lt;titles&gt;&lt;title&gt;Elimination of boron memory effect in inductively coupled plasma-mass spectrometry by ammonia gas injection into the spray chamber during analysis&lt;/title&gt;&lt;secondary-title&gt;Spectrochimica Acta Part B&lt;/secondary-title&gt;&lt;/titles&gt;&lt;pages&gt;629-635&lt;/pages&gt;&lt;volume&gt;55&lt;/volume&gt;&lt;section&gt;629&lt;/section&gt;&lt;dates&gt;&lt;year&gt;2000&lt;/year&gt;&lt;/dates&gt;&lt;urls&gt;&lt;/urls&gt;&lt;/record&gt;&lt;/Cite&gt;&lt;/EndNote&gt;</w:instrText>
      </w:r>
      <w:r w:rsidRPr="00B27CAF">
        <w:rPr>
          <w:rFonts w:ascii="Myriad Pro" w:hAnsi="Myriad Pro"/>
          <w:sz w:val="22"/>
          <w:szCs w:val="22"/>
        </w:rPr>
        <w:fldChar w:fldCharType="separate"/>
      </w:r>
      <w:r w:rsidRPr="00B27CAF">
        <w:rPr>
          <w:rFonts w:ascii="Myriad Pro" w:hAnsi="Myriad Pro"/>
          <w:noProof/>
          <w:sz w:val="22"/>
          <w:szCs w:val="22"/>
        </w:rPr>
        <w:t>[</w:t>
      </w:r>
      <w:r w:rsidRPr="00B27CAF">
        <w:rPr>
          <w:rFonts w:ascii="Myriad Pro" w:hAnsi="Myriad Pro"/>
          <w:i/>
          <w:noProof/>
          <w:sz w:val="22"/>
          <w:szCs w:val="22"/>
        </w:rPr>
        <w:t>Al-Ammar et al.</w:t>
      </w:r>
      <w:r w:rsidRPr="00B27CAF">
        <w:rPr>
          <w:rFonts w:ascii="Myriad Pro" w:hAnsi="Myriad Pro"/>
          <w:noProof/>
          <w:sz w:val="22"/>
          <w:szCs w:val="22"/>
        </w:rPr>
        <w:t xml:space="preserve">, 2000; </w:t>
      </w:r>
      <w:r w:rsidRPr="00B27CAF">
        <w:rPr>
          <w:rFonts w:ascii="Myriad Pro" w:hAnsi="Myriad Pro"/>
          <w:i/>
          <w:noProof/>
          <w:sz w:val="22"/>
          <w:szCs w:val="22"/>
        </w:rPr>
        <w:t>Ni</w:t>
      </w:r>
      <w:r w:rsidRPr="00B27CAF">
        <w:rPr>
          <w:rFonts w:ascii="Myriad Pro" w:hAnsi="Myriad Pro"/>
          <w:noProof/>
          <w:sz w:val="22"/>
          <w:szCs w:val="22"/>
        </w:rPr>
        <w:t>, 2006]</w:t>
      </w:r>
      <w:r w:rsidRPr="00B27CAF">
        <w:rPr>
          <w:rFonts w:ascii="Myriad Pro" w:hAnsi="Myriad Pro"/>
          <w:sz w:val="22"/>
          <w:szCs w:val="22"/>
        </w:rPr>
        <w:fldChar w:fldCharType="end"/>
      </w:r>
      <w:r w:rsidRPr="00B27CAF">
        <w:rPr>
          <w:rFonts w:ascii="Myriad Pro" w:hAnsi="Myriad Pro"/>
          <w:sz w:val="22"/>
          <w:szCs w:val="22"/>
        </w:rPr>
        <w:t xml:space="preserve">. This is necessary for obtaining precise, reproducible B/Ca ratios (although these are not the subject of this particular study) by facilitating instrumental B-wash out </w:t>
      </w:r>
      <w:r w:rsidRPr="00B27CAF">
        <w:rPr>
          <w:rFonts w:ascii="Myriad Pro" w:hAnsi="Myriad Pro"/>
          <w:sz w:val="22"/>
          <w:szCs w:val="22"/>
        </w:rPr>
        <w:fldChar w:fldCharType="begin"/>
      </w:r>
      <w:r w:rsidR="000301C7">
        <w:rPr>
          <w:rFonts w:ascii="Myriad Pro" w:hAnsi="Myriad Pro"/>
          <w:sz w:val="22"/>
          <w:szCs w:val="22"/>
        </w:rPr>
        <w:instrText xml:space="preserve"> ADDIN EN.CITE &lt;EndNote&gt;&lt;Cite&gt;&lt;Author&gt;Al-Ammar&lt;/Author&gt;&lt;Year&gt;2000&lt;/Year&gt;&lt;RecNum&gt;199&lt;/RecNum&gt;&lt;DisplayText&gt;[&lt;style face="italic"&gt;Al-Ammar et al.&lt;/style&gt;, 2000; &lt;style face="italic"&gt;Ni&lt;/style&gt;, 2006]&lt;/DisplayText&gt;&lt;record&gt;&lt;rec-number&gt;199&lt;/rec-number&gt;&lt;foreign-keys&gt;&lt;key app="EN" db-id="0awz050v8aaaa4ewfervev90025xtpvftefw" timestamp="1405606569"&gt;199&lt;/key&gt;&lt;/foreign-keys&gt;&lt;ref-type name="Journal Article"&gt;17&lt;/ref-type&gt;&lt;contributors&gt;&lt;authors&gt;&lt;author&gt;Al-Ammar, Assad S. &lt;/author&gt;&lt;author&gt;Gupta, Rajesh K.&lt;/author&gt;&lt;author&gt;Barnes, Ramon M.&lt;/author&gt;&lt;/authors&gt;&lt;/contributors&gt;&lt;titles&gt;&lt;title&gt;Elimination of boron memory effect in inductively coupled plasma-mass spectrometry by ammonia gas injection into the spray chamber during analysis&lt;/title&gt;&lt;secondary-title&gt;Spectrochimica Acta Part B&lt;/secondary-title&gt;&lt;/titles&gt;&lt;pages&gt;629-635&lt;/pages&gt;&lt;volume&gt;55&lt;/volume&gt;&lt;section&gt;629&lt;/section&gt;&lt;dates&gt;&lt;year&gt;2000&lt;/year&gt;&lt;/dates&gt;&lt;urls&gt;&lt;/urls&gt;&lt;/record&gt;&lt;/Cite&gt;&lt;Cite&gt;&lt;Author&gt;Ni&lt;/Author&gt;&lt;Year&gt;2006&lt;/Year&gt;&lt;RecNum&gt;200&lt;/RecNum&gt;&lt;record&gt;&lt;rec-number&gt;200&lt;/rec-number&gt;&lt;foreign-keys&gt;&lt;key app="EN" db-id="0awz050v8aaaa4ewfervev90025xtpvftefw" timestamp="1405608187"&gt;200&lt;/key&gt;&lt;/foreign-keys&gt;&lt;ref-type name="Thesis"&gt;32&lt;/ref-type&gt;&lt;contributors&gt;&lt;authors&gt;&lt;author&gt;Ni, Yunyan&lt;/author&gt;&lt;/authors&gt;&lt;/contributors&gt;&lt;titles&gt;&lt;title&gt;Evaluation of boron isotopes and trace abundances in planktonic foraminifers as palaeo-oceanographic proxies&lt;/title&gt;&lt;secondary-title&gt;Department of Earth Sciences&lt;/secondary-title&gt;&lt;/titles&gt;&lt;pages&gt;217&lt;/pages&gt;&lt;volume&gt;PhD&lt;/volume&gt;&lt;dates&gt;&lt;year&gt;2006&lt;/year&gt;&lt;pub-dates&gt;&lt;date&gt;June 2006&lt;/date&gt;&lt;/pub-dates&gt;&lt;/dates&gt;&lt;pub-location&gt;University of Bristol&lt;/pub-location&gt;&lt;publisher&gt;University of Bristol&lt;/publisher&gt;&lt;urls&gt;&lt;/urls&gt;&lt;/record&gt;&lt;/Cite&gt;&lt;/EndNote&gt;</w:instrText>
      </w:r>
      <w:r w:rsidRPr="00B27CAF">
        <w:rPr>
          <w:rFonts w:ascii="Myriad Pro" w:hAnsi="Myriad Pro"/>
          <w:sz w:val="22"/>
          <w:szCs w:val="22"/>
        </w:rPr>
        <w:fldChar w:fldCharType="separate"/>
      </w:r>
      <w:r w:rsidRPr="00B27CAF">
        <w:rPr>
          <w:rFonts w:ascii="Myriad Pro" w:hAnsi="Myriad Pro"/>
          <w:noProof/>
          <w:sz w:val="22"/>
          <w:szCs w:val="22"/>
        </w:rPr>
        <w:t>[</w:t>
      </w:r>
      <w:r w:rsidRPr="00B27CAF">
        <w:rPr>
          <w:rFonts w:ascii="Myriad Pro" w:hAnsi="Myriad Pro"/>
          <w:i/>
          <w:noProof/>
          <w:sz w:val="22"/>
          <w:szCs w:val="22"/>
        </w:rPr>
        <w:t>Al-Ammar et al.</w:t>
      </w:r>
      <w:r w:rsidRPr="00B27CAF">
        <w:rPr>
          <w:rFonts w:ascii="Myriad Pro" w:hAnsi="Myriad Pro"/>
          <w:noProof/>
          <w:sz w:val="22"/>
          <w:szCs w:val="22"/>
        </w:rPr>
        <w:t xml:space="preserve">, 2000; </w:t>
      </w:r>
      <w:r w:rsidRPr="00B27CAF">
        <w:rPr>
          <w:rFonts w:ascii="Myriad Pro" w:hAnsi="Myriad Pro"/>
          <w:i/>
          <w:noProof/>
          <w:sz w:val="22"/>
          <w:szCs w:val="22"/>
        </w:rPr>
        <w:t>Ni</w:t>
      </w:r>
      <w:r w:rsidRPr="00B27CAF">
        <w:rPr>
          <w:rFonts w:ascii="Myriad Pro" w:hAnsi="Myriad Pro"/>
          <w:noProof/>
          <w:sz w:val="22"/>
          <w:szCs w:val="22"/>
        </w:rPr>
        <w:t>, 2006]</w:t>
      </w:r>
      <w:r w:rsidRPr="00B27CAF">
        <w:rPr>
          <w:rFonts w:ascii="Myriad Pro" w:hAnsi="Myriad Pro"/>
          <w:sz w:val="22"/>
          <w:szCs w:val="22"/>
        </w:rPr>
        <w:fldChar w:fldCharType="end"/>
      </w:r>
      <w:r w:rsidRPr="00B27CAF">
        <w:rPr>
          <w:rFonts w:ascii="Myriad Pro" w:hAnsi="Myriad Pro"/>
          <w:sz w:val="22"/>
          <w:szCs w:val="22"/>
        </w:rPr>
        <w:t xml:space="preserve">. </w:t>
      </w:r>
    </w:p>
    <w:p w:rsidR="00647BE2" w:rsidRDefault="00647BE2" w:rsidP="001608CA">
      <w:pPr>
        <w:spacing w:before="120"/>
        <w:ind w:firstLine="720"/>
        <w:jc w:val="both"/>
        <w:rPr>
          <w:rFonts w:ascii="Myriad Pro" w:hAnsi="Myriad Pro"/>
          <w:sz w:val="22"/>
          <w:szCs w:val="22"/>
        </w:rPr>
      </w:pPr>
      <w:r w:rsidRPr="00B27CAF">
        <w:rPr>
          <w:rFonts w:ascii="Myriad Pro" w:hAnsi="Myriad Pro"/>
          <w:sz w:val="22"/>
          <w:szCs w:val="22"/>
        </w:rPr>
        <w:t>Whilst the addition of NH</w:t>
      </w:r>
      <w:r w:rsidRPr="00B27CAF">
        <w:rPr>
          <w:rFonts w:ascii="Myriad Pro" w:hAnsi="Myriad Pro"/>
          <w:sz w:val="22"/>
          <w:szCs w:val="22"/>
          <w:vertAlign w:val="subscript"/>
        </w:rPr>
        <w:t>3</w:t>
      </w:r>
      <w:r w:rsidRPr="00B27CAF">
        <w:rPr>
          <w:rFonts w:ascii="Myriad Pro" w:hAnsi="Myriad Pro"/>
          <w:sz w:val="22"/>
          <w:szCs w:val="22"/>
        </w:rPr>
        <w:t xml:space="preserve"> gas improves the B-washout it introduces an additional interference on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 xml:space="preserve">Li by </w:t>
      </w:r>
      <w:r w:rsidRPr="00B27CAF">
        <w:rPr>
          <w:rFonts w:ascii="Myriad Pro" w:hAnsi="Myriad Pro"/>
          <w:sz w:val="22"/>
          <w:szCs w:val="22"/>
          <w:vertAlign w:val="superscript"/>
        </w:rPr>
        <w:t>14</w:t>
      </w:r>
      <w:r w:rsidRPr="00B27CAF">
        <w:rPr>
          <w:rFonts w:ascii="Myriad Pro" w:hAnsi="Myriad Pro"/>
          <w:sz w:val="22"/>
          <w:szCs w:val="22"/>
        </w:rPr>
        <w:t>N</w:t>
      </w:r>
      <w:r w:rsidRPr="00B27CAF">
        <w:rPr>
          <w:rFonts w:ascii="Myriad Pro" w:hAnsi="Myriad Pro"/>
          <w:sz w:val="22"/>
          <w:szCs w:val="22"/>
          <w:vertAlign w:val="superscript"/>
        </w:rPr>
        <w:t>++</w:t>
      </w:r>
      <w:r w:rsidRPr="00B27CAF">
        <w:rPr>
          <w:rFonts w:ascii="Myriad Pro" w:hAnsi="Myriad Pro"/>
          <w:sz w:val="22"/>
          <w:szCs w:val="22"/>
        </w:rPr>
        <w:t xml:space="preserve">. This however can be adequately resolved in low resolution mode by moving the analyte mass window to focus on a section of the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>Li</w:t>
      </w:r>
      <w:r w:rsidRPr="00B27CAF">
        <w:rPr>
          <w:rFonts w:ascii="Myriad Pro" w:hAnsi="Myriad Pro"/>
          <w:sz w:val="22"/>
          <w:szCs w:val="22"/>
          <w:vertAlign w:val="superscript"/>
        </w:rPr>
        <w:t>+</w:t>
      </w:r>
      <w:r w:rsidRPr="00B27CAF">
        <w:rPr>
          <w:rFonts w:ascii="Myriad Pro" w:hAnsi="Myriad Pro"/>
          <w:sz w:val="22"/>
          <w:szCs w:val="22"/>
        </w:rPr>
        <w:t xml:space="preserve"> peak where the interference is reduced. The peak center was chosen to be a mass (typically ~7.015 amu) which would allow for some minor drift (</w:t>
      </w:r>
      <w:r w:rsidR="002530EF">
        <w:rPr>
          <w:rFonts w:ascii="Myriad Pro" w:hAnsi="Myriad Pro"/>
          <w:sz w:val="22"/>
          <w:szCs w:val="22"/>
        </w:rPr>
        <w:t>Figure S1</w:t>
      </w:r>
      <w:r w:rsidRPr="00B27CAF">
        <w:rPr>
          <w:rFonts w:ascii="Myriad Pro" w:hAnsi="Myriad Pro"/>
          <w:sz w:val="22"/>
          <w:szCs w:val="22"/>
        </w:rPr>
        <w:t xml:space="preserve">).  Combined with careful background determination this ensured a minimal impact of </w:t>
      </w:r>
      <w:r w:rsidRPr="00B27CAF">
        <w:rPr>
          <w:rFonts w:ascii="Myriad Pro" w:hAnsi="Myriad Pro"/>
          <w:sz w:val="22"/>
          <w:szCs w:val="22"/>
          <w:vertAlign w:val="superscript"/>
        </w:rPr>
        <w:t>14</w:t>
      </w:r>
      <w:r w:rsidRPr="00B27CAF">
        <w:rPr>
          <w:rFonts w:ascii="Myriad Pro" w:hAnsi="Myriad Pro"/>
          <w:sz w:val="22"/>
          <w:szCs w:val="22"/>
        </w:rPr>
        <w:t>N</w:t>
      </w:r>
      <w:r w:rsidRPr="00B27CAF">
        <w:rPr>
          <w:rFonts w:ascii="Myriad Pro" w:hAnsi="Myriad Pro"/>
          <w:sz w:val="22"/>
          <w:szCs w:val="22"/>
          <w:vertAlign w:val="superscript"/>
        </w:rPr>
        <w:t>++</w:t>
      </w:r>
      <w:r w:rsidRPr="00B27CAF">
        <w:rPr>
          <w:rFonts w:ascii="Myriad Pro" w:hAnsi="Myriad Pro"/>
          <w:sz w:val="22"/>
          <w:szCs w:val="22"/>
        </w:rPr>
        <w:t xml:space="preserve"> on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 xml:space="preserve">Li. </w:t>
      </w:r>
    </w:p>
    <w:p w:rsidR="000301C7" w:rsidRDefault="000301C7" w:rsidP="001608CA">
      <w:pPr>
        <w:spacing w:before="120"/>
        <w:jc w:val="both"/>
        <w:rPr>
          <w:rFonts w:ascii="Myriad Pro" w:hAnsi="Myriad Pro"/>
          <w:sz w:val="22"/>
          <w:szCs w:val="22"/>
        </w:rPr>
      </w:pPr>
    </w:p>
    <w:p w:rsidR="000301C7" w:rsidRPr="00B27CAF" w:rsidRDefault="000301C7" w:rsidP="001608CA">
      <w:pPr>
        <w:spacing w:before="120"/>
        <w:jc w:val="both"/>
        <w:rPr>
          <w:rFonts w:ascii="Myriad Pro" w:hAnsi="Myriad Pro"/>
          <w:b/>
          <w:sz w:val="22"/>
          <w:szCs w:val="22"/>
        </w:rPr>
      </w:pPr>
      <w:r w:rsidRPr="00B27CAF">
        <w:rPr>
          <w:rFonts w:ascii="Myriad Pro" w:hAnsi="Myriad Pro"/>
          <w:b/>
          <w:sz w:val="22"/>
          <w:szCs w:val="22"/>
        </w:rPr>
        <w:t>Text S</w:t>
      </w:r>
      <w:r w:rsidR="00C57232">
        <w:rPr>
          <w:rFonts w:ascii="Myriad Pro" w:hAnsi="Myriad Pro"/>
          <w:b/>
          <w:sz w:val="22"/>
          <w:szCs w:val="22"/>
        </w:rPr>
        <w:t>2</w:t>
      </w:r>
    </w:p>
    <w:p w:rsidR="00C57232" w:rsidRPr="00B27CAF" w:rsidRDefault="00C57232" w:rsidP="001608CA">
      <w:p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To determine if </w:t>
      </w:r>
      <w:r w:rsidR="00AD535D">
        <w:rPr>
          <w:rFonts w:ascii="Myriad Pro" w:hAnsi="Myriad Pro"/>
          <w:sz w:val="22"/>
          <w:szCs w:val="22"/>
        </w:rPr>
        <w:t>our</w:t>
      </w:r>
      <w:r>
        <w:rPr>
          <w:rFonts w:ascii="Myriad Pro" w:hAnsi="Myriad Pro"/>
          <w:sz w:val="22"/>
          <w:szCs w:val="22"/>
        </w:rPr>
        <w:t xml:space="preserve"> cleaning protocol alters the trace element ratios</w:t>
      </w:r>
      <w:r w:rsidR="00AD535D">
        <w:rPr>
          <w:rFonts w:ascii="Myriad Pro" w:hAnsi="Myriad Pro"/>
          <w:sz w:val="22"/>
          <w:szCs w:val="22"/>
        </w:rPr>
        <w:t xml:space="preserve"> of coral</w:t>
      </w:r>
      <w:r>
        <w:rPr>
          <w:rFonts w:ascii="Myriad Pro" w:hAnsi="Myriad Pro"/>
          <w:sz w:val="22"/>
          <w:szCs w:val="22"/>
        </w:rPr>
        <w:t xml:space="preserve">, a cleaning test was performed on JCp. Four </w:t>
      </w:r>
      <w:r w:rsidR="004043DB">
        <w:rPr>
          <w:rFonts w:ascii="Myriad Pro" w:hAnsi="Myriad Pro"/>
          <w:sz w:val="22"/>
          <w:szCs w:val="22"/>
        </w:rPr>
        <w:t xml:space="preserve">5 mg </w:t>
      </w:r>
      <w:r>
        <w:rPr>
          <w:rFonts w:ascii="Myriad Pro" w:hAnsi="Myriad Pro"/>
          <w:sz w:val="22"/>
          <w:szCs w:val="22"/>
        </w:rPr>
        <w:t>samples of JCp were subjected to the full coral cleaning procedure (</w:t>
      </w:r>
      <w:r w:rsidRPr="004B4CBF">
        <w:rPr>
          <w:rFonts w:ascii="Myriad Pro" w:hAnsi="Myriad Pro"/>
          <w:sz w:val="22"/>
          <w:szCs w:val="22"/>
        </w:rPr>
        <w:t>section 2.3.2),</w:t>
      </w:r>
      <w:r>
        <w:rPr>
          <w:rFonts w:ascii="Myriad Pro" w:hAnsi="Myriad Pro"/>
          <w:sz w:val="22"/>
          <w:szCs w:val="22"/>
        </w:rPr>
        <w:t xml:space="preserve"> and</w:t>
      </w:r>
      <w:r w:rsidR="00FE1D6A">
        <w:rPr>
          <w:rFonts w:ascii="Myriad Pro" w:hAnsi="Myriad Pro"/>
          <w:sz w:val="22"/>
          <w:szCs w:val="22"/>
        </w:rPr>
        <w:t xml:space="preserve"> </w:t>
      </w:r>
      <w:r w:rsidR="00FE1D6A">
        <w:rPr>
          <w:rFonts w:ascii="Myriad Pro" w:hAnsi="Myriad Pro"/>
          <w:sz w:val="22"/>
          <w:szCs w:val="22"/>
        </w:rPr>
        <w:t>an additional</w:t>
      </w:r>
      <w:r>
        <w:rPr>
          <w:rFonts w:ascii="Myriad Pro" w:hAnsi="Myriad Pro"/>
          <w:sz w:val="22"/>
          <w:szCs w:val="22"/>
        </w:rPr>
        <w:t xml:space="preserve"> four </w:t>
      </w:r>
      <w:r w:rsidR="004043DB">
        <w:rPr>
          <w:rFonts w:ascii="Myriad Pro" w:hAnsi="Myriad Pro"/>
          <w:sz w:val="22"/>
          <w:szCs w:val="22"/>
        </w:rPr>
        <w:t xml:space="preserve">5 mg </w:t>
      </w:r>
      <w:r>
        <w:rPr>
          <w:rFonts w:ascii="Myriad Pro" w:hAnsi="Myriad Pro"/>
          <w:sz w:val="22"/>
          <w:szCs w:val="22"/>
        </w:rPr>
        <w:t>samples were directly dissolved in 0.5 M HNO</w:t>
      </w:r>
      <w:r w:rsidRPr="007B1433">
        <w:rPr>
          <w:rFonts w:ascii="Myriad Pro" w:hAnsi="Myriad Pro"/>
          <w:sz w:val="22"/>
          <w:szCs w:val="22"/>
          <w:vertAlign w:val="subscript"/>
        </w:rPr>
        <w:t>3</w:t>
      </w:r>
      <w:r>
        <w:rPr>
          <w:rFonts w:ascii="Myriad Pro" w:hAnsi="Myriad Pro"/>
          <w:sz w:val="22"/>
          <w:szCs w:val="22"/>
        </w:rPr>
        <w:t xml:space="preserve">. The trace elemental </w:t>
      </w:r>
      <w:r w:rsidR="004043DB">
        <w:rPr>
          <w:rFonts w:ascii="Myriad Pro" w:hAnsi="Myriad Pro"/>
          <w:sz w:val="22"/>
          <w:szCs w:val="22"/>
        </w:rPr>
        <w:t>composition of these samples were</w:t>
      </w:r>
      <w:r>
        <w:rPr>
          <w:rFonts w:ascii="Myriad Pro" w:hAnsi="Myriad Pro"/>
          <w:sz w:val="22"/>
          <w:szCs w:val="22"/>
        </w:rPr>
        <w:t xml:space="preserve"> determined using the Element ICP-MS (</w:t>
      </w:r>
      <w:r w:rsidRPr="004B4CBF">
        <w:rPr>
          <w:rFonts w:ascii="Myriad Pro" w:hAnsi="Myriad Pro"/>
          <w:sz w:val="22"/>
          <w:szCs w:val="22"/>
        </w:rPr>
        <w:t>section 2.3.</w:t>
      </w:r>
      <w:r w:rsidR="004B4CBF">
        <w:rPr>
          <w:rFonts w:ascii="Myriad Pro" w:hAnsi="Myriad Pro"/>
          <w:sz w:val="22"/>
          <w:szCs w:val="22"/>
        </w:rPr>
        <w:t>3</w:t>
      </w:r>
      <w:r w:rsidRPr="004B4CBF">
        <w:rPr>
          <w:rFonts w:ascii="Myriad Pro" w:hAnsi="Myriad Pro"/>
          <w:sz w:val="22"/>
          <w:szCs w:val="22"/>
        </w:rPr>
        <w:t>),</w:t>
      </w:r>
      <w:r>
        <w:rPr>
          <w:rFonts w:ascii="Myriad Pro" w:hAnsi="Myriad Pro"/>
          <w:sz w:val="22"/>
          <w:szCs w:val="22"/>
        </w:rPr>
        <w:t xml:space="preserve"> and bracketed against the external standard BSGS </w:t>
      </w:r>
      <w:r>
        <w:rPr>
          <w:rFonts w:ascii="Myriad Pro" w:hAnsi="Myriad Pro"/>
          <w:sz w:val="22"/>
          <w:szCs w:val="22"/>
        </w:rPr>
        <w:fldChar w:fldCharType="begin"/>
      </w:r>
      <w:r>
        <w:rPr>
          <w:rFonts w:ascii="Myriad Pro" w:hAnsi="Myriad Pro"/>
          <w:sz w:val="22"/>
          <w:szCs w:val="22"/>
        </w:rPr>
        <w:instrText xml:space="preserve"> ADDIN EN.CITE &lt;EndNote&gt;&lt;Cite&gt;&lt;Author&gt;Ni&lt;/Author&gt;&lt;Year&gt;2006&lt;/Year&gt;&lt;RecNum&gt;200&lt;/RecNum&gt;&lt;DisplayText&gt;[&lt;style face="italic"&gt;Ni&lt;/style&gt;, 2006; &lt;style face="italic"&gt;Ni et al.&lt;/style&gt;, 2007]&lt;/DisplayText&gt;&lt;record&gt;&lt;rec-number&gt;200&lt;/rec-number&gt;&lt;foreign-keys&gt;&lt;key app="EN" db-id="0awz050v8aaaa4ewfervev90025xtpvftefw" timestamp="1405608187"&gt;200&lt;/key&gt;&lt;/foreign-keys&gt;&lt;ref-type name="Thesis"&gt;32&lt;/ref-type&gt;&lt;contributors&gt;&lt;authors&gt;&lt;author&gt;Ni, Yunyan&lt;/author&gt;&lt;/authors&gt;&lt;/contributors&gt;&lt;titles&gt;&lt;title&gt;Evaluation of boron isotopes and trace abundances in planktonic foraminifers as palaeo-oceanographic proxies&lt;/title&gt;&lt;secondary-title&gt;Department of Earth Sciences&lt;/secondary-title&gt;&lt;/titles&gt;&lt;pages&gt;217&lt;/pages&gt;&lt;volume&gt;PhD&lt;/volume&gt;&lt;dates&gt;&lt;year&gt;2006&lt;/year&gt;&lt;pub-dates&gt;&lt;date&gt;June 2006&lt;/date&gt;&lt;/pub-dates&gt;&lt;/dates&gt;&lt;pub-location&gt;University of Bristol&lt;/pub-location&gt;&lt;publisher&gt;University of Bristol&lt;/publisher&gt;&lt;urls&gt;&lt;/urls&gt;&lt;/record&gt;&lt;/Cite&gt;&lt;Cite&gt;&lt;Author&gt;Ni&lt;/Author&gt;&lt;Year&gt;2007&lt;/Year&gt;&lt;RecNum&gt;343&lt;/RecNum&gt;&lt;record&gt;&lt;rec-number&gt;343&lt;/rec-number&gt;&lt;foreign-keys&gt;&lt;key app="EN" db-id="0awz050v8aaaa4ewfervev90025xtpvftefw" timestamp="1460109410"&gt;343&lt;/key&gt;&lt;/foreign-keys&gt;&lt;ref-type name="Journal Article"&gt;17&lt;/ref-type&gt;&lt;contributors&gt;&lt;authors&gt;&lt;author&gt;Ni, Yunyan&lt;/author&gt;&lt;author&gt;Foster, Gavin L&lt;/author&gt;&lt;author&gt;Bailey, Trevor&lt;/author&gt;&lt;author&gt;Elliott, Tim&lt;/author&gt;&lt;author&gt;Schmidt, Daniela N&lt;/author&gt;&lt;author&gt;Pearson, Paul&lt;/author&gt;&lt;author&gt;Haley, Brian&lt;/author&gt;&lt;author&gt;Coath, Chris&lt;/author&gt;&lt;/authors&gt;&lt;/contributors&gt;&lt;titles&gt;&lt;title&gt;A core top assessment of proxies for the ocean carbonate system in surface‐dwelling foraminifers&lt;/title&gt;&lt;secondary-title&gt;Paleoceanography&lt;/secondary-title&gt;&lt;/titles&gt;&lt;periodical&gt;&lt;full-title&gt;Paleoceanography&lt;/full-title&gt;&lt;abbr-1&gt;Paleoceanography&lt;/abbr-1&gt;&lt;abbr-2&gt;Paleoceanography&lt;/abbr-2&gt;&lt;/periodical&gt;&lt;volume&gt;22&lt;/volume&gt;&lt;number&gt;3&lt;/number&gt;&lt;dates&gt;&lt;year&gt;2007&lt;/year&gt;&lt;/dates&gt;&lt;isbn&gt;1944-9186&lt;/isbn&gt;&lt;urls&gt;&lt;/urls&gt;&lt;/record&gt;&lt;/Cite&gt;&lt;/EndNote&gt;</w:instrText>
      </w:r>
      <w:r>
        <w:rPr>
          <w:rFonts w:ascii="Myriad Pro" w:hAnsi="Myriad Pro"/>
          <w:sz w:val="22"/>
          <w:szCs w:val="22"/>
        </w:rPr>
        <w:fldChar w:fldCharType="separate"/>
      </w:r>
      <w:r>
        <w:rPr>
          <w:rFonts w:ascii="Myriad Pro" w:hAnsi="Myriad Pro"/>
          <w:noProof/>
          <w:sz w:val="22"/>
          <w:szCs w:val="22"/>
        </w:rPr>
        <w:t>[</w:t>
      </w:r>
      <w:r w:rsidRPr="000301C7">
        <w:rPr>
          <w:rFonts w:ascii="Myriad Pro" w:hAnsi="Myriad Pro"/>
          <w:i/>
          <w:noProof/>
          <w:sz w:val="22"/>
          <w:szCs w:val="22"/>
        </w:rPr>
        <w:t>Ni</w:t>
      </w:r>
      <w:r>
        <w:rPr>
          <w:rFonts w:ascii="Myriad Pro" w:hAnsi="Myriad Pro"/>
          <w:noProof/>
          <w:sz w:val="22"/>
          <w:szCs w:val="22"/>
        </w:rPr>
        <w:t xml:space="preserve">, 2006; </w:t>
      </w:r>
      <w:r w:rsidRPr="000301C7">
        <w:rPr>
          <w:rFonts w:ascii="Myriad Pro" w:hAnsi="Myriad Pro"/>
          <w:i/>
          <w:noProof/>
          <w:sz w:val="22"/>
          <w:szCs w:val="22"/>
        </w:rPr>
        <w:t>Ni et al.</w:t>
      </w:r>
      <w:r>
        <w:rPr>
          <w:rFonts w:ascii="Myriad Pro" w:hAnsi="Myriad Pro"/>
          <w:noProof/>
          <w:sz w:val="22"/>
          <w:szCs w:val="22"/>
        </w:rPr>
        <w:t>, 2007]</w:t>
      </w:r>
      <w:r>
        <w:rPr>
          <w:rFonts w:ascii="Myriad Pro" w:hAnsi="Myriad Pro"/>
          <w:sz w:val="22"/>
          <w:szCs w:val="22"/>
        </w:rPr>
        <w:fldChar w:fldCharType="end"/>
      </w:r>
      <w:r>
        <w:rPr>
          <w:rFonts w:ascii="Myriad Pro" w:hAnsi="Myriad Pro"/>
          <w:sz w:val="22"/>
          <w:szCs w:val="22"/>
        </w:rPr>
        <w:t>. To correct for th</w:t>
      </w:r>
      <w:r w:rsidR="00AD535D">
        <w:rPr>
          <w:rFonts w:ascii="Myriad Pro" w:hAnsi="Myriad Pro"/>
          <w:sz w:val="22"/>
          <w:szCs w:val="22"/>
        </w:rPr>
        <w:t xml:space="preserve">e mean difference between JCp bracketed against BSGS or the external standard used </w:t>
      </w:r>
      <w:r w:rsidR="004043DB">
        <w:rPr>
          <w:rFonts w:ascii="Myriad Pro" w:hAnsi="Myriad Pro"/>
          <w:sz w:val="22"/>
          <w:szCs w:val="22"/>
        </w:rPr>
        <w:t>in this study, the</w:t>
      </w:r>
      <w:r w:rsidR="00AD535D">
        <w:rPr>
          <w:rFonts w:ascii="Myriad Pro" w:hAnsi="Myriad Pro"/>
          <w:sz w:val="22"/>
          <w:szCs w:val="22"/>
        </w:rPr>
        <w:t xml:space="preserve"> Li/Ca and Mg/Ca ratios were decreased by 3.6% and 6.12% respectively, and the Li/Mg and Sr/Ca ratios were increased by 3.42% and 0.79% respectively.</w:t>
      </w:r>
      <w:r w:rsidR="003851BB">
        <w:rPr>
          <w:rFonts w:ascii="Myriad Pro" w:hAnsi="Myriad Pro"/>
          <w:sz w:val="22"/>
          <w:szCs w:val="22"/>
        </w:rPr>
        <w:t xml:space="preserve"> </w:t>
      </w:r>
      <w:r w:rsidR="002E480E">
        <w:rPr>
          <w:rFonts w:ascii="Myriad Pro" w:hAnsi="Myriad Pro"/>
          <w:sz w:val="22"/>
          <w:szCs w:val="22"/>
        </w:rPr>
        <w:t>As stated in the main text,</w:t>
      </w:r>
      <w:r w:rsidR="003851BB">
        <w:rPr>
          <w:rFonts w:ascii="Myriad Pro" w:hAnsi="Myriad Pro"/>
          <w:sz w:val="22"/>
          <w:szCs w:val="22"/>
        </w:rPr>
        <w:t xml:space="preserve"> </w:t>
      </w:r>
      <w:r w:rsidR="00FE1D6A">
        <w:rPr>
          <w:rFonts w:ascii="Myriad Pro" w:hAnsi="Myriad Pro"/>
          <w:sz w:val="22"/>
          <w:szCs w:val="22"/>
        </w:rPr>
        <w:t xml:space="preserve">the </w:t>
      </w:r>
      <w:r w:rsidR="003851BB">
        <w:rPr>
          <w:rFonts w:ascii="Myriad Pro" w:hAnsi="Myriad Pro"/>
          <w:sz w:val="22"/>
          <w:szCs w:val="22"/>
        </w:rPr>
        <w:t>Li/Ca and Mg/Ca ratios declin</w:t>
      </w:r>
      <w:r w:rsidR="00FE1D6A">
        <w:rPr>
          <w:rFonts w:ascii="Myriad Pro" w:hAnsi="Myriad Pro"/>
          <w:sz w:val="22"/>
          <w:szCs w:val="22"/>
        </w:rPr>
        <w:t>ed</w:t>
      </w:r>
      <w:r w:rsidR="003851BB">
        <w:rPr>
          <w:rFonts w:ascii="Myriad Pro" w:hAnsi="Myriad Pro"/>
          <w:sz w:val="22"/>
          <w:szCs w:val="22"/>
        </w:rPr>
        <w:t xml:space="preserve"> </w:t>
      </w:r>
      <w:r w:rsidR="00FE1D6A">
        <w:rPr>
          <w:rFonts w:ascii="Myriad Pro" w:hAnsi="Myriad Pro"/>
          <w:sz w:val="22"/>
          <w:szCs w:val="22"/>
        </w:rPr>
        <w:t xml:space="preserve">25% </w:t>
      </w:r>
      <w:r w:rsidR="003851BB">
        <w:rPr>
          <w:rFonts w:ascii="Myriad Pro" w:hAnsi="Myriad Pro"/>
          <w:sz w:val="22"/>
          <w:szCs w:val="22"/>
        </w:rPr>
        <w:t xml:space="preserve">as a result of cleaning, </w:t>
      </w:r>
      <w:r w:rsidR="00FE1D6A">
        <w:rPr>
          <w:rFonts w:ascii="Myriad Pro" w:hAnsi="Myriad Pro"/>
          <w:sz w:val="22"/>
          <w:szCs w:val="22"/>
        </w:rPr>
        <w:t>b</w:t>
      </w:r>
      <w:bookmarkStart w:id="1" w:name="_GoBack"/>
      <w:bookmarkEnd w:id="1"/>
      <w:r w:rsidR="00FE1D6A">
        <w:rPr>
          <w:rFonts w:ascii="Myriad Pro" w:hAnsi="Myriad Pro"/>
          <w:sz w:val="22"/>
          <w:szCs w:val="22"/>
        </w:rPr>
        <w:t xml:space="preserve">ut </w:t>
      </w:r>
      <w:r w:rsidR="003851BB">
        <w:rPr>
          <w:rFonts w:ascii="Myriad Pro" w:hAnsi="Myriad Pro"/>
          <w:sz w:val="22"/>
          <w:szCs w:val="22"/>
        </w:rPr>
        <w:t>the Li/Mg ratios are not impa</w:t>
      </w:r>
      <w:r w:rsidR="007B1433">
        <w:rPr>
          <w:rFonts w:ascii="Myriad Pro" w:hAnsi="Myriad Pro"/>
          <w:sz w:val="22"/>
          <w:szCs w:val="22"/>
        </w:rPr>
        <w:t>cted by this procedure and equally, the Sr/Ca ratios</w:t>
      </w:r>
      <w:r w:rsidR="003851BB">
        <w:rPr>
          <w:rFonts w:ascii="Myriad Pro" w:hAnsi="Myriad Pro"/>
          <w:sz w:val="22"/>
          <w:szCs w:val="22"/>
        </w:rPr>
        <w:t xml:space="preserve"> are consistent between cleaned and uncleaned samples (Figure S2).</w:t>
      </w:r>
    </w:p>
    <w:p w:rsidR="00647BE2" w:rsidRDefault="00647BE2" w:rsidP="001608CA">
      <w:pPr>
        <w:spacing w:before="120"/>
        <w:jc w:val="both"/>
        <w:rPr>
          <w:rFonts w:ascii="Myriad Pro" w:hAnsi="Myriad Pro"/>
          <w:sz w:val="22"/>
          <w:szCs w:val="22"/>
        </w:rPr>
      </w:pPr>
    </w:p>
    <w:p w:rsidR="00AD535D" w:rsidRPr="00B27CAF" w:rsidRDefault="00AD535D" w:rsidP="001608CA">
      <w:pPr>
        <w:spacing w:before="120"/>
        <w:jc w:val="both"/>
        <w:rPr>
          <w:rFonts w:ascii="Myriad Pro" w:hAnsi="Myriad Pro"/>
          <w:sz w:val="22"/>
          <w:szCs w:val="22"/>
        </w:rPr>
      </w:pPr>
    </w:p>
    <w:p w:rsidR="00647BE2" w:rsidRDefault="00647BE2" w:rsidP="001608CA">
      <w:pPr>
        <w:spacing w:before="120"/>
        <w:jc w:val="both"/>
        <w:rPr>
          <w:szCs w:val="24"/>
        </w:rPr>
      </w:pPr>
    </w:p>
    <w:p w:rsidR="00B27CAF" w:rsidRPr="00B27CAF" w:rsidRDefault="00B27CAF" w:rsidP="001608CA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Figures</w:t>
      </w:r>
    </w:p>
    <w:p w:rsidR="00B27CAF" w:rsidRPr="00B27CAF" w:rsidRDefault="00B27CAF" w:rsidP="001608CA">
      <w:pPr>
        <w:jc w:val="both"/>
        <w:rPr>
          <w:rFonts w:ascii="Myriad Pro" w:hAnsi="Myriad Pro"/>
          <w:sz w:val="22"/>
          <w:szCs w:val="22"/>
        </w:rPr>
      </w:pPr>
    </w:p>
    <w:p w:rsidR="00B27CAF" w:rsidRPr="00B27CAF" w:rsidRDefault="00B27CAF" w:rsidP="001608CA">
      <w:pPr>
        <w:spacing w:before="120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Figure</w:t>
      </w:r>
      <w:r w:rsidRPr="00B27CAF">
        <w:rPr>
          <w:rFonts w:ascii="Myriad Pro" w:hAnsi="Myriad Pro"/>
          <w:b/>
          <w:sz w:val="22"/>
          <w:szCs w:val="22"/>
        </w:rPr>
        <w:t xml:space="preserve"> S1</w:t>
      </w:r>
    </w:p>
    <w:p w:rsidR="00647BE2" w:rsidRPr="00293FD5" w:rsidRDefault="00647BE2" w:rsidP="001608CA">
      <w:pPr>
        <w:spacing w:before="120"/>
        <w:jc w:val="both"/>
        <w:rPr>
          <w:szCs w:val="24"/>
        </w:rPr>
      </w:pPr>
    </w:p>
    <w:p w:rsidR="00647BE2" w:rsidRPr="00293FD5" w:rsidRDefault="00647BE2" w:rsidP="001608CA">
      <w:pPr>
        <w:spacing w:before="120"/>
        <w:ind w:firstLine="720"/>
        <w:jc w:val="both"/>
        <w:rPr>
          <w:szCs w:val="24"/>
        </w:rPr>
      </w:pPr>
    </w:p>
    <w:p w:rsidR="00647BE2" w:rsidRPr="001D0BD5" w:rsidRDefault="001D0BD5" w:rsidP="001D0BD5">
      <w:pPr>
        <w:spacing w:before="120"/>
        <w:ind w:firstLine="720"/>
        <w:jc w:val="center"/>
        <w:rPr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2BF6659" wp14:editId="63C65D7D">
            <wp:extent cx="3090081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47" t="42683" r="48264" b="27055"/>
                    <a:stretch/>
                  </pic:blipFill>
                  <pic:spPr bwMode="auto">
                    <a:xfrm>
                      <a:off x="0" y="0"/>
                      <a:ext cx="3111465" cy="274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Toc395774860"/>
    </w:p>
    <w:bookmarkEnd w:id="2"/>
    <w:p w:rsidR="00647BE2" w:rsidRPr="00293FD5" w:rsidRDefault="00647BE2" w:rsidP="001608CA">
      <w:pPr>
        <w:pStyle w:val="Caption"/>
        <w:numPr>
          <w:ilvl w:val="0"/>
          <w:numId w:val="14"/>
        </w:numPr>
        <w:spacing w:before="120"/>
        <w:ind w:left="0" w:firstLine="720"/>
        <w:jc w:val="both"/>
        <w:rPr>
          <w:sz w:val="24"/>
          <w:szCs w:val="24"/>
        </w:rPr>
      </w:pPr>
    </w:p>
    <w:p w:rsidR="00647BE2" w:rsidRDefault="00647BE2" w:rsidP="001608CA">
      <w:pPr>
        <w:jc w:val="both"/>
        <w:rPr>
          <w:rFonts w:ascii="Myriad Pro" w:hAnsi="Myriad Pro"/>
          <w:sz w:val="22"/>
          <w:szCs w:val="22"/>
        </w:rPr>
      </w:pPr>
      <w:r w:rsidRPr="00B27CAF">
        <w:rPr>
          <w:rFonts w:ascii="Myriad Pro" w:hAnsi="Myriad Pro"/>
          <w:b/>
          <w:sz w:val="22"/>
          <w:szCs w:val="22"/>
        </w:rPr>
        <w:t xml:space="preserve">Figure </w:t>
      </w:r>
      <w:r w:rsidR="00851FF3" w:rsidRPr="00B27CAF">
        <w:rPr>
          <w:rFonts w:ascii="Myriad Pro" w:hAnsi="Myriad Pro"/>
          <w:b/>
          <w:sz w:val="22"/>
          <w:szCs w:val="22"/>
        </w:rPr>
        <w:t>S</w:t>
      </w:r>
      <w:r w:rsidRPr="00B27CAF">
        <w:rPr>
          <w:rFonts w:ascii="Myriad Pro" w:hAnsi="Myriad Pro"/>
          <w:b/>
          <w:sz w:val="22"/>
          <w:szCs w:val="22"/>
        </w:rPr>
        <w:t>1.</w:t>
      </w:r>
      <w:r w:rsidRPr="00B27CAF">
        <w:rPr>
          <w:rFonts w:ascii="Myriad Pro" w:hAnsi="Myriad Pro"/>
          <w:noProof/>
          <w:sz w:val="22"/>
          <w:szCs w:val="22"/>
        </w:rPr>
        <w:t xml:space="preserve"> Schematic of the isobaric interference on </w:t>
      </w:r>
      <w:r w:rsidRPr="00B27CAF">
        <w:rPr>
          <w:rFonts w:ascii="Myriad Pro" w:hAnsi="Myriad Pro"/>
          <w:noProof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noProof/>
          <w:sz w:val="22"/>
          <w:szCs w:val="22"/>
        </w:rPr>
        <w:t xml:space="preserve">Li from </w:t>
      </w:r>
      <w:r w:rsidRPr="00B27CAF">
        <w:rPr>
          <w:rFonts w:ascii="Myriad Pro" w:hAnsi="Myriad Pro"/>
          <w:noProof/>
          <w:sz w:val="22"/>
          <w:szCs w:val="22"/>
          <w:vertAlign w:val="superscript"/>
        </w:rPr>
        <w:t>14</w:t>
      </w:r>
      <w:r w:rsidRPr="00B27CAF">
        <w:rPr>
          <w:rFonts w:ascii="Myriad Pro" w:hAnsi="Myriad Pro"/>
          <w:noProof/>
          <w:sz w:val="22"/>
          <w:szCs w:val="22"/>
        </w:rPr>
        <w:t>N</w:t>
      </w:r>
      <w:r w:rsidRPr="00B27CAF">
        <w:rPr>
          <w:rFonts w:ascii="Myriad Pro" w:hAnsi="Myriad Pro"/>
          <w:noProof/>
          <w:sz w:val="22"/>
          <w:szCs w:val="22"/>
          <w:vertAlign w:val="superscript"/>
        </w:rPr>
        <w:t>++</w:t>
      </w:r>
      <w:r w:rsidRPr="00B27CAF">
        <w:rPr>
          <w:rFonts w:ascii="Myriad Pro" w:hAnsi="Myriad Pro"/>
          <w:noProof/>
          <w:sz w:val="22"/>
          <w:szCs w:val="22"/>
        </w:rPr>
        <w:t>.</w:t>
      </w:r>
      <w:r w:rsidRPr="00B27CAF">
        <w:rPr>
          <w:rFonts w:ascii="Myriad Pro" w:hAnsi="Myriad Pro"/>
          <w:sz w:val="22"/>
          <w:szCs w:val="22"/>
        </w:rPr>
        <w:t xml:space="preserve">  A typical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 xml:space="preserve">Li peak (green dotted curve) has ~20,000cps (0.1 ppb) when </w:t>
      </w:r>
      <w:r w:rsidRPr="00B27CAF">
        <w:rPr>
          <w:rFonts w:ascii="Myriad Pro" w:hAnsi="Myriad Pro"/>
          <w:sz w:val="22"/>
          <w:szCs w:val="22"/>
          <w:vertAlign w:val="superscript"/>
        </w:rPr>
        <w:t>115</w:t>
      </w:r>
      <w:r w:rsidRPr="00B27CAF">
        <w:rPr>
          <w:rFonts w:ascii="Myriad Pro" w:hAnsi="Myriad Pro"/>
          <w:sz w:val="22"/>
          <w:szCs w:val="22"/>
        </w:rPr>
        <w:t xml:space="preserve">In and </w:t>
      </w:r>
      <w:r w:rsidRPr="00B27CAF">
        <w:rPr>
          <w:rFonts w:ascii="Myriad Pro" w:hAnsi="Myriad Pro"/>
          <w:sz w:val="22"/>
          <w:szCs w:val="22"/>
          <w:vertAlign w:val="superscript"/>
        </w:rPr>
        <w:t>138</w:t>
      </w:r>
      <w:r w:rsidRPr="00B27CAF">
        <w:rPr>
          <w:rFonts w:ascii="Myriad Pro" w:hAnsi="Myriad Pro"/>
          <w:sz w:val="22"/>
          <w:szCs w:val="22"/>
        </w:rPr>
        <w:t>U sensitivity is 200 x 10</w:t>
      </w:r>
      <w:r w:rsidRPr="00B27CAF">
        <w:rPr>
          <w:rFonts w:ascii="Myriad Pro" w:hAnsi="Myriad Pro"/>
          <w:sz w:val="22"/>
          <w:szCs w:val="22"/>
          <w:vertAlign w:val="superscript"/>
        </w:rPr>
        <w:t>3</w:t>
      </w:r>
      <w:r w:rsidRPr="00B27CAF">
        <w:rPr>
          <w:rFonts w:ascii="Myriad Pro" w:hAnsi="Myriad Pro"/>
          <w:sz w:val="22"/>
          <w:szCs w:val="22"/>
        </w:rPr>
        <w:t xml:space="preserve"> cps per 0.1 ppb.  The red dotted curve reveals the </w:t>
      </w:r>
      <w:r w:rsidRPr="00B27CAF">
        <w:rPr>
          <w:rFonts w:ascii="Myriad Pro" w:hAnsi="Myriad Pro"/>
          <w:sz w:val="22"/>
          <w:szCs w:val="22"/>
          <w:vertAlign w:val="superscript"/>
        </w:rPr>
        <w:t>14</w:t>
      </w:r>
      <w:r w:rsidRPr="00B27CAF">
        <w:rPr>
          <w:rFonts w:ascii="Myriad Pro" w:hAnsi="Myriad Pro"/>
          <w:sz w:val="22"/>
          <w:szCs w:val="22"/>
        </w:rPr>
        <w:t>N</w:t>
      </w:r>
      <w:r w:rsidRPr="00B27CAF">
        <w:rPr>
          <w:rFonts w:ascii="Myriad Pro" w:hAnsi="Myriad Pro"/>
          <w:sz w:val="22"/>
          <w:szCs w:val="22"/>
          <w:vertAlign w:val="superscript"/>
        </w:rPr>
        <w:t>++</w:t>
      </w:r>
      <w:r w:rsidRPr="00B27CAF">
        <w:rPr>
          <w:rFonts w:ascii="Myriad Pro" w:hAnsi="Myriad Pro"/>
          <w:sz w:val="22"/>
          <w:szCs w:val="22"/>
        </w:rPr>
        <w:t xml:space="preserve"> isobaric interference located at the left (lower mass) of the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>Li peak with an intensity of ~90,000 cps for the same tuning conditions as above, when additional gas (NH</w:t>
      </w:r>
      <w:r w:rsidRPr="00B27CAF">
        <w:rPr>
          <w:rFonts w:ascii="Myriad Pro" w:hAnsi="Myriad Pro"/>
          <w:sz w:val="22"/>
          <w:szCs w:val="22"/>
          <w:vertAlign w:val="subscript"/>
        </w:rPr>
        <w:t>3</w:t>
      </w:r>
      <w:r w:rsidRPr="00B27CAF">
        <w:rPr>
          <w:rFonts w:ascii="Myriad Pro" w:hAnsi="Myriad Pro"/>
          <w:sz w:val="22"/>
          <w:szCs w:val="22"/>
        </w:rPr>
        <w:t>) is set to 0.070 ml min</w:t>
      </w:r>
      <w:r w:rsidRPr="00B27CAF">
        <w:rPr>
          <w:rFonts w:ascii="Myriad Pro" w:hAnsi="Myriad Pro"/>
          <w:sz w:val="22"/>
          <w:szCs w:val="22"/>
          <w:vertAlign w:val="superscript"/>
        </w:rPr>
        <w:t>-1</w:t>
      </w:r>
      <w:r w:rsidRPr="00B27CAF">
        <w:rPr>
          <w:rFonts w:ascii="Myriad Pro" w:hAnsi="Myriad Pro"/>
          <w:sz w:val="22"/>
          <w:szCs w:val="22"/>
        </w:rPr>
        <w:t xml:space="preserve">. The area where these overlap causes a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>Li</w:t>
      </w:r>
      <w:r w:rsidRPr="00B27CAF">
        <w:rPr>
          <w:rFonts w:ascii="Myriad Pro" w:hAnsi="Myriad Pro"/>
          <w:sz w:val="22"/>
          <w:szCs w:val="22"/>
          <w:vertAlign w:val="superscript"/>
        </w:rPr>
        <w:t>+14</w:t>
      </w:r>
      <w:r w:rsidRPr="00B27CAF">
        <w:rPr>
          <w:rFonts w:ascii="Myriad Pro" w:hAnsi="Myriad Pro"/>
          <w:sz w:val="22"/>
          <w:szCs w:val="22"/>
        </w:rPr>
        <w:t>N</w:t>
      </w:r>
      <w:r w:rsidRPr="00B27CAF">
        <w:rPr>
          <w:rFonts w:ascii="Myriad Pro" w:hAnsi="Myriad Pro"/>
          <w:sz w:val="22"/>
          <w:szCs w:val="22"/>
          <w:vertAlign w:val="superscript"/>
        </w:rPr>
        <w:t>++</w:t>
      </w:r>
      <w:r w:rsidRPr="00B27CAF">
        <w:rPr>
          <w:rFonts w:ascii="Myriad Pro" w:hAnsi="Myriad Pro"/>
          <w:sz w:val="22"/>
          <w:szCs w:val="22"/>
        </w:rPr>
        <w:t xml:space="preserve"> spike. Note that the </w:t>
      </w:r>
      <w:r w:rsidRPr="00B27CAF">
        <w:rPr>
          <w:rFonts w:ascii="Myriad Pro" w:hAnsi="Myriad Pro"/>
          <w:sz w:val="22"/>
          <w:szCs w:val="22"/>
          <w:vertAlign w:val="superscript"/>
        </w:rPr>
        <w:t>7</w:t>
      </w:r>
      <w:r w:rsidRPr="00B27CAF">
        <w:rPr>
          <w:rFonts w:ascii="Myriad Pro" w:hAnsi="Myriad Pro"/>
          <w:sz w:val="22"/>
          <w:szCs w:val="22"/>
        </w:rPr>
        <w:t xml:space="preserve">Li blank is insignificant compared to the signal (typically ~200 cps or 1 ppt). </w:t>
      </w:r>
    </w:p>
    <w:p w:rsidR="00AA494C" w:rsidRDefault="00AA494C" w:rsidP="001608CA">
      <w:pPr>
        <w:jc w:val="both"/>
        <w:rPr>
          <w:rFonts w:ascii="Myriad Pro" w:hAnsi="Myriad Pro"/>
          <w:sz w:val="22"/>
          <w:szCs w:val="22"/>
        </w:rPr>
      </w:pPr>
    </w:p>
    <w:p w:rsidR="005543B6" w:rsidRDefault="005543B6" w:rsidP="001608CA">
      <w:pPr>
        <w:jc w:val="both"/>
        <w:rPr>
          <w:rFonts w:ascii="Myriad Pro" w:hAnsi="Myriad Pro"/>
          <w:sz w:val="22"/>
          <w:szCs w:val="22"/>
        </w:rPr>
      </w:pPr>
    </w:p>
    <w:p w:rsidR="00DA450A" w:rsidRDefault="00DA450A" w:rsidP="001608CA">
      <w:pPr>
        <w:jc w:val="both"/>
        <w:rPr>
          <w:rFonts w:ascii="Myriad Pro" w:hAnsi="Myriad Pro"/>
          <w:sz w:val="22"/>
          <w:szCs w:val="22"/>
        </w:rPr>
      </w:pPr>
    </w:p>
    <w:p w:rsidR="00647BE2" w:rsidRDefault="00AD535D" w:rsidP="001608CA">
      <w:pPr>
        <w:jc w:val="both"/>
        <w:rPr>
          <w:rFonts w:ascii="Myriad Pro" w:hAnsi="Myriad Pr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5FD1338" wp14:editId="38D72DBA">
            <wp:extent cx="5486400" cy="405481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09" t="23714" r="24827" b="9030"/>
                    <a:stretch/>
                  </pic:blipFill>
                  <pic:spPr bwMode="auto">
                    <a:xfrm>
                      <a:off x="0" y="0"/>
                      <a:ext cx="5486400" cy="405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BE2" w:rsidRDefault="00AD535D" w:rsidP="001608CA">
      <w:pPr>
        <w:jc w:val="both"/>
        <w:rPr>
          <w:rFonts w:ascii="Myriad Pro" w:hAnsi="Myriad Pro"/>
          <w:noProof/>
          <w:sz w:val="22"/>
          <w:szCs w:val="22"/>
        </w:rPr>
      </w:pPr>
      <w:r w:rsidRPr="00B27CAF">
        <w:rPr>
          <w:rFonts w:ascii="Myriad Pro" w:hAnsi="Myriad Pro"/>
          <w:b/>
          <w:sz w:val="22"/>
          <w:szCs w:val="22"/>
        </w:rPr>
        <w:t>Figure S</w:t>
      </w:r>
      <w:r>
        <w:rPr>
          <w:rFonts w:ascii="Myriad Pro" w:hAnsi="Myriad Pro"/>
          <w:b/>
          <w:sz w:val="22"/>
          <w:szCs w:val="22"/>
        </w:rPr>
        <w:t>2</w:t>
      </w:r>
      <w:r w:rsidRPr="00B27CAF">
        <w:rPr>
          <w:rFonts w:ascii="Myriad Pro" w:hAnsi="Myriad Pro"/>
          <w:b/>
          <w:sz w:val="22"/>
          <w:szCs w:val="22"/>
        </w:rPr>
        <w:t>.</w:t>
      </w:r>
      <w:r>
        <w:rPr>
          <w:rFonts w:ascii="Myriad Pro" w:hAnsi="Myriad Pro"/>
          <w:noProof/>
          <w:sz w:val="22"/>
          <w:szCs w:val="22"/>
        </w:rPr>
        <w:t xml:space="preserve"> Results of JCp-1 </w:t>
      </w:r>
      <w:r w:rsidR="009155D2">
        <w:rPr>
          <w:rFonts w:ascii="Myriad Pro" w:hAnsi="Myriad Pro"/>
          <w:noProof/>
          <w:sz w:val="22"/>
          <w:szCs w:val="22"/>
        </w:rPr>
        <w:t>elemental</w:t>
      </w:r>
      <w:r>
        <w:rPr>
          <w:rFonts w:ascii="Myriad Pro" w:hAnsi="Myriad Pro"/>
          <w:noProof/>
          <w:sz w:val="22"/>
          <w:szCs w:val="22"/>
        </w:rPr>
        <w:t xml:space="preserve"> analysis after samples were either cleaned (open circles) or </w:t>
      </w:r>
      <w:r w:rsidR="009155D2">
        <w:rPr>
          <w:rFonts w:ascii="Myriad Pro" w:hAnsi="Myriad Pro"/>
          <w:noProof/>
          <w:sz w:val="22"/>
          <w:szCs w:val="22"/>
        </w:rPr>
        <w:t xml:space="preserve">directly </w:t>
      </w:r>
      <w:r>
        <w:rPr>
          <w:rFonts w:ascii="Myriad Pro" w:hAnsi="Myriad Pro"/>
          <w:noProof/>
          <w:sz w:val="22"/>
          <w:szCs w:val="22"/>
        </w:rPr>
        <w:t>dissolved in 0.5 M HNO</w:t>
      </w:r>
      <w:r w:rsidRPr="009155D2">
        <w:rPr>
          <w:rFonts w:ascii="Myriad Pro" w:hAnsi="Myriad Pro"/>
          <w:noProof/>
          <w:sz w:val="22"/>
          <w:szCs w:val="22"/>
          <w:vertAlign w:val="subscript"/>
        </w:rPr>
        <w:t>3</w:t>
      </w:r>
      <w:r>
        <w:rPr>
          <w:rFonts w:ascii="Myriad Pro" w:hAnsi="Myriad Pro"/>
          <w:noProof/>
          <w:sz w:val="22"/>
          <w:szCs w:val="22"/>
        </w:rPr>
        <w:t xml:space="preserve"> without being cleaned. </w:t>
      </w:r>
      <w:r w:rsidR="009155D2">
        <w:rPr>
          <w:rFonts w:ascii="Myriad Pro" w:hAnsi="Myriad Pro"/>
          <w:noProof/>
          <w:sz w:val="22"/>
          <w:szCs w:val="22"/>
        </w:rPr>
        <w:t xml:space="preserve">(a) </w:t>
      </w:r>
      <w:r>
        <w:rPr>
          <w:rFonts w:ascii="Myriad Pro" w:hAnsi="Myriad Pro"/>
          <w:noProof/>
          <w:sz w:val="22"/>
          <w:szCs w:val="22"/>
        </w:rPr>
        <w:t xml:space="preserve">Li/Ca and </w:t>
      </w:r>
      <w:r w:rsidR="009155D2">
        <w:rPr>
          <w:rFonts w:ascii="Myriad Pro" w:hAnsi="Myriad Pro"/>
          <w:noProof/>
          <w:sz w:val="22"/>
          <w:szCs w:val="22"/>
        </w:rPr>
        <w:t xml:space="preserve">(b) </w:t>
      </w:r>
      <w:r>
        <w:rPr>
          <w:rFonts w:ascii="Myriad Pro" w:hAnsi="Myriad Pro"/>
          <w:noProof/>
          <w:sz w:val="22"/>
          <w:szCs w:val="22"/>
        </w:rPr>
        <w:t xml:space="preserve">Mg/Ca ratios are lower in cleaned samples, in contrast to </w:t>
      </w:r>
      <w:r w:rsidR="009155D2">
        <w:rPr>
          <w:rFonts w:ascii="Myriad Pro" w:hAnsi="Myriad Pro"/>
          <w:noProof/>
          <w:sz w:val="22"/>
          <w:szCs w:val="22"/>
        </w:rPr>
        <w:t xml:space="preserve">(c) </w:t>
      </w:r>
      <w:r>
        <w:rPr>
          <w:rFonts w:ascii="Myriad Pro" w:hAnsi="Myriad Pro"/>
          <w:noProof/>
          <w:sz w:val="22"/>
          <w:szCs w:val="22"/>
        </w:rPr>
        <w:t>Li/Mg and</w:t>
      </w:r>
      <w:r w:rsidR="009155D2">
        <w:rPr>
          <w:rFonts w:ascii="Myriad Pro" w:hAnsi="Myriad Pro"/>
          <w:noProof/>
          <w:sz w:val="22"/>
          <w:szCs w:val="22"/>
        </w:rPr>
        <w:t xml:space="preserve"> (d)</w:t>
      </w:r>
      <w:r>
        <w:rPr>
          <w:rFonts w:ascii="Myriad Pro" w:hAnsi="Myriad Pro"/>
          <w:noProof/>
          <w:sz w:val="22"/>
          <w:szCs w:val="22"/>
        </w:rPr>
        <w:t xml:space="preserve"> Sr/Ca ratios which are unaffected by the cleaning process. </w:t>
      </w:r>
      <w:r w:rsidR="003851BB">
        <w:rPr>
          <w:rFonts w:ascii="Myriad Pro" w:hAnsi="Myriad Pro"/>
          <w:noProof/>
          <w:sz w:val="22"/>
          <w:szCs w:val="22"/>
        </w:rPr>
        <w:t>Error bars represent the 2</w:t>
      </w:r>
      <w:r w:rsidR="003851BB">
        <w:rPr>
          <w:rFonts w:ascii="Arial" w:hAnsi="Arial" w:cs="Arial"/>
          <w:noProof/>
          <w:sz w:val="22"/>
          <w:szCs w:val="22"/>
        </w:rPr>
        <w:t>σ</w:t>
      </w:r>
      <w:r w:rsidR="003851BB">
        <w:rPr>
          <w:rFonts w:ascii="Myriad Pro" w:hAnsi="Myriad Pro"/>
          <w:noProof/>
          <w:sz w:val="22"/>
          <w:szCs w:val="22"/>
        </w:rPr>
        <w:t xml:space="preserve"> external precision based on long</w:t>
      </w:r>
      <w:r w:rsidR="004B4CBF">
        <w:rPr>
          <w:rFonts w:ascii="Myriad Pro" w:hAnsi="Myriad Pro"/>
          <w:noProof/>
          <w:sz w:val="22"/>
          <w:szCs w:val="22"/>
        </w:rPr>
        <w:t xml:space="preserve"> </w:t>
      </w:r>
      <w:r w:rsidR="003851BB">
        <w:rPr>
          <w:rFonts w:ascii="Myriad Pro" w:hAnsi="Myriad Pro"/>
          <w:noProof/>
          <w:sz w:val="22"/>
          <w:szCs w:val="22"/>
        </w:rPr>
        <w:t>term measurements of JCp</w:t>
      </w:r>
      <w:r w:rsidR="009155D2">
        <w:rPr>
          <w:rFonts w:ascii="Myriad Pro" w:hAnsi="Myriad Pro"/>
          <w:noProof/>
          <w:sz w:val="22"/>
          <w:szCs w:val="22"/>
        </w:rPr>
        <w:t>-1</w:t>
      </w:r>
      <w:r w:rsidR="003851BB">
        <w:rPr>
          <w:rFonts w:ascii="Myriad Pro" w:hAnsi="Myriad Pro"/>
          <w:noProof/>
          <w:sz w:val="22"/>
          <w:szCs w:val="22"/>
        </w:rPr>
        <w:t xml:space="preserve"> bracketed against the Cardiff University multi-element standard.</w:t>
      </w:r>
    </w:p>
    <w:p w:rsidR="007B1433" w:rsidRDefault="007B1433" w:rsidP="001608CA">
      <w:pPr>
        <w:jc w:val="both"/>
        <w:rPr>
          <w:rFonts w:ascii="Myriad Pro" w:hAnsi="Myriad Pro"/>
        </w:rPr>
      </w:pPr>
    </w:p>
    <w:p w:rsidR="00AD535D" w:rsidRDefault="00AD535D" w:rsidP="001608CA">
      <w:pPr>
        <w:jc w:val="both"/>
        <w:rPr>
          <w:rFonts w:ascii="Myriad Pro" w:hAnsi="Myriad Pro"/>
          <w:b/>
          <w:sz w:val="22"/>
          <w:szCs w:val="22"/>
        </w:rPr>
      </w:pPr>
    </w:p>
    <w:p w:rsidR="0042632F" w:rsidRPr="00B27CAF" w:rsidRDefault="0042632F" w:rsidP="001608CA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Tables</w:t>
      </w:r>
    </w:p>
    <w:p w:rsidR="0042632F" w:rsidRPr="00E40896" w:rsidRDefault="0042632F" w:rsidP="001608CA">
      <w:pPr>
        <w:jc w:val="both"/>
        <w:rPr>
          <w:rFonts w:ascii="Myriad Pro" w:hAnsi="Myriad Pro"/>
        </w:rPr>
      </w:pPr>
    </w:p>
    <w:p w:rsidR="00947D0C" w:rsidRDefault="00947D0C" w:rsidP="001608CA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>
        <w:rPr>
          <w:rFonts w:ascii="Myriad Pro" w:hAnsi="Myriad Pro"/>
          <w:b w:val="0"/>
          <w:sz w:val="22"/>
          <w:szCs w:val="22"/>
        </w:rPr>
        <w:t>Inner reef and outer reef data logger temperature, and Reynolds sea surface temperature composites for the forereef and backreef regions</w:t>
      </w:r>
      <w:r w:rsidR="00FE1D6A">
        <w:rPr>
          <w:rFonts w:ascii="Myriad Pro" w:hAnsi="Myriad Pro"/>
          <w:b w:val="0"/>
          <w:sz w:val="22"/>
          <w:szCs w:val="22"/>
        </w:rPr>
        <w:t>, and HadISST1</w:t>
      </w:r>
      <w:r>
        <w:rPr>
          <w:rFonts w:ascii="Myriad Pro" w:hAnsi="Myriad Pro"/>
          <w:b w:val="0"/>
          <w:sz w:val="22"/>
          <w:szCs w:val="22"/>
        </w:rPr>
        <w:t xml:space="preserve"> (2002-2008)</w:t>
      </w:r>
      <w:r w:rsidRPr="005314B5">
        <w:rPr>
          <w:rFonts w:ascii="Myriad Pro" w:hAnsi="Myriad Pro"/>
          <w:b w:val="0"/>
          <w:sz w:val="22"/>
          <w:szCs w:val="22"/>
        </w:rPr>
        <w:t xml:space="preserve">. </w:t>
      </w:r>
    </w:p>
    <w:p w:rsidR="006023EA" w:rsidRDefault="007B1433" w:rsidP="001608CA">
      <w:pPr>
        <w:pStyle w:val="SMHeading"/>
        <w:jc w:val="both"/>
        <w:rPr>
          <w:rFonts w:ascii="Myriad Pro" w:hAnsi="Myriad Pro"/>
          <w:b w:val="0"/>
          <w:i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S2</w:t>
      </w:r>
      <w:r w:rsidR="006023EA" w:rsidRPr="00812998">
        <w:rPr>
          <w:rFonts w:ascii="Myriad Pro" w:hAnsi="Myriad Pro"/>
          <w:sz w:val="22"/>
          <w:szCs w:val="22"/>
        </w:rPr>
        <w:t>.</w:t>
      </w:r>
      <w:r w:rsidR="006023EA">
        <w:rPr>
          <w:rFonts w:ascii="Myriad Pro" w:hAnsi="Myriad Pro"/>
          <w:b w:val="0"/>
          <w:sz w:val="22"/>
          <w:szCs w:val="22"/>
        </w:rPr>
        <w:t xml:space="preserve"> </w:t>
      </w:r>
      <w:r w:rsidR="00812998">
        <w:rPr>
          <w:rFonts w:ascii="Myriad Pro" w:hAnsi="Myriad Pro"/>
          <w:b w:val="0"/>
          <w:sz w:val="22"/>
          <w:szCs w:val="22"/>
        </w:rPr>
        <w:t>G</w:t>
      </w:r>
      <w:r w:rsidR="006023EA">
        <w:rPr>
          <w:rFonts w:ascii="Myriad Pro" w:hAnsi="Myriad Pro"/>
          <w:b w:val="0"/>
          <w:sz w:val="22"/>
          <w:szCs w:val="22"/>
        </w:rPr>
        <w:t xml:space="preserve">ravimetric elemental ratios and average measured elemental ratios of </w:t>
      </w:r>
      <w:r w:rsidR="00812998">
        <w:rPr>
          <w:rFonts w:ascii="Myriad Pro" w:hAnsi="Myriad Pro"/>
          <w:b w:val="0"/>
          <w:sz w:val="22"/>
          <w:szCs w:val="22"/>
        </w:rPr>
        <w:t>the University of Southampton</w:t>
      </w:r>
      <w:r w:rsidR="00785E1C">
        <w:rPr>
          <w:rFonts w:ascii="Myriad Pro" w:hAnsi="Myriad Pro"/>
          <w:b w:val="0"/>
          <w:sz w:val="22"/>
          <w:szCs w:val="22"/>
        </w:rPr>
        <w:t xml:space="preserve"> consistency standards.</w:t>
      </w:r>
      <w:r w:rsidR="006023EA">
        <w:rPr>
          <w:rFonts w:ascii="Myriad Pro" w:hAnsi="Myriad Pro"/>
          <w:b w:val="0"/>
          <w:sz w:val="22"/>
          <w:szCs w:val="22"/>
        </w:rPr>
        <w:t xml:space="preserve"> </w:t>
      </w:r>
    </w:p>
    <w:p w:rsidR="00947D0C" w:rsidRDefault="00947D0C" w:rsidP="001608CA">
      <w:pPr>
        <w:pStyle w:val="SMcaption"/>
        <w:jc w:val="both"/>
        <w:rPr>
          <w:rFonts w:ascii="Myriad Pro" w:hAnsi="Myriad Pro"/>
          <w:b/>
          <w:sz w:val="22"/>
          <w:szCs w:val="22"/>
        </w:rPr>
      </w:pPr>
    </w:p>
    <w:p w:rsidR="00947D0C" w:rsidRDefault="00947D0C" w:rsidP="001608CA">
      <w:pPr>
        <w:pStyle w:val="SMcaption"/>
        <w:jc w:val="both"/>
        <w:rPr>
          <w:rFonts w:ascii="Myriad Pro" w:hAnsi="Myriad Pro"/>
          <w:b/>
          <w:sz w:val="22"/>
          <w:szCs w:val="22"/>
        </w:rPr>
      </w:pPr>
    </w:p>
    <w:p w:rsidR="00947D0C" w:rsidRPr="005314B5" w:rsidRDefault="007B1433" w:rsidP="001608CA">
      <w:pPr>
        <w:pStyle w:val="SMcaption"/>
        <w:jc w:val="both"/>
        <w:rPr>
          <w:rFonts w:ascii="Myriad Pro" w:hAnsi="Myriad Pro"/>
          <w:b/>
          <w:i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Table S3</w:t>
      </w:r>
      <w:r w:rsidR="00947D0C" w:rsidRPr="000A3716">
        <w:rPr>
          <w:rFonts w:ascii="Myriad Pro" w:hAnsi="Myriad Pro"/>
          <w:b/>
          <w:sz w:val="22"/>
          <w:szCs w:val="22"/>
        </w:rPr>
        <w:t>.</w:t>
      </w:r>
      <w:r w:rsidR="00947D0C" w:rsidRPr="005314B5">
        <w:rPr>
          <w:rFonts w:ascii="Myriad Pro" w:hAnsi="Myriad Pro"/>
          <w:sz w:val="22"/>
          <w:szCs w:val="22"/>
        </w:rPr>
        <w:t xml:space="preserve"> </w:t>
      </w:r>
      <w:r w:rsidR="00947D0C">
        <w:rPr>
          <w:rFonts w:ascii="Myriad Pro" w:hAnsi="Myriad Pro"/>
          <w:sz w:val="22"/>
          <w:szCs w:val="22"/>
        </w:rPr>
        <w:t xml:space="preserve">Coretop Li/Mg and Sr/Ca ratios </w:t>
      </w:r>
      <w:r w:rsidR="00A95191">
        <w:rPr>
          <w:rFonts w:ascii="Myriad Pro" w:hAnsi="Myriad Pro"/>
          <w:sz w:val="22"/>
          <w:szCs w:val="22"/>
        </w:rPr>
        <w:t xml:space="preserve">from the forereef (FR-12) and backreef (BR-06) corals </w:t>
      </w:r>
      <w:r w:rsidR="00947D0C">
        <w:rPr>
          <w:rFonts w:ascii="Myriad Pro" w:hAnsi="Myriad Pro"/>
          <w:sz w:val="22"/>
          <w:szCs w:val="22"/>
        </w:rPr>
        <w:t>used to make the Li/Mg- and Sr/Ca-SST calibrations. The backreef Li/Mg ratio for July 2008 was not included in the calibration</w:t>
      </w:r>
      <w:r w:rsidR="00A95191">
        <w:rPr>
          <w:rFonts w:ascii="Myriad Pro" w:hAnsi="Myriad Pro"/>
          <w:sz w:val="22"/>
          <w:szCs w:val="22"/>
        </w:rPr>
        <w:t>.</w:t>
      </w:r>
    </w:p>
    <w:p w:rsidR="00947D0C" w:rsidRDefault="00947D0C" w:rsidP="001608CA">
      <w:pPr>
        <w:pStyle w:val="SMcaption"/>
        <w:jc w:val="both"/>
        <w:rPr>
          <w:rFonts w:ascii="Myriad Pro" w:hAnsi="Myriad Pro"/>
          <w:b/>
          <w:i/>
          <w:sz w:val="22"/>
          <w:szCs w:val="22"/>
        </w:rPr>
      </w:pPr>
    </w:p>
    <w:p w:rsidR="00947D0C" w:rsidRDefault="00947D0C" w:rsidP="001608CA">
      <w:pPr>
        <w:pStyle w:val="SMcaption"/>
        <w:jc w:val="both"/>
        <w:rPr>
          <w:rFonts w:ascii="Myriad Pro" w:hAnsi="Myriad Pro"/>
          <w:b/>
          <w:i/>
          <w:sz w:val="22"/>
          <w:szCs w:val="22"/>
        </w:rPr>
      </w:pPr>
    </w:p>
    <w:p w:rsidR="00947D0C" w:rsidRDefault="007B1433" w:rsidP="001608CA">
      <w:pPr>
        <w:pStyle w:val="SMcaption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Table S4</w:t>
      </w:r>
      <w:r w:rsidR="00947D0C" w:rsidRPr="000A3716">
        <w:rPr>
          <w:rFonts w:ascii="Myriad Pro" w:hAnsi="Myriad Pro"/>
          <w:b/>
          <w:sz w:val="22"/>
          <w:szCs w:val="22"/>
        </w:rPr>
        <w:t>.</w:t>
      </w:r>
      <w:r w:rsidR="00947D0C" w:rsidRPr="005314B5">
        <w:rPr>
          <w:rFonts w:ascii="Myriad Pro" w:hAnsi="Myriad Pro"/>
          <w:sz w:val="22"/>
          <w:szCs w:val="22"/>
        </w:rPr>
        <w:t xml:space="preserve"> </w:t>
      </w:r>
      <w:r w:rsidR="00947D0C">
        <w:rPr>
          <w:rFonts w:ascii="Myriad Pro" w:hAnsi="Myriad Pro"/>
          <w:sz w:val="22"/>
          <w:szCs w:val="22"/>
        </w:rPr>
        <w:t>Downcore (1921-1926) Li/Mg and Sr/Ca ratios</w:t>
      </w:r>
      <w:r w:rsidR="00A11623">
        <w:rPr>
          <w:rFonts w:ascii="Myriad Pro" w:hAnsi="Myriad Pro"/>
          <w:sz w:val="22"/>
          <w:szCs w:val="22"/>
        </w:rPr>
        <w:t xml:space="preserve"> in both the forereef (FR-12) and backreef (BR-06) corals,</w:t>
      </w:r>
      <w:r w:rsidR="00947D0C">
        <w:rPr>
          <w:rFonts w:ascii="Myriad Pro" w:hAnsi="Myriad Pro"/>
          <w:sz w:val="22"/>
          <w:szCs w:val="22"/>
        </w:rPr>
        <w:t xml:space="preserve"> and the resulting sea surface temperature reconstructions</w:t>
      </w:r>
      <w:r w:rsidR="00A95191">
        <w:rPr>
          <w:rFonts w:ascii="Myriad Pro" w:hAnsi="Myriad Pro"/>
          <w:sz w:val="22"/>
          <w:szCs w:val="22"/>
        </w:rPr>
        <w:t>.</w:t>
      </w:r>
    </w:p>
    <w:p w:rsidR="00947D0C" w:rsidRDefault="00947D0C" w:rsidP="001608CA">
      <w:pPr>
        <w:pStyle w:val="SMcaption"/>
        <w:jc w:val="both"/>
        <w:rPr>
          <w:rFonts w:ascii="Myriad Pro" w:hAnsi="Myriad Pro"/>
          <w:sz w:val="22"/>
          <w:szCs w:val="22"/>
        </w:rPr>
      </w:pPr>
    </w:p>
    <w:p w:rsidR="00947D0C" w:rsidRDefault="00947D0C" w:rsidP="001608CA">
      <w:pPr>
        <w:pStyle w:val="SMcaption"/>
        <w:jc w:val="both"/>
        <w:rPr>
          <w:rFonts w:ascii="Myriad Pro" w:hAnsi="Myriad Pro"/>
          <w:sz w:val="22"/>
          <w:szCs w:val="22"/>
        </w:rPr>
      </w:pPr>
    </w:p>
    <w:p w:rsidR="00F125EE" w:rsidRPr="00A95191" w:rsidRDefault="007B1433" w:rsidP="001608CA">
      <w:pPr>
        <w:pStyle w:val="SMcaption"/>
        <w:jc w:val="both"/>
        <w:rPr>
          <w:rFonts w:ascii="Myriad Pro" w:hAnsi="Myriad Pro"/>
          <w:b/>
          <w:i/>
          <w:sz w:val="22"/>
          <w:szCs w:val="22"/>
        </w:rPr>
        <w:sectPr w:rsidR="00F125EE" w:rsidRPr="00A95191" w:rsidSect="00F125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yriad Pro" w:hAnsi="Myriad Pro"/>
          <w:b/>
          <w:sz w:val="22"/>
          <w:szCs w:val="22"/>
        </w:rPr>
        <w:t>Table S5</w:t>
      </w:r>
      <w:r w:rsidR="00947D0C" w:rsidRPr="000A3716">
        <w:rPr>
          <w:rFonts w:ascii="Myriad Pro" w:hAnsi="Myriad Pro"/>
          <w:b/>
          <w:sz w:val="22"/>
          <w:szCs w:val="22"/>
        </w:rPr>
        <w:t>.</w:t>
      </w:r>
      <w:r w:rsidR="00947D0C" w:rsidRPr="005314B5">
        <w:rPr>
          <w:rFonts w:ascii="Myriad Pro" w:hAnsi="Myriad Pro"/>
          <w:sz w:val="22"/>
          <w:szCs w:val="22"/>
        </w:rPr>
        <w:t xml:space="preserve"> </w:t>
      </w:r>
      <w:r w:rsidR="00947D0C">
        <w:rPr>
          <w:rFonts w:ascii="Myriad Pro" w:hAnsi="Myriad Pro"/>
          <w:sz w:val="22"/>
          <w:szCs w:val="22"/>
        </w:rPr>
        <w:t>Historic HadISST</w:t>
      </w:r>
      <w:r w:rsidR="00FE1D6A">
        <w:rPr>
          <w:rFonts w:ascii="Myriad Pro" w:hAnsi="Myriad Pro"/>
          <w:sz w:val="22"/>
          <w:szCs w:val="22"/>
        </w:rPr>
        <w:t>1</w:t>
      </w:r>
      <w:r w:rsidR="00947D0C">
        <w:rPr>
          <w:rFonts w:ascii="Myriad Pro" w:hAnsi="Myriad Pro"/>
          <w:sz w:val="22"/>
          <w:szCs w:val="22"/>
        </w:rPr>
        <w:t xml:space="preserve"> data, encompassing the forereef and backreef zones between 1921 and 1926</w:t>
      </w:r>
      <w:r w:rsidR="00812998">
        <w:rPr>
          <w:rFonts w:ascii="Myriad Pro" w:hAnsi="Myriad Pro"/>
          <w:sz w:val="22"/>
          <w:szCs w:val="22"/>
        </w:rPr>
        <w:t>.</w:t>
      </w:r>
    </w:p>
    <w:p w:rsidR="000301C7" w:rsidRDefault="000301C7" w:rsidP="001608CA">
      <w:pPr>
        <w:jc w:val="both"/>
      </w:pPr>
    </w:p>
    <w:p w:rsidR="000301C7" w:rsidRDefault="000301C7" w:rsidP="001608CA">
      <w:pPr>
        <w:jc w:val="both"/>
      </w:pPr>
    </w:p>
    <w:p w:rsidR="000301C7" w:rsidRPr="000301C7" w:rsidRDefault="000301C7" w:rsidP="001608CA">
      <w:pPr>
        <w:pStyle w:val="EndNoteBibliography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301C7">
        <w:t xml:space="preserve">Al-Ammar, A. S., R. K. Gupta, and R. M. Barnes (2000), Elimination of boron memory effect in inductively coupled plasma-mass spectrometry by ammonia gas injection into the spray chamber during analysis, </w:t>
      </w:r>
      <w:r w:rsidRPr="000301C7">
        <w:rPr>
          <w:i/>
        </w:rPr>
        <w:t>Spectrochimica Acta Part B</w:t>
      </w:r>
      <w:r w:rsidRPr="000301C7">
        <w:t xml:space="preserve">, </w:t>
      </w:r>
      <w:r w:rsidRPr="000301C7">
        <w:rPr>
          <w:i/>
        </w:rPr>
        <w:t>55</w:t>
      </w:r>
      <w:r w:rsidRPr="000301C7">
        <w:t>, 629-635.</w:t>
      </w:r>
    </w:p>
    <w:p w:rsidR="000301C7" w:rsidRPr="000301C7" w:rsidRDefault="000301C7" w:rsidP="001608CA">
      <w:pPr>
        <w:pStyle w:val="EndNoteBibliography"/>
        <w:jc w:val="both"/>
      </w:pPr>
      <w:r w:rsidRPr="000301C7">
        <w:t>Ni, Y. (2006), Evaluation of boron isotopes and trace abundances in planktonic foraminifers as palaeo-oceanographic proxies, 217 pp, University of Bristol, University of Bristol.</w:t>
      </w:r>
    </w:p>
    <w:p w:rsidR="000301C7" w:rsidRPr="000301C7" w:rsidRDefault="000301C7" w:rsidP="001608CA">
      <w:pPr>
        <w:pStyle w:val="EndNoteBibliography"/>
        <w:jc w:val="both"/>
      </w:pPr>
      <w:r w:rsidRPr="000301C7">
        <w:t>Ni, Y., G. L. Foster, T. Bailey, T. Elliott, D. N. Schmidt, P. Pearson, B. Haley, and C. Coath (2007), A core top assessment of proxies for the ocean carbonate system in surface</w:t>
      </w:r>
      <w:r w:rsidRPr="000301C7">
        <w:rPr>
          <w:rFonts w:ascii="Cambria Math" w:hAnsi="Cambria Math" w:cs="Cambria Math"/>
        </w:rPr>
        <w:t>‐</w:t>
      </w:r>
      <w:r w:rsidRPr="000301C7">
        <w:t xml:space="preserve">dwelling foraminifers, </w:t>
      </w:r>
      <w:r w:rsidRPr="000301C7">
        <w:rPr>
          <w:i/>
        </w:rPr>
        <w:t>Paleoceanography</w:t>
      </w:r>
      <w:r w:rsidRPr="000301C7">
        <w:t xml:space="preserve">, </w:t>
      </w:r>
      <w:r w:rsidRPr="000301C7">
        <w:rPr>
          <w:i/>
        </w:rPr>
        <w:t>22</w:t>
      </w:r>
      <w:r w:rsidRPr="000301C7">
        <w:t>(3).</w:t>
      </w:r>
    </w:p>
    <w:p w:rsidR="00B9440A" w:rsidRPr="00015F74" w:rsidRDefault="000301C7" w:rsidP="001608CA">
      <w:pPr>
        <w:jc w:val="both"/>
      </w:pPr>
      <w:r>
        <w:fldChar w:fldCharType="end"/>
      </w:r>
    </w:p>
    <w:sectPr w:rsidR="00B9440A" w:rsidRPr="00015F74" w:rsidSect="00F125EE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26" w:rsidRDefault="00197826">
      <w:r>
        <w:separator/>
      </w:r>
    </w:p>
  </w:endnote>
  <w:endnote w:type="continuationSeparator" w:id="0">
    <w:p w:rsidR="00197826" w:rsidRDefault="001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80E">
      <w:rPr>
        <w:noProof/>
      </w:rPr>
      <w:t>1</w:t>
    </w:r>
    <w:r>
      <w:fldChar w:fldCharType="end"/>
    </w:r>
  </w:p>
  <w:p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26" w:rsidRDefault="00197826">
      <w:r>
        <w:separator/>
      </w:r>
    </w:p>
  </w:footnote>
  <w:footnote w:type="continuationSeparator" w:id="0">
    <w:p w:rsidR="00197826" w:rsidRDefault="001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8" w:rsidRPr="005001AC" w:rsidRDefault="003A2FD8" w:rsidP="005001AC">
    <w:pPr>
      <w:jc w:val="right"/>
      <w:rPr>
        <w:sz w:val="20"/>
      </w:rPr>
    </w:pPr>
  </w:p>
  <w:p w:rsidR="003A2FD8" w:rsidRDefault="003A2F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1EFC"/>
    <w:multiLevelType w:val="hybridMultilevel"/>
    <w:tmpl w:val="A9AC970A"/>
    <w:lvl w:ilvl="0" w:tplc="D3BC8D64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ascii="Times New Roman" w:hAnsi="Times New Roman" w:hint="default"/>
        <w:b/>
        <w:i w:val="0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(USG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wz050v8aaaa4ewfervev90025xtpvftefw&quot;&gt;EndNote Library&lt;record-ids&gt;&lt;item&gt;199&lt;/item&gt;&lt;item&gt;200&lt;/item&gt;&lt;item&gt;343&lt;/item&gt;&lt;/record-ids&gt;&lt;/item&gt;&lt;/Libraries&gt;"/>
  </w:docVars>
  <w:rsids>
    <w:rsidRoot w:val="002C030F"/>
    <w:rsid w:val="00015F74"/>
    <w:rsid w:val="000301C7"/>
    <w:rsid w:val="00043571"/>
    <w:rsid w:val="00051D5E"/>
    <w:rsid w:val="00065EBD"/>
    <w:rsid w:val="00083B44"/>
    <w:rsid w:val="000850DC"/>
    <w:rsid w:val="00094365"/>
    <w:rsid w:val="000A3716"/>
    <w:rsid w:val="000B2E64"/>
    <w:rsid w:val="000C2771"/>
    <w:rsid w:val="000F04A5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08CA"/>
    <w:rsid w:val="0016337A"/>
    <w:rsid w:val="00164269"/>
    <w:rsid w:val="001966FD"/>
    <w:rsid w:val="00197826"/>
    <w:rsid w:val="001A1BDE"/>
    <w:rsid w:val="001C7B4E"/>
    <w:rsid w:val="001D0BD5"/>
    <w:rsid w:val="001D771C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530EF"/>
    <w:rsid w:val="00262D72"/>
    <w:rsid w:val="002800B6"/>
    <w:rsid w:val="002B35D4"/>
    <w:rsid w:val="002C030F"/>
    <w:rsid w:val="002E480E"/>
    <w:rsid w:val="002F3966"/>
    <w:rsid w:val="00320E2C"/>
    <w:rsid w:val="00331D75"/>
    <w:rsid w:val="00355362"/>
    <w:rsid w:val="00363E44"/>
    <w:rsid w:val="003851BB"/>
    <w:rsid w:val="00395E86"/>
    <w:rsid w:val="003A2FD8"/>
    <w:rsid w:val="003B40E6"/>
    <w:rsid w:val="003C007A"/>
    <w:rsid w:val="003E1980"/>
    <w:rsid w:val="003F6E14"/>
    <w:rsid w:val="004043DB"/>
    <w:rsid w:val="00405336"/>
    <w:rsid w:val="0042632F"/>
    <w:rsid w:val="004568BC"/>
    <w:rsid w:val="004571D5"/>
    <w:rsid w:val="00462F1B"/>
    <w:rsid w:val="0046356B"/>
    <w:rsid w:val="00477182"/>
    <w:rsid w:val="004779CB"/>
    <w:rsid w:val="00481118"/>
    <w:rsid w:val="004B2481"/>
    <w:rsid w:val="004B4CBF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543B6"/>
    <w:rsid w:val="005607DD"/>
    <w:rsid w:val="00572DFF"/>
    <w:rsid w:val="0057590F"/>
    <w:rsid w:val="00580E65"/>
    <w:rsid w:val="005A558C"/>
    <w:rsid w:val="005B186E"/>
    <w:rsid w:val="005C6651"/>
    <w:rsid w:val="005D6D71"/>
    <w:rsid w:val="005E1C36"/>
    <w:rsid w:val="005E28F8"/>
    <w:rsid w:val="005E6513"/>
    <w:rsid w:val="006023EA"/>
    <w:rsid w:val="00605F3B"/>
    <w:rsid w:val="00611F9E"/>
    <w:rsid w:val="006237D4"/>
    <w:rsid w:val="00644E86"/>
    <w:rsid w:val="00647BE2"/>
    <w:rsid w:val="00651114"/>
    <w:rsid w:val="0065455E"/>
    <w:rsid w:val="006622CF"/>
    <w:rsid w:val="0066722B"/>
    <w:rsid w:val="00670299"/>
    <w:rsid w:val="0068469F"/>
    <w:rsid w:val="00691985"/>
    <w:rsid w:val="006962C1"/>
    <w:rsid w:val="006A1B64"/>
    <w:rsid w:val="006B03AD"/>
    <w:rsid w:val="006B7C18"/>
    <w:rsid w:val="006C13C3"/>
    <w:rsid w:val="006F602A"/>
    <w:rsid w:val="007108F5"/>
    <w:rsid w:val="00712FF6"/>
    <w:rsid w:val="00713AF2"/>
    <w:rsid w:val="00713E5B"/>
    <w:rsid w:val="007402FC"/>
    <w:rsid w:val="007411A1"/>
    <w:rsid w:val="007563F2"/>
    <w:rsid w:val="00764008"/>
    <w:rsid w:val="00773ABF"/>
    <w:rsid w:val="0077418C"/>
    <w:rsid w:val="00785E1C"/>
    <w:rsid w:val="007B1433"/>
    <w:rsid w:val="00807D35"/>
    <w:rsid w:val="008115D9"/>
    <w:rsid w:val="00812998"/>
    <w:rsid w:val="00825950"/>
    <w:rsid w:val="00851FF3"/>
    <w:rsid w:val="00885C9B"/>
    <w:rsid w:val="00890173"/>
    <w:rsid w:val="008927D0"/>
    <w:rsid w:val="008B07E8"/>
    <w:rsid w:val="008B3D5D"/>
    <w:rsid w:val="008B5BF9"/>
    <w:rsid w:val="008D5D2A"/>
    <w:rsid w:val="008E1D4D"/>
    <w:rsid w:val="008E2CF1"/>
    <w:rsid w:val="008F08DC"/>
    <w:rsid w:val="008F5A8A"/>
    <w:rsid w:val="009055D1"/>
    <w:rsid w:val="00910D0E"/>
    <w:rsid w:val="00914B63"/>
    <w:rsid w:val="009155D2"/>
    <w:rsid w:val="00921BAC"/>
    <w:rsid w:val="00922705"/>
    <w:rsid w:val="00924546"/>
    <w:rsid w:val="00932FE5"/>
    <w:rsid w:val="009354F3"/>
    <w:rsid w:val="009447DC"/>
    <w:rsid w:val="00947D0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11623"/>
    <w:rsid w:val="00A276DF"/>
    <w:rsid w:val="00A3084A"/>
    <w:rsid w:val="00A3403B"/>
    <w:rsid w:val="00A50033"/>
    <w:rsid w:val="00A51A12"/>
    <w:rsid w:val="00A627D4"/>
    <w:rsid w:val="00A74DA2"/>
    <w:rsid w:val="00A92733"/>
    <w:rsid w:val="00A95191"/>
    <w:rsid w:val="00AA494C"/>
    <w:rsid w:val="00AA76F3"/>
    <w:rsid w:val="00AC736B"/>
    <w:rsid w:val="00AC7DA6"/>
    <w:rsid w:val="00AD499C"/>
    <w:rsid w:val="00AD535D"/>
    <w:rsid w:val="00AE61BE"/>
    <w:rsid w:val="00B27CAF"/>
    <w:rsid w:val="00B30334"/>
    <w:rsid w:val="00B3147F"/>
    <w:rsid w:val="00B36869"/>
    <w:rsid w:val="00B43B31"/>
    <w:rsid w:val="00B47CFA"/>
    <w:rsid w:val="00B57F00"/>
    <w:rsid w:val="00B626CB"/>
    <w:rsid w:val="00B77E40"/>
    <w:rsid w:val="00B82C22"/>
    <w:rsid w:val="00B93168"/>
    <w:rsid w:val="00B93DBA"/>
    <w:rsid w:val="00B9440A"/>
    <w:rsid w:val="00B952C1"/>
    <w:rsid w:val="00B968D7"/>
    <w:rsid w:val="00BA3953"/>
    <w:rsid w:val="00BB2A61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56C63"/>
    <w:rsid w:val="00C57232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43D9"/>
    <w:rsid w:val="00D4372A"/>
    <w:rsid w:val="00D60BB0"/>
    <w:rsid w:val="00D65708"/>
    <w:rsid w:val="00D8159F"/>
    <w:rsid w:val="00DA450A"/>
    <w:rsid w:val="00DD1D04"/>
    <w:rsid w:val="00DD79D7"/>
    <w:rsid w:val="00E20431"/>
    <w:rsid w:val="00E257C8"/>
    <w:rsid w:val="00E34425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E6007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7007E"/>
    <w:rsid w:val="00F73193"/>
    <w:rsid w:val="00F74F95"/>
    <w:rsid w:val="00F80705"/>
    <w:rsid w:val="00F84F84"/>
    <w:rsid w:val="00FA1481"/>
    <w:rsid w:val="00FB1C42"/>
    <w:rsid w:val="00FB32EC"/>
    <w:rsid w:val="00FE1D6A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6D0B230D-C191-4DE4-AA48-64D58DD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uiPriority w:val="99"/>
    <w:rsid w:val="002800B6"/>
    <w:rPr>
      <w:sz w:val="16"/>
      <w:szCs w:val="16"/>
    </w:rPr>
  </w:style>
  <w:style w:type="paragraph" w:customStyle="1" w:styleId="Affiliation">
    <w:name w:val="Affiliation"/>
    <w:basedOn w:val="Normal"/>
    <w:qFormat/>
    <w:rsid w:val="00773ABF"/>
    <w:pPr>
      <w:spacing w:before="120"/>
    </w:pPr>
    <w:rPr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301C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01C7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301C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301C7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10495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Hanson;Dawit Tegbaru;Brian Sedora</dc:creator>
  <cp:lastModifiedBy>sef1g10</cp:lastModifiedBy>
  <cp:revision>2</cp:revision>
  <cp:lastPrinted>2014-09-30T12:49:00Z</cp:lastPrinted>
  <dcterms:created xsi:type="dcterms:W3CDTF">2016-09-07T09:10:00Z</dcterms:created>
  <dcterms:modified xsi:type="dcterms:W3CDTF">2016-09-07T09:10:00Z</dcterms:modified>
</cp:coreProperties>
</file>