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730C61" w14:textId="18C29059" w:rsidR="00732214" w:rsidRDefault="00425055" w:rsidP="00BE2EA9">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 xml:space="preserve">Supplemental Information for: </w:t>
      </w:r>
      <w:r w:rsidR="00587B6F" w:rsidRPr="00BE2EA9">
        <w:rPr>
          <w:rFonts w:ascii="Times New Roman" w:hAnsi="Times New Roman" w:cs="Times New Roman"/>
          <w:b/>
          <w:sz w:val="24"/>
          <w:szCs w:val="24"/>
        </w:rPr>
        <w:t xml:space="preserve">Lightning Enhancement </w:t>
      </w:r>
      <w:r w:rsidR="00B2309E" w:rsidRPr="00BE2EA9">
        <w:rPr>
          <w:rFonts w:ascii="Times New Roman" w:hAnsi="Times New Roman" w:cs="Times New Roman"/>
          <w:b/>
          <w:sz w:val="24"/>
          <w:szCs w:val="24"/>
        </w:rPr>
        <w:t xml:space="preserve">Over Major </w:t>
      </w:r>
      <w:r w:rsidR="000013FA">
        <w:rPr>
          <w:rFonts w:ascii="Times New Roman" w:hAnsi="Times New Roman" w:cs="Times New Roman"/>
          <w:b/>
          <w:sz w:val="24"/>
          <w:szCs w:val="24"/>
        </w:rPr>
        <w:t xml:space="preserve">Oceanic </w:t>
      </w:r>
      <w:r w:rsidR="00B2309E" w:rsidRPr="00BE2EA9">
        <w:rPr>
          <w:rFonts w:ascii="Times New Roman" w:hAnsi="Times New Roman" w:cs="Times New Roman"/>
          <w:b/>
          <w:sz w:val="24"/>
          <w:szCs w:val="24"/>
        </w:rPr>
        <w:t>Shipping Lanes</w:t>
      </w:r>
      <w:r>
        <w:rPr>
          <w:rFonts w:ascii="Times New Roman" w:hAnsi="Times New Roman" w:cs="Times New Roman"/>
          <w:sz w:val="24"/>
          <w:szCs w:val="24"/>
        </w:rPr>
        <w:t xml:space="preserve"> </w:t>
      </w:r>
    </w:p>
    <w:p w14:paraId="1FDF4285" w14:textId="77777777" w:rsidR="00D72EA5" w:rsidRDefault="00D72EA5" w:rsidP="00BE2EA9">
      <w:pPr>
        <w:spacing w:after="0" w:line="480" w:lineRule="auto"/>
        <w:jc w:val="center"/>
        <w:rPr>
          <w:rFonts w:ascii="Times New Roman" w:hAnsi="Times New Roman" w:cs="Times New Roman"/>
          <w:sz w:val="24"/>
          <w:szCs w:val="24"/>
        </w:rPr>
      </w:pPr>
    </w:p>
    <w:p w14:paraId="0F53B7AF" w14:textId="643EB158" w:rsidR="00E858EB" w:rsidRDefault="008E20FC" w:rsidP="00BE2EA9">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Joel A. Thornton</w:t>
      </w:r>
      <w:r w:rsidR="006C3AEB" w:rsidRPr="00BE2EA9">
        <w:rPr>
          <w:rFonts w:ascii="Times New Roman" w:hAnsi="Times New Roman" w:cs="Times New Roman"/>
          <w:sz w:val="24"/>
          <w:szCs w:val="24"/>
          <w:vertAlign w:val="superscript"/>
        </w:rPr>
        <w:t>1</w:t>
      </w:r>
      <w:r>
        <w:rPr>
          <w:rFonts w:ascii="Times New Roman" w:hAnsi="Times New Roman" w:cs="Times New Roman"/>
          <w:sz w:val="24"/>
          <w:szCs w:val="24"/>
        </w:rPr>
        <w:t>, Katrina S. Virts</w:t>
      </w:r>
      <w:r w:rsidR="00755AD4" w:rsidRPr="00BE2EA9">
        <w:rPr>
          <w:rFonts w:ascii="Times New Roman" w:hAnsi="Times New Roman" w:cs="Times New Roman"/>
          <w:sz w:val="24"/>
          <w:szCs w:val="24"/>
          <w:vertAlign w:val="superscript"/>
        </w:rPr>
        <w:t>2</w:t>
      </w:r>
      <w:r w:rsidR="002A16AA">
        <w:rPr>
          <w:rFonts w:ascii="Times New Roman" w:hAnsi="Times New Roman" w:cs="Times New Roman"/>
          <w:sz w:val="24"/>
          <w:szCs w:val="24"/>
        </w:rPr>
        <w:t>, Robert H. Holzworth</w:t>
      </w:r>
      <w:r w:rsidR="00897251">
        <w:rPr>
          <w:rFonts w:ascii="Times New Roman" w:hAnsi="Times New Roman" w:cs="Times New Roman"/>
          <w:sz w:val="24"/>
          <w:szCs w:val="24"/>
          <w:vertAlign w:val="superscript"/>
        </w:rPr>
        <w:t>3</w:t>
      </w:r>
      <w:r w:rsidR="008B341F">
        <w:rPr>
          <w:rFonts w:ascii="Times New Roman" w:hAnsi="Times New Roman" w:cs="Times New Roman"/>
          <w:sz w:val="24"/>
          <w:szCs w:val="24"/>
        </w:rPr>
        <w:t>, and Todd</w:t>
      </w:r>
      <w:r w:rsidR="002A16AA">
        <w:rPr>
          <w:rFonts w:ascii="Times New Roman" w:hAnsi="Times New Roman" w:cs="Times New Roman"/>
          <w:sz w:val="24"/>
          <w:szCs w:val="24"/>
        </w:rPr>
        <w:t xml:space="preserve"> </w:t>
      </w:r>
      <w:r w:rsidR="008A7E1B">
        <w:rPr>
          <w:rFonts w:ascii="Times New Roman" w:hAnsi="Times New Roman" w:cs="Times New Roman"/>
          <w:sz w:val="24"/>
          <w:szCs w:val="24"/>
        </w:rPr>
        <w:t xml:space="preserve">P. </w:t>
      </w:r>
      <w:r w:rsidR="002A16AA">
        <w:rPr>
          <w:rFonts w:ascii="Times New Roman" w:hAnsi="Times New Roman" w:cs="Times New Roman"/>
          <w:sz w:val="24"/>
          <w:szCs w:val="24"/>
        </w:rPr>
        <w:t>Mitchell</w:t>
      </w:r>
      <w:r w:rsidR="008A7E1B" w:rsidRPr="008A7E1B">
        <w:rPr>
          <w:rFonts w:ascii="Times New Roman" w:hAnsi="Times New Roman" w:cs="Times New Roman"/>
          <w:sz w:val="24"/>
          <w:szCs w:val="24"/>
          <w:vertAlign w:val="superscript"/>
        </w:rPr>
        <w:t>4</w:t>
      </w:r>
    </w:p>
    <w:p w14:paraId="250424A0" w14:textId="7BE1B8BC" w:rsidR="00873BC4" w:rsidRDefault="00873BC4" w:rsidP="00D77E01">
      <w:pPr>
        <w:spacing w:after="0" w:line="480" w:lineRule="auto"/>
        <w:rPr>
          <w:rFonts w:ascii="Times New Roman" w:hAnsi="Times New Roman" w:cs="Times New Roman"/>
          <w:sz w:val="24"/>
          <w:szCs w:val="24"/>
        </w:rPr>
      </w:pPr>
    </w:p>
    <w:p w14:paraId="1DBF6E42" w14:textId="4974F62D" w:rsidR="00897251" w:rsidRDefault="00897251" w:rsidP="00BE2EA9">
      <w:pPr>
        <w:spacing w:after="0" w:line="480" w:lineRule="auto"/>
        <w:jc w:val="center"/>
        <w:rPr>
          <w:rFonts w:ascii="Times New Roman" w:hAnsi="Times New Roman" w:cs="Times New Roman"/>
          <w:sz w:val="24"/>
          <w:szCs w:val="24"/>
        </w:rPr>
      </w:pPr>
      <w:r w:rsidRPr="00BE2EA9">
        <w:rPr>
          <w:rFonts w:ascii="Times New Roman" w:hAnsi="Times New Roman" w:cs="Times New Roman"/>
          <w:sz w:val="24"/>
          <w:szCs w:val="24"/>
          <w:vertAlign w:val="superscript"/>
        </w:rPr>
        <w:t>1</w:t>
      </w:r>
      <w:r>
        <w:rPr>
          <w:rFonts w:ascii="Times New Roman" w:hAnsi="Times New Roman" w:cs="Times New Roman"/>
          <w:sz w:val="24"/>
          <w:szCs w:val="24"/>
        </w:rPr>
        <w:t>Department of Atmospheric Sciences, University of Washington, Seattle, Washington</w:t>
      </w:r>
    </w:p>
    <w:p w14:paraId="44AD5A7B" w14:textId="0063C74F" w:rsidR="00897251" w:rsidRDefault="00897251" w:rsidP="00BE2EA9">
      <w:pPr>
        <w:spacing w:after="0" w:line="480" w:lineRule="auto"/>
        <w:jc w:val="center"/>
        <w:rPr>
          <w:rFonts w:ascii="Times New Roman" w:hAnsi="Times New Roman" w:cs="Times New Roman"/>
          <w:sz w:val="24"/>
          <w:szCs w:val="24"/>
        </w:rPr>
      </w:pPr>
      <w:r w:rsidRPr="00BE2EA9">
        <w:rPr>
          <w:rFonts w:ascii="Times New Roman" w:hAnsi="Times New Roman" w:cs="Times New Roman"/>
          <w:sz w:val="24"/>
          <w:szCs w:val="24"/>
          <w:vertAlign w:val="superscript"/>
        </w:rPr>
        <w:t>2</w:t>
      </w:r>
      <w:r>
        <w:rPr>
          <w:rFonts w:ascii="Times New Roman" w:hAnsi="Times New Roman" w:cs="Times New Roman"/>
          <w:sz w:val="24"/>
          <w:szCs w:val="24"/>
        </w:rPr>
        <w:t>NASA Marshall Space Flight Center, Huntsville, Alabama</w:t>
      </w:r>
    </w:p>
    <w:p w14:paraId="0941568B" w14:textId="0FAC3C1B" w:rsidR="00897251" w:rsidRDefault="00897251" w:rsidP="00BE2EA9">
      <w:pPr>
        <w:spacing w:after="0" w:line="480" w:lineRule="auto"/>
        <w:jc w:val="center"/>
        <w:rPr>
          <w:rFonts w:ascii="Times New Roman" w:hAnsi="Times New Roman" w:cs="Times New Roman"/>
          <w:sz w:val="24"/>
          <w:szCs w:val="24"/>
        </w:rPr>
      </w:pPr>
      <w:r w:rsidRPr="00BE2EA9">
        <w:rPr>
          <w:rFonts w:ascii="Times New Roman" w:hAnsi="Times New Roman" w:cs="Times New Roman"/>
          <w:sz w:val="24"/>
          <w:szCs w:val="24"/>
          <w:vertAlign w:val="superscript"/>
        </w:rPr>
        <w:t>3</w:t>
      </w:r>
      <w:r>
        <w:rPr>
          <w:rFonts w:ascii="Times New Roman" w:hAnsi="Times New Roman" w:cs="Times New Roman"/>
          <w:sz w:val="24"/>
          <w:szCs w:val="24"/>
        </w:rPr>
        <w:t>Department of Earth and Space Sciences, University of Washington, Seattle, Washington</w:t>
      </w:r>
    </w:p>
    <w:p w14:paraId="1E9127CF" w14:textId="301B98D5" w:rsidR="00623BFB" w:rsidRDefault="008A7E1B" w:rsidP="008A7E1B">
      <w:pPr>
        <w:spacing w:after="0" w:line="480" w:lineRule="auto"/>
        <w:jc w:val="center"/>
        <w:rPr>
          <w:rFonts w:ascii="Times New Roman" w:hAnsi="Times New Roman" w:cs="Times New Roman"/>
          <w:sz w:val="24"/>
          <w:szCs w:val="24"/>
        </w:rPr>
      </w:pPr>
      <w:r w:rsidRPr="008A7E1B">
        <w:rPr>
          <w:rFonts w:ascii="Times New Roman" w:hAnsi="Times New Roman" w:cs="Times New Roman"/>
          <w:sz w:val="24"/>
          <w:szCs w:val="24"/>
          <w:vertAlign w:val="superscript"/>
        </w:rPr>
        <w:t>4</w:t>
      </w:r>
      <w:r>
        <w:rPr>
          <w:rFonts w:ascii="Times New Roman" w:hAnsi="Times New Roman" w:cs="Times New Roman"/>
          <w:sz w:val="24"/>
          <w:szCs w:val="24"/>
        </w:rPr>
        <w:t>Joint Institute for the Study of the Atmosphere and Ocean, University of Washington, Seattle, Washington</w:t>
      </w:r>
    </w:p>
    <w:p w14:paraId="4B552E8E" w14:textId="77777777" w:rsidR="00623BFB" w:rsidRDefault="00623BFB" w:rsidP="00D77E01">
      <w:pPr>
        <w:spacing w:after="0" w:line="480" w:lineRule="auto"/>
        <w:rPr>
          <w:rFonts w:ascii="Times New Roman" w:hAnsi="Times New Roman" w:cs="Times New Roman"/>
          <w:sz w:val="24"/>
          <w:szCs w:val="24"/>
        </w:rPr>
      </w:pPr>
    </w:p>
    <w:p w14:paraId="71C8302D" w14:textId="77777777" w:rsidR="00623BFB" w:rsidRDefault="00623BFB" w:rsidP="00D233CA">
      <w:pPr>
        <w:spacing w:after="0" w:line="480" w:lineRule="auto"/>
        <w:rPr>
          <w:rFonts w:ascii="Times New Roman" w:hAnsi="Times New Roman" w:cs="Times New Roman"/>
          <w:sz w:val="24"/>
          <w:szCs w:val="24"/>
        </w:rPr>
      </w:pPr>
    </w:p>
    <w:p w14:paraId="5D9AAFFC" w14:textId="77777777" w:rsidR="0091169C" w:rsidRPr="003522FF" w:rsidRDefault="0091169C" w:rsidP="00AB712A">
      <w:pPr>
        <w:spacing w:after="0" w:line="480" w:lineRule="auto"/>
        <w:rPr>
          <w:rFonts w:ascii="Times New Roman" w:hAnsi="Times New Roman" w:cs="Times New Roman"/>
          <w:sz w:val="24"/>
          <w:szCs w:val="24"/>
        </w:rPr>
      </w:pPr>
    </w:p>
    <w:p w14:paraId="125E4A50" w14:textId="77777777" w:rsidR="004D6CD4" w:rsidRDefault="004D6CD4" w:rsidP="00AB712A">
      <w:pPr>
        <w:spacing w:after="0" w:line="480" w:lineRule="auto"/>
        <w:rPr>
          <w:rFonts w:ascii="Times New Roman" w:hAnsi="Times New Roman" w:cs="Times New Roman"/>
          <w:sz w:val="24"/>
          <w:szCs w:val="24"/>
        </w:rPr>
      </w:pPr>
    </w:p>
    <w:p w14:paraId="084C7AA8" w14:textId="7B172C16" w:rsidR="00731404" w:rsidRDefault="0081105B" w:rsidP="00425055">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p w14:paraId="3813FBEF" w14:textId="0CA43E32" w:rsidR="000E2F01" w:rsidRPr="00667E10" w:rsidRDefault="00E50B17" w:rsidP="000E2F01">
      <w:pPr>
        <w:spacing w:after="0" w:line="480" w:lineRule="auto"/>
        <w:rPr>
          <w:rFonts w:ascii="Times New Roman" w:hAnsi="Times New Roman" w:cs="Times New Roman"/>
          <w:b/>
          <w:sz w:val="24"/>
          <w:szCs w:val="24"/>
        </w:rPr>
      </w:pPr>
      <w:r w:rsidRPr="00667E10">
        <w:rPr>
          <w:rFonts w:ascii="Times New Roman" w:hAnsi="Times New Roman" w:cs="Times New Roman"/>
          <w:b/>
          <w:sz w:val="24"/>
          <w:szCs w:val="24"/>
        </w:rPr>
        <w:lastRenderedPageBreak/>
        <w:t xml:space="preserve">Automatic Identification System (AIS) Ship Traffic and Emissions Inventory  </w:t>
      </w:r>
    </w:p>
    <w:p w14:paraId="111BA39F" w14:textId="35E838FA" w:rsidR="000963F4" w:rsidRDefault="00E50B17" w:rsidP="000E2F01">
      <w:pPr>
        <w:spacing w:after="0" w:line="480" w:lineRule="auto"/>
        <w:rPr>
          <w:rFonts w:ascii="Times New Roman" w:hAnsi="Times New Roman" w:cs="Times New Roman"/>
          <w:sz w:val="24"/>
          <w:szCs w:val="24"/>
        </w:rPr>
      </w:pPr>
      <w:r>
        <w:rPr>
          <w:rFonts w:ascii="Times New Roman" w:hAnsi="Times New Roman" w:cs="Times New Roman"/>
          <w:sz w:val="24"/>
          <w:szCs w:val="24"/>
        </w:rPr>
        <w:t>Commercial marine vessels above a certain size</w:t>
      </w:r>
      <w:r w:rsidR="00212D77">
        <w:rPr>
          <w:rFonts w:ascii="Times New Roman" w:hAnsi="Times New Roman" w:cs="Times New Roman"/>
          <w:sz w:val="24"/>
          <w:szCs w:val="24"/>
        </w:rPr>
        <w:t xml:space="preserve"> use</w:t>
      </w:r>
      <w:r>
        <w:rPr>
          <w:rFonts w:ascii="Times New Roman" w:hAnsi="Times New Roman" w:cs="Times New Roman"/>
          <w:sz w:val="24"/>
          <w:szCs w:val="24"/>
        </w:rPr>
        <w:t xml:space="preserve"> the Automatic Identification System (AIS) </w:t>
      </w:r>
      <w:r w:rsidR="00212D77">
        <w:rPr>
          <w:rFonts w:ascii="Times New Roman" w:hAnsi="Times New Roman" w:cs="Times New Roman"/>
          <w:sz w:val="24"/>
          <w:szCs w:val="24"/>
        </w:rPr>
        <w:t xml:space="preserve">that </w:t>
      </w:r>
      <w:r>
        <w:rPr>
          <w:rFonts w:ascii="Times New Roman" w:hAnsi="Times New Roman" w:cs="Times New Roman"/>
          <w:sz w:val="24"/>
          <w:szCs w:val="24"/>
        </w:rPr>
        <w:t>repeatedly transmits</w:t>
      </w:r>
      <w:r w:rsidR="00212D77">
        <w:rPr>
          <w:rFonts w:ascii="Times New Roman" w:hAnsi="Times New Roman" w:cs="Times New Roman"/>
          <w:sz w:val="24"/>
          <w:szCs w:val="24"/>
        </w:rPr>
        <w:t xml:space="preserve"> via VHF</w:t>
      </w:r>
      <w:r>
        <w:rPr>
          <w:rFonts w:ascii="Times New Roman" w:hAnsi="Times New Roman" w:cs="Times New Roman"/>
          <w:sz w:val="24"/>
          <w:szCs w:val="24"/>
        </w:rPr>
        <w:t xml:space="preserve"> information on a ship</w:t>
      </w:r>
      <w:r w:rsidR="000013FA">
        <w:rPr>
          <w:rFonts w:ascii="Times New Roman" w:hAnsi="Times New Roman" w:cs="Times New Roman"/>
          <w:sz w:val="24"/>
          <w:szCs w:val="24"/>
        </w:rPr>
        <w:t>’</w:t>
      </w:r>
      <w:r>
        <w:rPr>
          <w:rFonts w:ascii="Times New Roman" w:hAnsi="Times New Roman" w:cs="Times New Roman"/>
          <w:sz w:val="24"/>
          <w:szCs w:val="24"/>
        </w:rPr>
        <w:t xml:space="preserve">s heading, speed, size, type, country of origin, etc. </w:t>
      </w:r>
      <w:r w:rsidR="00212D77">
        <w:rPr>
          <w:rFonts w:ascii="Times New Roman" w:hAnsi="Times New Roman" w:cs="Times New Roman"/>
          <w:sz w:val="24"/>
          <w:szCs w:val="24"/>
        </w:rPr>
        <w:t>This information can be received an</w:t>
      </w:r>
      <w:r w:rsidR="000013FA">
        <w:rPr>
          <w:rFonts w:ascii="Times New Roman" w:hAnsi="Times New Roman" w:cs="Times New Roman"/>
          <w:sz w:val="24"/>
          <w:szCs w:val="24"/>
        </w:rPr>
        <w:t>d</w:t>
      </w:r>
      <w:r w:rsidR="00212D77">
        <w:rPr>
          <w:rFonts w:ascii="Times New Roman" w:hAnsi="Times New Roman" w:cs="Times New Roman"/>
          <w:sz w:val="24"/>
          <w:szCs w:val="24"/>
        </w:rPr>
        <w:t xml:space="preserve"> recorded by ground-based networks or satellite sensors. An example of hourly global shipping activity from 2012 obtained by </w:t>
      </w:r>
      <w:proofErr w:type="spellStart"/>
      <w:r w:rsidR="00212D77" w:rsidRPr="00667E10">
        <w:rPr>
          <w:rFonts w:ascii="Times New Roman" w:hAnsi="Times New Roman" w:cs="Times New Roman"/>
          <w:i/>
          <w:sz w:val="24"/>
          <w:szCs w:val="24"/>
        </w:rPr>
        <w:t>exac</w:t>
      </w:r>
      <w:r w:rsidR="0056226D" w:rsidRPr="00667E10">
        <w:rPr>
          <w:rFonts w:ascii="Times New Roman" w:hAnsi="Times New Roman" w:cs="Times New Roman"/>
          <w:i/>
          <w:sz w:val="24"/>
          <w:szCs w:val="24"/>
        </w:rPr>
        <w:t>t</w:t>
      </w:r>
      <w:r w:rsidR="00212D77" w:rsidRPr="00667E10">
        <w:rPr>
          <w:rFonts w:ascii="Times New Roman" w:hAnsi="Times New Roman" w:cs="Times New Roman"/>
          <w:i/>
          <w:sz w:val="24"/>
          <w:szCs w:val="24"/>
        </w:rPr>
        <w:t>Earth</w:t>
      </w:r>
      <w:proofErr w:type="spellEnd"/>
      <w:r w:rsidR="00212D77">
        <w:rPr>
          <w:rFonts w:ascii="Times New Roman" w:hAnsi="Times New Roman" w:cs="Times New Roman"/>
          <w:sz w:val="24"/>
          <w:szCs w:val="24"/>
        </w:rPr>
        <w:t xml:space="preserve"> using satellite AIS receivers can be found at </w:t>
      </w:r>
      <w:hyperlink r:id="rId6" w:history="1">
        <w:r w:rsidR="00212D77" w:rsidRPr="00A90B8E">
          <w:rPr>
            <w:rStyle w:val="Hyperlink"/>
            <w:rFonts w:ascii="Times New Roman" w:hAnsi="Times New Roman" w:cs="Times New Roman"/>
            <w:sz w:val="24"/>
            <w:szCs w:val="24"/>
          </w:rPr>
          <w:t>www.shipmap.org</w:t>
        </w:r>
      </w:hyperlink>
      <w:r w:rsidR="00212D77">
        <w:rPr>
          <w:rFonts w:ascii="Times New Roman" w:hAnsi="Times New Roman" w:cs="Times New Roman"/>
          <w:sz w:val="24"/>
          <w:szCs w:val="24"/>
        </w:rPr>
        <w:t xml:space="preserve">. A snapshot is shown in Figure S1. Such data </w:t>
      </w:r>
      <w:r w:rsidR="000013FA">
        <w:rPr>
          <w:rFonts w:ascii="Times New Roman" w:hAnsi="Times New Roman" w:cs="Times New Roman"/>
          <w:sz w:val="24"/>
          <w:szCs w:val="24"/>
        </w:rPr>
        <w:t>are</w:t>
      </w:r>
      <w:r w:rsidR="00212D77">
        <w:rPr>
          <w:rFonts w:ascii="Times New Roman" w:hAnsi="Times New Roman" w:cs="Times New Roman"/>
          <w:sz w:val="24"/>
          <w:szCs w:val="24"/>
        </w:rPr>
        <w:t xml:space="preserve"> not publicly available, and must be purchased. Some emissions inventory activities have purchased such data and these become the basis for aerosol particle emissions estimates shown in the manuscript (EDGAR database)</w:t>
      </w:r>
      <w:r w:rsidR="004E65DA">
        <w:rPr>
          <w:rFonts w:ascii="Times New Roman" w:hAnsi="Times New Roman" w:cs="Times New Roman"/>
          <w:sz w:val="24"/>
          <w:szCs w:val="24"/>
        </w:rPr>
        <w:t xml:space="preserve"> </w:t>
      </w:r>
      <w:r w:rsidR="000963F4">
        <w:rPr>
          <w:rFonts w:ascii="Times New Roman" w:hAnsi="Times New Roman" w:cs="Times New Roman"/>
          <w:sz w:val="24"/>
          <w:szCs w:val="24"/>
        </w:rPr>
        <w:fldChar w:fldCharType="begin" w:fldLock="1"/>
      </w:r>
      <w:r w:rsidR="00A5590E">
        <w:rPr>
          <w:rFonts w:ascii="Times New Roman" w:hAnsi="Times New Roman" w:cs="Times New Roman"/>
          <w:sz w:val="24"/>
          <w:szCs w:val="24"/>
        </w:rPr>
        <w:instrText>ADDIN CSL_CITATION { "citationItems" : [ { "id" : "ITEM-1", "itemData" : { "DOI" : "10.1007/s10584-013-0912-3, see also www.shipmap.org", "ISBN" : "9788793026520", "ISSN" : "0308-8839", "abstract" : "While the GHG emissions from international maritime transport decreased by 13% between 2007 and 2012, they are projected to double in the period up to 2050. These are the main results of the Third IMO GHG Study, 2014, which was adopted by the IMO in October 2014. CE Delft was a member of the consortium that carried out the study and was responsible for the emission projections. The decrease in emissions in recent years can be attributed largely to vessels slowing down. Fleet activity during the period 2007-2012 demonstrates widespread adoption of slow steaming. The average reduction in at-sea speed relative to design speed was 12% and the average reduction in daily fuel consumption 27%, with many vessel type and size categories exceeding this average. In some oil tanker size categories, reductions in daily fuel consumption were approximately 50%, while certain container ship size categories reduced energy use by over 70%. Generally, smaller ship size categories operated without significant change over the period, as evidenced by more consistent fuel consumption and voyage speeds. The future increase in emissions is attributable to a projected increase in activity, driven mainly by increased economic activity. Emissions are projected to increase despite regulatory and market-driven improvements in fleet efficiency. The new shipping emission projection scenarios are based on the Representative Concentration Pathways (RCPs) for future demand of coal and oil transport and Shared Socioeconomic Pathways (SSPs) for future economic growth, which have been developed by the Intergovernmental Panel on Climate Change (IPCC). SSPs have been combined with RCPs to develop four internally consistent scenarios of maritime transport demand. These are BAU scenarios, in the sense that they assume that current policies on the energy efficiency and emissions of ships remain in force, and that no increased stringencies or additional policies will be introduced. In line with common practice in climate research and assessment, there are multiple BAU scenarios to reflect the inherent uncertainties in projecting economic growth, demographics and the development of technology. Authors: The recommended citation for this work is: Third IMO GHG Study 2014; International Maritime Organization (IMO) London, UK, June 2014; Smith, T. W. P.; Jalkanen, J. P.; Anderson, B. A.; Corbett, J. J.; Faber, J.; Hanayama, S.; O'Keeffe, E.; Parker, S.; Johansson, L.; Aldous, L.; Raucci, C.; Traut, M.\u2026", "author" : [ { "dropping-particle" : "", "family" : "Smith", "given" : "T. W. P.", "non-dropping-particle" : "", "parse-names" : false, "suffix" : "" }, { "dropping-particle" : "", "family" : "Jalkanen", "given" : "J. P.", "non-dropping-particle" : "", "parse-names" : false, "suffix" : "" }, { "dropping-particle" : "", "family" : "Anderson", "given" : "B. A.", "non-dropping-particle" : "", "parse-names" : false, "suffix" : "" }, { "dropping-particle" : "", "family" : "Corbett", "given" : "J. J.", "non-dropping-particle" : "", "parse-names" : false, "suffix" : "" }, { "dropping-particle" : "", "family" : "Faber", "given" : "J.", "non-dropping-particle" : "", "parse-names" : false, "suffix" : "" }, { "dropping-particle" : "", "family" : "Hanayama", "given" : "S.", "non-dropping-particle" : "", "parse-names" : false, "suffix" : "" }, { "dropping-particle" : "", "family" : "O'Keeffe", "given" : "E.", "non-dropping-particle" : "", "parse-names" : false, "suffix" : "" }, { "dropping-particle" : "", "family" : "Parker", "given" : "S.", "non-dropping-particle" : "", "parse-names" : false, "suffix" : "" }, { "dropping-particle" : "", "family" : "Johansson", "given" : "L.", "non-dropping-particle" : "", "parse-names" : false, "suffix" : "" }, { "dropping-particle" : "", "family" : "Aldous", "given" : "L.", "non-dropping-particle" : "", "parse-names" : false, "suffix" : "" }, { "dropping-particle" : "", "family" : "Raucci", "given" : "C.", "non-dropping-particle" : "", "parse-names" : false, "suffix" : "" }, { "dropping-particle" : "", "family" : "Traut", "given" : "M.", "non-dropping-particle" : "", "parse-names" : false, "suffix" : "" }, { "dropping-particle" : "", "family" : "Ettinger", "given" : "S.", "non-dropping-particle" : "", "parse-names" : false, "suffix" : "" }, { "dropping-particle" : "", "family" : "Nelissen", "given" : "D.", "non-dropping-particle" : "", "parse-names" : false, "suffix" : "" }, { "dropping-particle" : "", "family" : "Lee", "given" : "D. S.", "non-dropping-particle" : "", "parse-names" : false, "suffix" : "" }, { "dropping-particle" : "", "family" : "Ng", "given" : "S.", "non-dropping-particle" : "", "parse-names" : false, "suffix" : "" }, { "dropping-particle" : "", "family" : "Agrawal", "given" : "A.", "non-dropping-particle" : "", "parse-names" : false, "suffix" : "" }, { "dropping-particle" : "", "family" : "Winebrake", "given" : "J. J.", "non-dropping-particle" : "", "parse-names" : false, "suffix" : "" }, { "dropping-particle" : "", "family" : "Hoen, M.", "given" : "A.", "non-dropping-particle" : "", "parse-names" : false, "suffix" : "" } ], "container-title" : "International Maritime Organization (IMO)", "id" : "ITEM-1", "issued" : { "date-parts" : [ [ "2014" ] ] }, "page" : "327", "title" : "Third IMO Greenhouse Gas Study 2014", "type" : "article-journal" }, "uris" : [ "http://www.mendeley.com/documents/?uuid=ba4f0a9c-a7a6-4edf-b4d5-c1ee62f52e91" ] }, { "id" : "ITEM-2", "itemData" : { "DOI" : "10.5194/acp-16-3825-2016", "ISSN" : "16807324", "abstract" : "&lt;p&gt;The EDGARv4.3.1 (Emissions Database for Global Atmospheric Research) global anthropogenic emissions inventory of gaseous (SO&lt;sub&gt;2&lt;/sub&gt;, NO&lt;sub&gt;&lt;i&gt;x&lt;/i&gt;&lt;/sub&gt;, CO, non-methane volatile organic compounds and NH&lt;sub&gt;3&lt;/sub&gt;) and particulate (PM&lt;sub&gt;10&lt;/sub&gt;, PM&lt;sub&gt;2.5&lt;/sub&gt;, black and organic carbon) air pollutants for the period 1970\u20132010 is used to develop retrospective air pollution emissions scenarios to quantify the roles and contributions of changes in energy consumption and efficiency, technology progress and end-of-pipe emission reduction measures and their resulting impact on health and crop yields at European and global scale. The reference EDGARv4.3.1 emissions include observed and reported changes in activity data, fuel consumption and air pollution abatement technologies over the past 4\u202fdecades, combined with Tier 1 and region-specific Tier 2 emission factors. Two further retrospective scenarios assess the interplay of policy and industry. The highest emission STAG_TECH scenario assesses the impact of the technology and end-of-pipe reduction measures in the European Union, by considering historical fuel consumption, along with a stagnation of technology with constant emission factors since 1970, and assuming no further abatement measures and improvement imposed by European emission standards. The lowest emission STAG_ENERGY scenario evaluates the impact of increased fuel consumption by considering unchanged energy consumption since the year 1970, but assuming the technological development, end-of-pipe reductions, fuel mix and energy efficiency of 2010. Our scenario analysis focuses on the three most important and most regulated sectors (power generation, manufacturing industry and road transport), which are subject to multi-pollutant European Union Air Quality regulations. Stagnation of technology and air pollution reduction measures at 1970 levels would have led to 129\u202f% (or factor 2.3) higher SO&lt;sub&gt;2&lt;/sub&gt;, 71\u202f% higher NO&lt;sub&gt;&lt;i&gt;x&lt;/i&gt;&lt;/sub&gt; and 69\u202f% higher PM&lt;sub&gt;2.5&lt;/sub&gt; emissions in Europe (EU27), demonstrating the large role that technology has played in reducing emissions in 2010. However, stagnation of energy consumption at 1970 levels, but with 2010 fuel mix and energy efficiency, and assuming current (year 2010) technology and emission control standards, would have lowered today's NO&lt;sub&gt;&lt;i&gt;x&lt;/i&gt;&lt;/sub&gt; emissions by ca. 38\u202f%,\u2009SO&lt;sub&gt;2&lt;/sub&gt; by 50\u202f% and PM&lt;sub&gt;2.5&lt;/sub&gt; by 12\u202f% in Europe. A reduced-form chemical transport model \u2026", "author" : [ { "dropping-particle" : "", "family" : "Crippa", "given" : "Monica", "non-dropping-particle" : "", "parse-names" : false, "suffix" : "" }, { "dropping-particle" : "", "family" : "Janssens-Maenhout", "given" : "Greet", "non-dropping-particle" : "", "parse-names" : false, "suffix" : "" }, { "dropping-particle" : "", "family" : "Dentener", "given" : "Frank", "non-dropping-particle" : "", "parse-names" : false, "suffix" : "" }, { "dropping-particle" : "", "family" : "Guizzardi", "given" : "Diego", "non-dropping-particle" : "", "parse-names" : false, "suffix" : "" }, { "dropping-particle" : "", "family" : "Sindelarova", "given" : "Katerina", "non-dropping-particle" : "", "parse-names" : false, "suffix" : "" }, { "dropping-particle" : "", "family" : "Muntean", "given" : "Marilena", "non-dropping-particle" : "", "parse-names" : false, "suffix" : "" }, { "dropping-particle" : "", "family" : "Dingenen", "given" : "Rita", "non-dropping-particle" : "Van", "parse-names" : false, "suffix" : "" }, { "dropping-particle" : "", "family" : "Granier", "given" : "Claire", "non-dropping-particle" : "", "parse-names" : false, "suffix" : "" } ], "container-title" : "Atmospheric Chemistry and Physics", "id" : "ITEM-2", "issue" : "6", "issued" : { "date-parts" : [ [ "2016" ] ] }, "page" : "3825-3841", "title" : "Forty years of improvements in European air quality: Regional policy-industry interactions with global impacts", "type" : "article-journal", "volume" : "16" }, "uris" : [ "http://www.mendeley.com/documents/?uuid=c0a04606-5e40-4a6c-b4cf-94dc7586d8e8" ] } ], "mendeley" : { "formattedCitation" : "[&lt;i&gt;Smith et al.&lt;/i&gt;, 2014; &lt;i&gt;Crippa et al.&lt;/i&gt;, 2016]", "plainTextFormattedCitation" : "[Smith et al., 2014; Crippa et al., 2016]", "previouslyFormattedCitation" : "[&lt;i&gt;Smith et al.&lt;/i&gt;, 2014; &lt;i&gt;Crippa et al.&lt;/i&gt;, 2016]" }, "properties" : { "noteIndex" : 0 }, "schema" : "https://github.com/citation-style-language/schema/raw/master/csl-citation.json" }</w:instrText>
      </w:r>
      <w:r w:rsidR="000963F4">
        <w:rPr>
          <w:rFonts w:ascii="Times New Roman" w:hAnsi="Times New Roman" w:cs="Times New Roman"/>
          <w:sz w:val="24"/>
          <w:szCs w:val="24"/>
        </w:rPr>
        <w:fldChar w:fldCharType="separate"/>
      </w:r>
      <w:r w:rsidR="000963F4" w:rsidRPr="000963F4">
        <w:rPr>
          <w:rFonts w:ascii="Times New Roman" w:hAnsi="Times New Roman" w:cs="Times New Roman"/>
          <w:noProof/>
          <w:sz w:val="24"/>
          <w:szCs w:val="24"/>
        </w:rPr>
        <w:t>[</w:t>
      </w:r>
      <w:r w:rsidR="000963F4" w:rsidRPr="000963F4">
        <w:rPr>
          <w:rFonts w:ascii="Times New Roman" w:hAnsi="Times New Roman" w:cs="Times New Roman"/>
          <w:i/>
          <w:noProof/>
          <w:sz w:val="24"/>
          <w:szCs w:val="24"/>
        </w:rPr>
        <w:t>Smith et al.</w:t>
      </w:r>
      <w:r w:rsidR="000963F4" w:rsidRPr="000963F4">
        <w:rPr>
          <w:rFonts w:ascii="Times New Roman" w:hAnsi="Times New Roman" w:cs="Times New Roman"/>
          <w:noProof/>
          <w:sz w:val="24"/>
          <w:szCs w:val="24"/>
        </w:rPr>
        <w:t xml:space="preserve">, 2014; </w:t>
      </w:r>
      <w:r w:rsidR="000963F4" w:rsidRPr="000963F4">
        <w:rPr>
          <w:rFonts w:ascii="Times New Roman" w:hAnsi="Times New Roman" w:cs="Times New Roman"/>
          <w:i/>
          <w:noProof/>
          <w:sz w:val="24"/>
          <w:szCs w:val="24"/>
        </w:rPr>
        <w:t>Crippa et al.</w:t>
      </w:r>
      <w:r w:rsidR="000963F4" w:rsidRPr="000963F4">
        <w:rPr>
          <w:rFonts w:ascii="Times New Roman" w:hAnsi="Times New Roman" w:cs="Times New Roman"/>
          <w:noProof/>
          <w:sz w:val="24"/>
          <w:szCs w:val="24"/>
        </w:rPr>
        <w:t>, 2016]</w:t>
      </w:r>
      <w:r w:rsidR="000963F4">
        <w:rPr>
          <w:rFonts w:ascii="Times New Roman" w:hAnsi="Times New Roman" w:cs="Times New Roman"/>
          <w:sz w:val="24"/>
          <w:szCs w:val="24"/>
        </w:rPr>
        <w:fldChar w:fldCharType="end"/>
      </w:r>
      <w:r w:rsidR="00212D77">
        <w:rPr>
          <w:rFonts w:ascii="Times New Roman" w:hAnsi="Times New Roman" w:cs="Times New Roman"/>
          <w:sz w:val="24"/>
          <w:szCs w:val="24"/>
        </w:rPr>
        <w:t xml:space="preserve">. In situ observations of particle number size distributions, cloud condensation nuclei </w:t>
      </w:r>
      <w:proofErr w:type="spellStart"/>
      <w:r w:rsidR="00212D77">
        <w:rPr>
          <w:rFonts w:ascii="Times New Roman" w:hAnsi="Times New Roman" w:cs="Times New Roman"/>
          <w:sz w:val="24"/>
          <w:szCs w:val="24"/>
        </w:rPr>
        <w:t>activitiy</w:t>
      </w:r>
      <w:proofErr w:type="spellEnd"/>
      <w:r w:rsidR="00212D77">
        <w:rPr>
          <w:rFonts w:ascii="Times New Roman" w:hAnsi="Times New Roman" w:cs="Times New Roman"/>
          <w:sz w:val="24"/>
          <w:szCs w:val="24"/>
        </w:rPr>
        <w:t>, composition, and optical properties from various ship types using a range of fuel compositions are expressed in terms of emission factors</w:t>
      </w:r>
      <w:r w:rsidR="000963F4">
        <w:rPr>
          <w:rFonts w:ascii="Times New Roman" w:hAnsi="Times New Roman" w:cs="Times New Roman"/>
          <w:sz w:val="24"/>
          <w:szCs w:val="24"/>
        </w:rPr>
        <w:t xml:space="preserve"> (</w:t>
      </w:r>
      <w:r w:rsidR="000963F4" w:rsidRPr="00667E10">
        <w:rPr>
          <w:rFonts w:ascii="Times New Roman" w:hAnsi="Times New Roman" w:cs="Times New Roman"/>
          <w:i/>
          <w:sz w:val="24"/>
          <w:szCs w:val="24"/>
        </w:rPr>
        <w:t>EF</w:t>
      </w:r>
      <w:r w:rsidR="000963F4">
        <w:rPr>
          <w:rFonts w:ascii="Times New Roman" w:hAnsi="Times New Roman" w:cs="Times New Roman"/>
          <w:sz w:val="24"/>
          <w:szCs w:val="24"/>
        </w:rPr>
        <w:t>)</w:t>
      </w:r>
      <w:r w:rsidR="00212D77">
        <w:rPr>
          <w:rFonts w:ascii="Times New Roman" w:hAnsi="Times New Roman" w:cs="Times New Roman"/>
          <w:sz w:val="24"/>
          <w:szCs w:val="24"/>
        </w:rPr>
        <w:t xml:space="preserve">: amount emitted per kg of fuel burned </w:t>
      </w:r>
      <w:r w:rsidR="00212D77">
        <w:rPr>
          <w:rFonts w:ascii="Times New Roman" w:hAnsi="Times New Roman" w:cs="Times New Roman"/>
          <w:sz w:val="24"/>
          <w:szCs w:val="24"/>
        </w:rPr>
        <w:fldChar w:fldCharType="begin" w:fldLock="1"/>
      </w:r>
      <w:r w:rsidR="000963F4">
        <w:rPr>
          <w:rFonts w:ascii="Times New Roman" w:hAnsi="Times New Roman" w:cs="Times New Roman"/>
          <w:sz w:val="24"/>
          <w:szCs w:val="24"/>
        </w:rPr>
        <w:instrText>ADDIN CSL_CITATION { "citationItems" : [ { "id" : "ITEM-1", "itemData" : { "DOI" : "10.1175/1520-0469(2000)057&lt;2570:EFSWRT&gt;2.0.CO;2", "ISBN" : "00224928 (ISSN)", "ISSN" : "0022-4928", "abstract" : "Emissions of particles, gases, heat, and water vapor from ships are discussed with respect to their potential for changing the microstructure of marine stratiform clouds and producing the phenomenon known as \u2018\u2018ship tracks.\u2019\u2019 Airborne measurements are used to derive emission factors of SO2 and NO from diesel-powered and steam turbine-powered ships, burning low-grade marine fuel oil (MFO); they were ;15\u201389 and ;2\u201325 g kg21 of fuel burned, respectively. By contrast a steam turbine\u2013powered ship burning high-grade navy distillate fuel had an SO2 emission factor of ;6 g kg21. Various types of ships, burning both MFO and navy distillate fuel, emitted from ;4 3 1015 to 2 3 1016 total particles per kilogram of fuel burned (;4 3 1015\u20131.5 3 1016 particles per second). However, diesel-powered ships burning MFO emitted particles with a larger mode radius (;0.03\u20130.05 mm) and larger maximum sizes than those powered by steam turbines burning navy distillate fuel (mode radius ;0.02 mm). Consequently, if the particles have similar chemical compositions, those emitted by diesel ships burning MFO will serve as cloud condensation nuclei (CCN) at lower supersaturations (and will therefore be more likely to produce ship tracks) than the particles emitted by steam turbine ships burning distillate fuel. Since steam turbine\u2013powered ships fueled by MFO emit particles with a mode radius similar to that of diesel-powered ships fueled by MFO, it appears that, for given ambient conditions, the type of fuel burned by a ship is more important than the type of ship engine in determining whether or not a ship will produce a ship track. However, more measurements are needed to test this hypothesis. The particles emitted from ships appear to be primarily organics, possibly combined with sulfuric acid produced by gas-to-particle conversion of SO2. Comparison of model results with measurements in ship tracks suggests that the particles from ships contain only about 10% water-soluble materials. Measurements of the total particles entering marine stratiform clouds from diesel-powered ships fueled by MFO, and increases in droplet concentrations produced by these particles, show that only about 12% of the particles serve as CCN. The fluxes of heat and water vapor from ships are estimated to be ;2\u201322MWand;0.5\u20131.5 kg s21, respectively. These emissions rarely produced measurable temperature perturbations, and never produced detectable perturbations in water vapor, in the plumes from ships. Nuclear-\u2026", "author" : [ { "dropping-particle" : "V", "family" : "Hobbs", "given" : "Peter", "non-dropping-particle" : "", "parse-names" : false, "suffix" : "" }, { "dropping-particle" : "", "family" : "Garrett", "given" : "Timothy J.", "non-dropping-particle" : "", "parse-names" : false, "suffix" : "" }, { "dropping-particle" : "", "family" : "Ferek", "given" : "Ronald J", "non-dropping-particle" : "", "parse-names" : false, "suffix" : "" }, { "dropping-particle" : "", "family" : "Strader", "given" : "Scott R", "non-dropping-particle" : "", "parse-names" : false, "suffix" : "" }, { "dropping-particle" : "", "family" : "Hegg", "given" : "Dean A", "non-dropping-particle" : "", "parse-names" : false, "suffix" : "" }, { "dropping-particle" : "", "family" : "Frick", "given" : "Glendon M", "non-dropping-particle" : "", "parse-names" : false, "suffix" : "" }, { "dropping-particle" : "", "family" : "Hoppel", "given" : "William A", "non-dropping-particle" : "", "parse-names" : false, "suffix" : "" }, { "dropping-particle" : "", "family" : "Gasparovic", "given" : "Richard F.", "non-dropping-particle" : "", "parse-names" : false, "suffix" : "" }, { "dropping-particle" : "", "family" : "Russell", "given" : "Lynn M", "non-dropping-particle" : "", "parse-names" : false, "suffix" : "" }, { "dropping-particle" : "", "family" : "Johnson", "given" : "Douglas W.", "non-dropping-particle" : "", "parse-names" : false, "suffix" : "" }, { "dropping-particle" : "", "family" : "O\u2019Dowd", "given" : "Colin", "non-dropping-particle" : "", "parse-names" : false, "suffix" : "" }, { "dropping-particle" : "", "family" : "Durkee", "given" : "Philip A", "non-dropping-particle" : "", "parse-names" : false, "suffix" : "" }, { "dropping-particle" : "", "family" : "Nielsen", "given" : "Kurt E", "non-dropping-particle" : "", "parse-names" : false, "suffix" : "" }, { "dropping-particle" : "", "family" : "Innis", "given" : "George", "non-dropping-particle" : "", "parse-names" : false, "suffix" : "" } ], "container-title" : "Journal of the Atmospheric Sciences", "id" : "ITEM-1", "issue" : "16", "issued" : { "date-parts" : [ [ "2000" ] ] }, "page" : "2570-2590", "title" : "Emissions from Ships with respect to Their Effects on Clouds", "type" : "article-journal", "volume" : "57" }, "uris" : [ "http://www.mendeley.com/documents/?uuid=0b36661f-ae2c-437b-9118-e2a4284b1734" ] }, { "id" : "ITEM-2", "itemData" : { "DOI" : "10.1029/2008JD011300", "ISBN" : "2156-2202", "ISSN" : "01480227", "abstract" : "We characterize particulate emissions on the basis of chemical, physical, and optical properties from commercial vessels. Observations during the Texas Air Quality Study/ Gulf of Mexico Atmospheric Composition and Climate Study 2006 field campaign provide chemical and physical characteristics including sulfate (SO 4 2 \u0001 ) mass, organic matter (OM) mass, black carbon (BC) mass, particulate matter (PM) mass, number concentrations (condensation nuclei (CN) &gt; 5 nm), and cloud condensation nuclei (CCN). Optical characterization included multiple wavelength visible light absorption and extinction, extinction relative humidity dependence, and single scatter albedo (SSA). The global contribution of shipping PM was calculated to be 0.90 Tg a \u0001 1 , in good agreement with previous inventories (0.91 and 1.13 Tg a \u0001 1 from Eyring et al. (2005a) and Wang et al. [2008]). Observed PM composition was 46% SO 4 2 \u0001 , 39% OM, and 15% BC and differs from inventories that used 81%, 14%, and 5% and 31%, 63%, and 6% SO 4 2 \u0001 , OM, and BC, respectively. SO 4 2 \u0001 and OM mass were found to be dependent on fuel sulfur content as were SSA, hygroscopicity, and CCN concentrations. BC mass was dependent on engine type and combustion efficiency. A plume evolution study conducted on one vessel showed conservation of particle light absorption, decrease in CN &gt; 5 nm, increase in particle hygroscopicity, and an increase in average particle size with distance from emission. These results suggest emission of small nucleation mode particles that subsequently coagulate/condense onto larger BC and OM. This work contributes to an improved understanding of the impacts of ship emissions on climate and air quality and will also assist in determining potential effects of altering fuel standards.", "author" : [ { "dropping-particle" : "", "family" : "Lack", "given" : "Daniel A.", "non-dropping-particle" : "", "parse-names" : false, "suffix" : "" }, { "dropping-particle" : "", "family" : "Corbett", "given" : "James J.", "non-dropping-particle" : "", "parse-names" : false, "suffix" : "" }, { "dropping-particle" : "", "family" : "Onasch", "given" : "Timothy", "non-dropping-particle" : "", "parse-names" : false, "suffix" : "" }, { "dropping-particle" : "", "family" : "Lerner", "given" : "Brian", "non-dropping-particle" : "", "parse-names" : false, "suffix" : "" }, { "dropping-particle" : "", "family" : "Massoli", "given" : "Paola", "non-dropping-particle" : "", "parse-names" : false, "suffix" : "" }, { "dropping-particle" : "", "family" : "Quinn", "given" : "Patricia K.", "non-dropping-particle" : "", "parse-names" : false, "suffix" : "" }, { "dropping-particle" : "", "family" : "Bates", "given" : "Timothy S.", "non-dropping-particle" : "", "parse-names" : false, "suffix" : "" }, { "dropping-particle" : "", "family" : "Covert", "given" : "David S.", "non-dropping-particle" : "", "parse-names" : false, "suffix" : "" }, { "dropping-particle" : "", "family" : "Coffman", "given" : "Derek", "non-dropping-particle" : "", "parse-names" : false, "suffix" : "" }, { "dropping-particle" : "", "family" : "Sierau", "given" : "Berko", "non-dropping-particle" : "", "parse-names" : false, "suffix" : "" }, { "dropping-particle" : "", "family" : "Herndon", "given" : "Scott", "non-dropping-particle" : "", "parse-names" : false, "suffix" : "" }, { "dropping-particle" : "", "family" : "Allan", "given" : "James", "non-dropping-particle" : "", "parse-names" : false, "suffix" : "" }, { "dropping-particle" : "", "family" : "Baynard", "given" : "Tahllee", "non-dropping-particle" : "", "parse-names" : false, "suffix" : "" }, { "dropping-particle" : "", "family" : "Lovejoy", "given" : "Edward", "non-dropping-particle" : "", "parse-names" : false, "suffix" : "" }, { "dropping-particle" : "", "family" : "Ravishankara", "given" : "A. R.", "non-dropping-particle" : "", "parse-names" : false, "suffix" : "" }, { "dropping-particle" : "", "family" : "Williams", "given" : "Eric", "non-dropping-particle" : "", "parse-names" : false, "suffix" : "" } ], "container-title" : "Journal of Geophysical Research Atmospheres", "id" : "ITEM-2", "issue" : "4", "issued" : { "date-parts" : [ [ "2009" ] ] }, "page" : "1-16", "title" : "Particulate emissions from commercial shipping: Chemical, physical, and optical properties", "type" : "article-journal", "volume" : "114" }, "uris" : [ "http://www.mendeley.com/documents/?uuid=9da978c0-4fe5-403e-8b1a-bef3b552eac1" ] } ], "mendeley" : { "formattedCitation" : "[&lt;i&gt;Hobbs et al.&lt;/i&gt;, 2000; &lt;i&gt;Lack et al.&lt;/i&gt;, 2009]", "plainTextFormattedCitation" : "[Hobbs et al., 2000; Lack et al., 2009]", "previouslyFormattedCitation" : "[&lt;i&gt;Hobbs et al.&lt;/i&gt;, 2000; &lt;i&gt;Lack et al.&lt;/i&gt;, 2009]" }, "properties" : { "noteIndex" : 0 }, "schema" : "https://github.com/citation-style-language/schema/raw/master/csl-citation.json" }</w:instrText>
      </w:r>
      <w:r w:rsidR="00212D77">
        <w:rPr>
          <w:rFonts w:ascii="Times New Roman" w:hAnsi="Times New Roman" w:cs="Times New Roman"/>
          <w:sz w:val="24"/>
          <w:szCs w:val="24"/>
        </w:rPr>
        <w:fldChar w:fldCharType="separate"/>
      </w:r>
      <w:r w:rsidR="00212D77" w:rsidRPr="00212D77">
        <w:rPr>
          <w:rFonts w:ascii="Times New Roman" w:hAnsi="Times New Roman" w:cs="Times New Roman"/>
          <w:noProof/>
          <w:sz w:val="24"/>
          <w:szCs w:val="24"/>
        </w:rPr>
        <w:t>[</w:t>
      </w:r>
      <w:r w:rsidR="00212D77" w:rsidRPr="00212D77">
        <w:rPr>
          <w:rFonts w:ascii="Times New Roman" w:hAnsi="Times New Roman" w:cs="Times New Roman"/>
          <w:i/>
          <w:noProof/>
          <w:sz w:val="24"/>
          <w:szCs w:val="24"/>
        </w:rPr>
        <w:t>Hobbs et al.</w:t>
      </w:r>
      <w:r w:rsidR="00212D77" w:rsidRPr="00212D77">
        <w:rPr>
          <w:rFonts w:ascii="Times New Roman" w:hAnsi="Times New Roman" w:cs="Times New Roman"/>
          <w:noProof/>
          <w:sz w:val="24"/>
          <w:szCs w:val="24"/>
        </w:rPr>
        <w:t xml:space="preserve">, 2000; </w:t>
      </w:r>
      <w:r w:rsidR="00212D77" w:rsidRPr="00212D77">
        <w:rPr>
          <w:rFonts w:ascii="Times New Roman" w:hAnsi="Times New Roman" w:cs="Times New Roman"/>
          <w:i/>
          <w:noProof/>
          <w:sz w:val="24"/>
          <w:szCs w:val="24"/>
        </w:rPr>
        <w:t>Lack et al.</w:t>
      </w:r>
      <w:r w:rsidR="00212D77" w:rsidRPr="00212D77">
        <w:rPr>
          <w:rFonts w:ascii="Times New Roman" w:hAnsi="Times New Roman" w:cs="Times New Roman"/>
          <w:noProof/>
          <w:sz w:val="24"/>
          <w:szCs w:val="24"/>
        </w:rPr>
        <w:t>, 2009]</w:t>
      </w:r>
      <w:r w:rsidR="00212D77">
        <w:rPr>
          <w:rFonts w:ascii="Times New Roman" w:hAnsi="Times New Roman" w:cs="Times New Roman"/>
          <w:sz w:val="24"/>
          <w:szCs w:val="24"/>
        </w:rPr>
        <w:fldChar w:fldCharType="end"/>
      </w:r>
      <w:r w:rsidR="00212D77">
        <w:rPr>
          <w:rFonts w:ascii="Times New Roman" w:hAnsi="Times New Roman" w:cs="Times New Roman"/>
          <w:sz w:val="24"/>
          <w:szCs w:val="24"/>
        </w:rPr>
        <w:t xml:space="preserve">. </w:t>
      </w:r>
      <w:r w:rsidR="000963F4">
        <w:rPr>
          <w:rFonts w:ascii="Times New Roman" w:hAnsi="Times New Roman" w:cs="Times New Roman"/>
          <w:sz w:val="24"/>
          <w:szCs w:val="24"/>
        </w:rPr>
        <w:t xml:space="preserve">The emissions inventories are then a sum over such </w:t>
      </w:r>
      <w:r w:rsidR="000963F4">
        <w:rPr>
          <w:rFonts w:ascii="Times New Roman" w:hAnsi="Times New Roman" w:cs="Times New Roman"/>
          <w:i/>
          <w:sz w:val="24"/>
          <w:szCs w:val="24"/>
        </w:rPr>
        <w:t>EF</w:t>
      </w:r>
      <w:r w:rsidR="000963F4">
        <w:rPr>
          <w:rFonts w:ascii="Times New Roman" w:hAnsi="Times New Roman" w:cs="Times New Roman"/>
          <w:sz w:val="24"/>
          <w:szCs w:val="24"/>
        </w:rPr>
        <w:t xml:space="preserve"> scaled by the fuel usage statistics derived from the shipping activity databases.</w:t>
      </w:r>
    </w:p>
    <w:p w14:paraId="09028503" w14:textId="438BDFC2" w:rsidR="000963F4" w:rsidRDefault="000963F4" w:rsidP="000E2F01">
      <w:pPr>
        <w:spacing w:after="0" w:line="480" w:lineRule="auto"/>
        <w:rPr>
          <w:rFonts w:ascii="Times New Roman" w:hAnsi="Times New Roman" w:cs="Times New Roman"/>
          <w:sz w:val="24"/>
          <w:szCs w:val="24"/>
        </w:rPr>
      </w:pPr>
    </w:p>
    <w:p w14:paraId="6CE09E12" w14:textId="1E87B7C5" w:rsidR="000E2F01" w:rsidRPr="00667E10" w:rsidRDefault="000963F4" w:rsidP="000E2F01">
      <w:pPr>
        <w:spacing w:after="0" w:line="480" w:lineRule="auto"/>
        <w:rPr>
          <w:rFonts w:ascii="Times New Roman" w:hAnsi="Times New Roman" w:cs="Times New Roman"/>
          <w:b/>
          <w:sz w:val="24"/>
          <w:szCs w:val="24"/>
        </w:rPr>
      </w:pPr>
      <w:r w:rsidRPr="00667E10">
        <w:rPr>
          <w:rFonts w:ascii="Times New Roman" w:hAnsi="Times New Roman" w:cs="Times New Roman"/>
          <w:b/>
          <w:sz w:val="24"/>
          <w:szCs w:val="24"/>
        </w:rPr>
        <w:t>Estimate of CCN Enhancement in Indian Ocean Shipping Lane</w:t>
      </w:r>
      <w:r w:rsidR="00212D77" w:rsidRPr="00667E10">
        <w:rPr>
          <w:rFonts w:ascii="Times New Roman" w:hAnsi="Times New Roman" w:cs="Times New Roman"/>
          <w:b/>
          <w:sz w:val="24"/>
          <w:szCs w:val="24"/>
        </w:rPr>
        <w:t xml:space="preserve"> </w:t>
      </w:r>
    </w:p>
    <w:p w14:paraId="5EF91E29" w14:textId="21611B2E" w:rsidR="000963F4" w:rsidRDefault="00A5590E" w:rsidP="000E2F01">
      <w:pPr>
        <w:spacing w:after="0" w:line="480" w:lineRule="auto"/>
        <w:rPr>
          <w:rFonts w:ascii="Times New Roman" w:hAnsi="Times New Roman" w:cs="Times New Roman"/>
          <w:sz w:val="24"/>
          <w:szCs w:val="24"/>
        </w:rPr>
      </w:pPr>
      <w:r>
        <w:rPr>
          <w:rFonts w:ascii="Times New Roman" w:hAnsi="Times New Roman" w:cs="Times New Roman"/>
          <w:sz w:val="24"/>
          <w:szCs w:val="24"/>
        </w:rPr>
        <w:t>To have an order-of-magnitude estimate of the impact of shipping on CCN in the region of enhanced lightning, we conduct the following simple calculation. The EDGAR emissions database predicts shipping leads to ~350 kg/km</w:t>
      </w:r>
      <w:r>
        <w:rPr>
          <w:rFonts w:ascii="Times New Roman" w:hAnsi="Times New Roman" w:cs="Times New Roman"/>
          <w:sz w:val="24"/>
          <w:szCs w:val="24"/>
          <w:vertAlign w:val="superscript"/>
        </w:rPr>
        <w:t>2</w:t>
      </w:r>
      <w:r>
        <w:rPr>
          <w:rFonts w:ascii="Times New Roman" w:hAnsi="Times New Roman" w:cs="Times New Roman"/>
          <w:sz w:val="24"/>
          <w:szCs w:val="24"/>
        </w:rPr>
        <w:t>/</w:t>
      </w:r>
      <w:proofErr w:type="spellStart"/>
      <w:r>
        <w:rPr>
          <w:rFonts w:ascii="Times New Roman" w:hAnsi="Times New Roman" w:cs="Times New Roman"/>
          <w:sz w:val="24"/>
          <w:szCs w:val="24"/>
        </w:rPr>
        <w:t>yr</w:t>
      </w:r>
      <w:proofErr w:type="spellEnd"/>
      <w:r>
        <w:rPr>
          <w:rFonts w:ascii="Times New Roman" w:hAnsi="Times New Roman" w:cs="Times New Roman"/>
          <w:sz w:val="24"/>
          <w:szCs w:val="24"/>
        </w:rPr>
        <w:t xml:space="preserve"> of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emitted in the Indian Ocean shipping lane (see Figure 3c). </w:t>
      </w:r>
      <w:r w:rsidRPr="00667E10">
        <w:rPr>
          <w:rFonts w:ascii="Times New Roman" w:hAnsi="Times New Roman" w:cs="Times New Roman"/>
          <w:i/>
          <w:sz w:val="24"/>
          <w:szCs w:val="24"/>
        </w:rPr>
        <w:t>Lack et al</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"DOI" : "10.1029/2008JD011300", "ISBN" : "2156-2202", "ISSN" : "01480227", "abstract" : "We characterize particulate emissions on the basis of chemical, physical, and optical properties from commercial vessels. Observations during the Texas Air Quality Study/ Gulf of Mexico Atmospheric Composition and Climate Study 2006 field campaign provide chemical and physical characteristics including sulfate (SO 4 2 \u0001 ) mass, organic matter (OM) mass, black carbon (BC) mass, particulate matter (PM) mass, number concentrations (condensation nuclei (CN) &gt; 5 nm), and cloud condensation nuclei (CCN). Optical characterization included multiple wavelength visible light absorption and extinction, extinction relative humidity dependence, and single scatter albedo (SSA). The global contribution of shipping PM was calculated to be 0.90 Tg a \u0001 1 , in good agreement with previous inventories (0.91 and 1.13 Tg a \u0001 1 from Eyring et al. (2005a) and Wang et al. [2008]). Observed PM composition was 46% SO 4 2 \u0001 , 39% OM, and 15% BC and differs from inventories that used 81%, 14%, and 5% and 31%, 63%, and 6% SO 4 2 \u0001 , OM, and BC, respectively. SO 4 2 \u0001 and OM mass were found to be dependent on fuel sulfur content as were SSA, hygroscopicity, and CCN concentrations. BC mass was dependent on engine type and combustion efficiency. A plume evolution study conducted on one vessel showed conservation of particle light absorption, decrease in CN &gt; 5 nm, increase in particle hygroscopicity, and an increase in average particle size with distance from emission. These results suggest emission of small nucleation mode particles that subsequently coagulate/condense onto larger BC and OM. This work contributes to an improved understanding of the impacts of ship emissions on climate and air quality and will also assist in determining potential effects of altering fuel standards.", "author" : [ { "dropping-particle" : "", "family" : "Lack", "given" : "Daniel A.", "non-dropping-particle" : "", "parse-names" : false, "suffix" : "" }, { "dropping-particle" : "", "family" : "Corbett", "given" : "James J.", "non-dropping-particle" : "", "parse-names" : false, "suffix" : "" }, { "dropping-particle" : "", "family" : "Onasch", "given" : "Timothy", "non-dropping-particle" : "", "parse-names" : false, "suffix" : "" }, { "dropping-particle" : "", "family" : "Lerner", "given" : "Brian", "non-dropping-particle" : "", "parse-names" : false, "suffix" : "" }, { "dropping-particle" : "", "family" : "Massoli", "given" : "Paola", "non-dropping-particle" : "", "parse-names" : false, "suffix" : "" }, { "dropping-particle" : "", "family" : "Quinn", "given" : "Patricia K.", "non-dropping-particle" : "", "parse-names" : false, "suffix" : "" }, { "dropping-particle" : "", "family" : "Bates", "given" : "Timothy S.", "non-dropping-particle" : "", "parse-names" : false, "suffix" : "" }, { "dropping-particle" : "", "family" : "Covert", "given" : "David S.", "non-dropping-particle" : "", "parse-names" : false, "suffix" : "" }, { "dropping-particle" : "", "family" : "Coffman", "given" : "Derek", "non-dropping-particle" : "", "parse-names" : false, "suffix" : "" }, { "dropping-particle" : "", "family" : "Sierau", "given" : "Berko", "non-dropping-particle" : "", "parse-names" : false, "suffix" : "" }, { "dropping-particle" : "", "family" : "Herndon", "given" : "Scott", "non-dropping-particle" : "", "parse-names" : false, "suffix" : "" }, { "dropping-particle" : "", "family" : "Allan", "given" : "James", "non-dropping-particle" : "", "parse-names" : false, "suffix" : "" }, { "dropping-particle" : "", "family" : "Baynard", "given" : "Tahllee", "non-dropping-particle" : "", "parse-names" : false, "suffix" : "" }, { "dropping-particle" : "", "family" : "Lovejoy", "given" : "Edward", "non-dropping-particle" : "", "parse-names" : false, "suffix" : "" }, { "dropping-particle" : "", "family" : "Ravishankara", "given" : "A. R.", "non-dropping-particle" : "", "parse-names" : false, "suffix" : "" }, { "dropping-particle" : "", "family" : "Williams", "given" : "Eric", "non-dropping-particle" : "", "parse-names" : false, "suffix" : "" } ], "container-title" : "Journal of Geophysical Research Atmospheres", "id" : "ITEM-1", "issue" : "4", "issued" : { "date-parts" : [ [ "2009" ] ] }, "page" : "1-16", "title" : "Particulate emissions from commercial shipping: Chemical, physical, and optical properties", "type" : "article-journal", "volume" : "114" }, "uris" : [ "http://www.mendeley.com/documents/?uuid=9da978c0-4fe5-403e-8b1a-bef3b552eac1" ] } ], "mendeley" : { "formattedCitation" : "[&lt;i&gt;Lack et al.&lt;/i&gt;, 2009]", "manualFormatting" : "[2009]", "plainTextFormattedCitation" : "[Lack et al., 2009]", "previouslyFormattedCitation" : "[&lt;i&gt;Lack et al.&lt;/i&gt;, 2009]" }, "properties" : { "noteIndex" : 0 }, "schema" : "https://github.com/citation-style-language/schema/raw/master/csl-citation.json" }</w:instrText>
      </w:r>
      <w:r>
        <w:rPr>
          <w:rFonts w:ascii="Times New Roman" w:hAnsi="Times New Roman" w:cs="Times New Roman"/>
          <w:sz w:val="24"/>
          <w:szCs w:val="24"/>
        </w:rPr>
        <w:fldChar w:fldCharType="separate"/>
      </w:r>
      <w:r w:rsidRPr="00A5590E">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find an </w:t>
      </w:r>
      <w:r>
        <w:rPr>
          <w:rFonts w:ascii="Times New Roman" w:hAnsi="Times New Roman" w:cs="Times New Roman"/>
          <w:i/>
          <w:sz w:val="24"/>
          <w:szCs w:val="24"/>
        </w:rPr>
        <w:t>EF</w:t>
      </w:r>
      <w:r>
        <w:rPr>
          <w:rFonts w:ascii="Times New Roman" w:hAnsi="Times New Roman" w:cs="Times New Roman"/>
          <w:sz w:val="24"/>
          <w:szCs w:val="24"/>
        </w:rPr>
        <w:t xml:space="preserve"> ratio between CCN and PM</w:t>
      </w:r>
      <w:r>
        <w:rPr>
          <w:rFonts w:ascii="Times New Roman" w:hAnsi="Times New Roman" w:cs="Times New Roman"/>
          <w:sz w:val="24"/>
          <w:szCs w:val="24"/>
          <w:vertAlign w:val="subscript"/>
        </w:rPr>
        <w:t>1</w:t>
      </w:r>
      <w:r>
        <w:rPr>
          <w:rFonts w:ascii="Times New Roman" w:hAnsi="Times New Roman" w:cs="Times New Roman"/>
          <w:sz w:val="24"/>
          <w:szCs w:val="24"/>
        </w:rPr>
        <w:t xml:space="preserve"> mass (sum of non-refractory sulfate, nitrate, ammonium, organic, and black carbon mass) of </w:t>
      </w:r>
      <w:r w:rsidR="00BE6E4B">
        <w:rPr>
          <w:rFonts w:ascii="Times New Roman" w:hAnsi="Times New Roman" w:cs="Times New Roman"/>
          <w:i/>
          <w:sz w:val="24"/>
          <w:szCs w:val="24"/>
        </w:rPr>
        <w:t>EF</w:t>
      </w:r>
      <w:r w:rsidR="00BE6E4B">
        <w:rPr>
          <w:rFonts w:ascii="Times New Roman" w:hAnsi="Times New Roman" w:cs="Times New Roman"/>
          <w:i/>
          <w:sz w:val="24"/>
          <w:szCs w:val="24"/>
          <w:vertAlign w:val="subscript"/>
        </w:rPr>
        <w:t>CCN/PM</w:t>
      </w:r>
      <w:r w:rsidR="00BE6E4B">
        <w:rPr>
          <w:rFonts w:ascii="Times New Roman" w:hAnsi="Times New Roman" w:cs="Times New Roman"/>
          <w:sz w:val="24"/>
          <w:szCs w:val="24"/>
        </w:rPr>
        <w:t xml:space="preserve"> = 5x10</w:t>
      </w:r>
      <w:r w:rsidR="00BE6E4B">
        <w:rPr>
          <w:rFonts w:ascii="Times New Roman" w:hAnsi="Times New Roman" w:cs="Times New Roman"/>
          <w:sz w:val="24"/>
          <w:szCs w:val="24"/>
          <w:vertAlign w:val="superscript"/>
        </w:rPr>
        <w:t>14</w:t>
      </w:r>
      <w:r w:rsidR="00BE6E4B">
        <w:rPr>
          <w:rFonts w:ascii="Times New Roman" w:hAnsi="Times New Roman" w:cs="Times New Roman"/>
          <w:sz w:val="24"/>
          <w:szCs w:val="24"/>
        </w:rPr>
        <w:t xml:space="preserve"> g</w:t>
      </w:r>
      <w:r w:rsidR="00BE6E4B">
        <w:rPr>
          <w:rFonts w:ascii="Times New Roman" w:hAnsi="Times New Roman" w:cs="Times New Roman"/>
          <w:sz w:val="24"/>
          <w:szCs w:val="24"/>
          <w:vertAlign w:val="superscript"/>
        </w:rPr>
        <w:t>-1</w:t>
      </w:r>
      <w:r w:rsidR="00BE6E4B">
        <w:rPr>
          <w:rFonts w:ascii="Times New Roman" w:hAnsi="Times New Roman" w:cs="Times New Roman"/>
          <w:sz w:val="24"/>
          <w:szCs w:val="24"/>
        </w:rPr>
        <w:t>.</w:t>
      </w:r>
      <w:r>
        <w:rPr>
          <w:rFonts w:ascii="Times New Roman" w:hAnsi="Times New Roman" w:cs="Times New Roman"/>
          <w:sz w:val="24"/>
          <w:szCs w:val="24"/>
        </w:rPr>
        <w:t xml:space="preserve"> </w:t>
      </w:r>
      <w:r w:rsidR="00BE6E4B">
        <w:rPr>
          <w:rFonts w:ascii="Times New Roman" w:hAnsi="Times New Roman" w:cs="Times New Roman"/>
          <w:i/>
          <w:sz w:val="24"/>
          <w:szCs w:val="24"/>
        </w:rPr>
        <w:t>EF</w:t>
      </w:r>
      <w:r w:rsidR="00BE6E4B">
        <w:rPr>
          <w:rFonts w:ascii="Times New Roman" w:hAnsi="Times New Roman" w:cs="Times New Roman"/>
          <w:i/>
          <w:sz w:val="24"/>
          <w:szCs w:val="24"/>
          <w:vertAlign w:val="subscript"/>
        </w:rPr>
        <w:t>CCN/PM</w:t>
      </w:r>
      <w:r w:rsidR="00BE6E4B">
        <w:rPr>
          <w:rFonts w:ascii="Times New Roman" w:hAnsi="Times New Roman" w:cs="Times New Roman"/>
          <w:sz w:val="24"/>
          <w:szCs w:val="24"/>
          <w:vertAlign w:val="subscript"/>
        </w:rPr>
        <w:t xml:space="preserve"> </w:t>
      </w:r>
      <w:r w:rsidR="00BE6E4B">
        <w:rPr>
          <w:rFonts w:ascii="Times New Roman" w:hAnsi="Times New Roman" w:cs="Times New Roman"/>
          <w:sz w:val="24"/>
          <w:szCs w:val="24"/>
        </w:rPr>
        <w:t>is the number of CCN (not CN) per gram of submicron particulate mass emitted. In a homogeneous volume, the time rate of change of CCN from shipping is therefore</w:t>
      </w:r>
    </w:p>
    <w:p w14:paraId="403C6BF6" w14:textId="08B42D34" w:rsidR="00BE6E4B" w:rsidRPr="00BE6E4B" w:rsidRDefault="008F7746" w:rsidP="000E2F01">
      <w:pPr>
        <w:spacing w:after="0" w:line="480" w:lineRule="auto"/>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d[CCN]</m:t>
              </m:r>
            </m:num>
            <m:den>
              <m:r>
                <w:rPr>
                  <w:rFonts w:ascii="Cambria Math" w:hAnsi="Cambria Math" w:cs="Times New Roman"/>
                  <w:sz w:val="24"/>
                  <w:szCs w:val="24"/>
                </w:rPr>
                <m:t>dt</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CCN</m:t>
                  </m:r>
                </m:sub>
              </m:sSub>
            </m:num>
            <m:den>
              <m:r>
                <w:rPr>
                  <w:rFonts w:ascii="Cambria Math" w:eastAsiaTheme="minorEastAsia" w:hAnsi="Cambria Math" w:cs="Times New Roman"/>
                  <w:sz w:val="24"/>
                  <w:szCs w:val="24"/>
                </w:rPr>
                <m:t>h</m:t>
              </m:r>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τ</m:t>
              </m:r>
            </m:den>
          </m:f>
          <m:r>
            <w:rPr>
              <w:rFonts w:ascii="Cambria Math" w:eastAsiaTheme="minorEastAsia" w:hAnsi="Cambria Math" w:cs="Times New Roman"/>
              <w:sz w:val="24"/>
              <w:szCs w:val="24"/>
            </w:rPr>
            <m:t>[CCN]</m:t>
          </m:r>
        </m:oMath>
      </m:oMathPara>
    </w:p>
    <w:p w14:paraId="67B27C70" w14:textId="0B007CE4" w:rsidR="00120179" w:rsidRDefault="00BE6E4B" w:rsidP="000E2F01">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where </w:t>
      </w:r>
      <w:r w:rsidRPr="00667E10">
        <w:rPr>
          <w:rFonts w:ascii="Times New Roman" w:eastAsiaTheme="minorEastAsia" w:hAnsi="Times New Roman" w:cs="Times New Roman"/>
          <w:i/>
          <w:sz w:val="24"/>
          <w:szCs w:val="24"/>
        </w:rPr>
        <w:t>E</w:t>
      </w:r>
      <w:r>
        <w:rPr>
          <w:rFonts w:ascii="Times New Roman" w:eastAsiaTheme="minorEastAsia" w:hAnsi="Times New Roman" w:cs="Times New Roman"/>
          <w:sz w:val="24"/>
          <w:szCs w:val="24"/>
          <w:vertAlign w:val="subscript"/>
        </w:rPr>
        <w:t>CCN</w:t>
      </w:r>
      <w:r>
        <w:rPr>
          <w:rFonts w:ascii="Times New Roman" w:eastAsiaTheme="minorEastAsia" w:hAnsi="Times New Roman" w:cs="Times New Roman"/>
          <w:sz w:val="24"/>
          <w:szCs w:val="24"/>
        </w:rPr>
        <w:t xml:space="preserve"> is the emission flux of CCN (km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/day), </w:t>
      </w:r>
      <w:r>
        <w:rPr>
          <w:rFonts w:ascii="Times New Roman" w:eastAsiaTheme="minorEastAsia" w:hAnsi="Times New Roman" w:cs="Times New Roman"/>
          <w:i/>
          <w:sz w:val="24"/>
          <w:szCs w:val="24"/>
        </w:rPr>
        <w:t>h</w:t>
      </w:r>
      <w:r>
        <w:rPr>
          <w:rFonts w:ascii="Times New Roman" w:eastAsiaTheme="minorEastAsia" w:hAnsi="Times New Roman" w:cs="Times New Roman"/>
          <w:sz w:val="24"/>
          <w:szCs w:val="24"/>
        </w:rPr>
        <w:t xml:space="preserve"> is the mixed layer depth (km), and </w:t>
      </w:r>
      <w:r>
        <w:rPr>
          <w:rFonts w:ascii="Times New Roman" w:eastAsiaTheme="minorEastAsia" w:hAnsi="Times New Roman" w:cs="Times New Roman"/>
          <w:sz w:val="24"/>
          <w:szCs w:val="24"/>
        </w:rPr>
        <w:sym w:font="Symbol" w:char="F074"/>
      </w:r>
      <w:r>
        <w:rPr>
          <w:rFonts w:ascii="Times New Roman" w:eastAsiaTheme="minorEastAsia" w:hAnsi="Times New Roman" w:cs="Times New Roman"/>
          <w:sz w:val="24"/>
          <w:szCs w:val="24"/>
        </w:rPr>
        <w:t xml:space="preserve"> is the characteristic lifetime of CCN (day) in the region. </w:t>
      </w:r>
      <w:r w:rsidR="00120179">
        <w:rPr>
          <w:rFonts w:ascii="Times New Roman" w:eastAsiaTheme="minorEastAsia" w:hAnsi="Times New Roman" w:cs="Times New Roman"/>
          <w:sz w:val="24"/>
          <w:szCs w:val="24"/>
        </w:rPr>
        <w:t>Assuming a pseudo-steady state develops in the region due to the nearly constant shipping activity, then [CCN] from shi</w:t>
      </w:r>
      <w:r w:rsidR="000013FA">
        <w:rPr>
          <w:rFonts w:ascii="Times New Roman" w:eastAsiaTheme="minorEastAsia" w:hAnsi="Times New Roman" w:cs="Times New Roman"/>
          <w:sz w:val="24"/>
          <w:szCs w:val="24"/>
        </w:rPr>
        <w:t>p</w:t>
      </w:r>
      <w:r w:rsidR="00120179">
        <w:rPr>
          <w:rFonts w:ascii="Times New Roman" w:eastAsiaTheme="minorEastAsia" w:hAnsi="Times New Roman" w:cs="Times New Roman"/>
          <w:sz w:val="24"/>
          <w:szCs w:val="24"/>
        </w:rPr>
        <w:t>ping can be calculated as</w:t>
      </w:r>
    </w:p>
    <w:p w14:paraId="25979D9A" w14:textId="1F94EDB5" w:rsidR="00120179" w:rsidRPr="00BE6E4B" w:rsidRDefault="008F7746" w:rsidP="00120179">
      <w:pPr>
        <w:spacing w:after="0" w:line="480" w:lineRule="auto"/>
        <w:rPr>
          <w:rFonts w:ascii="Times New Roman" w:eastAsiaTheme="minorEastAsia" w:hAnsi="Times New Roman" w:cs="Times New Roman"/>
          <w:sz w:val="24"/>
          <w:szCs w:val="24"/>
        </w:rPr>
      </w:pPr>
      <m:oMathPara>
        <m:oMath>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CCN</m:t>
              </m:r>
            </m:e>
          </m:d>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τE</m:t>
                  </m:r>
                </m:e>
                <m:sub>
                  <m:r>
                    <w:rPr>
                      <w:rFonts w:ascii="Cambria Math" w:eastAsiaTheme="minorEastAsia" w:hAnsi="Cambria Math" w:cs="Times New Roman"/>
                      <w:sz w:val="24"/>
                      <w:szCs w:val="24"/>
                    </w:rPr>
                    <m:t>CCN</m:t>
                  </m:r>
                </m:sub>
              </m:sSub>
            </m:num>
            <m:den>
              <m:r>
                <w:rPr>
                  <w:rFonts w:ascii="Cambria Math" w:eastAsiaTheme="minorEastAsia" w:hAnsi="Cambria Math" w:cs="Times New Roman"/>
                  <w:sz w:val="24"/>
                  <w:szCs w:val="24"/>
                </w:rPr>
                <m:t>h</m:t>
              </m:r>
            </m:den>
          </m:f>
        </m:oMath>
      </m:oMathPara>
    </w:p>
    <w:p w14:paraId="0336C803" w14:textId="798E8BB6" w:rsidR="002A0292" w:rsidRDefault="00120179" w:rsidP="000E2F01">
      <w:pPr>
        <w:spacing w:after="0" w:line="48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Using an </w:t>
      </w:r>
      <w:r w:rsidRPr="00667E10">
        <w:rPr>
          <w:rFonts w:ascii="Times New Roman" w:eastAsiaTheme="minorEastAsia" w:hAnsi="Times New Roman" w:cs="Times New Roman"/>
          <w:i/>
          <w:sz w:val="24"/>
          <w:szCs w:val="24"/>
        </w:rPr>
        <w:t>E</w:t>
      </w:r>
      <w:r w:rsidRPr="00667E10">
        <w:rPr>
          <w:rFonts w:ascii="Times New Roman" w:eastAsiaTheme="minorEastAsia" w:hAnsi="Times New Roman" w:cs="Times New Roman"/>
          <w:i/>
          <w:sz w:val="24"/>
          <w:szCs w:val="24"/>
          <w:vertAlign w:val="subscript"/>
        </w:rPr>
        <w:t>CCN</w:t>
      </w:r>
      <w:r>
        <w:rPr>
          <w:rFonts w:ascii="Times New Roman" w:eastAsiaTheme="minorEastAsia" w:hAnsi="Times New Roman" w:cs="Times New Roman"/>
          <w:sz w:val="24"/>
          <w:szCs w:val="24"/>
        </w:rPr>
        <w:t xml:space="preserve"> ~ 5x10</w:t>
      </w:r>
      <w:r>
        <w:rPr>
          <w:rFonts w:ascii="Times New Roman" w:eastAsiaTheme="minorEastAsia" w:hAnsi="Times New Roman" w:cs="Times New Roman"/>
          <w:sz w:val="24"/>
          <w:szCs w:val="24"/>
          <w:vertAlign w:val="superscript"/>
        </w:rPr>
        <w:t>17</w:t>
      </w:r>
      <w:r>
        <w:rPr>
          <w:rFonts w:ascii="Times New Roman" w:eastAsiaTheme="minorEastAsia" w:hAnsi="Times New Roman" w:cs="Times New Roman"/>
          <w:sz w:val="24"/>
          <w:szCs w:val="24"/>
        </w:rPr>
        <w:t xml:space="preserve"> km</w:t>
      </w:r>
      <w:r>
        <w:rPr>
          <w:rFonts w:ascii="Times New Roman" w:eastAsiaTheme="minorEastAsia" w:hAnsi="Times New Roman" w:cs="Times New Roman"/>
          <w:sz w:val="24"/>
          <w:szCs w:val="24"/>
          <w:vertAlign w:val="superscript"/>
        </w:rPr>
        <w:t>-2</w:t>
      </w:r>
      <w:r>
        <w:rPr>
          <w:rFonts w:ascii="Times New Roman" w:eastAsiaTheme="minorEastAsia" w:hAnsi="Times New Roman" w:cs="Times New Roman"/>
          <w:sz w:val="24"/>
          <w:szCs w:val="24"/>
        </w:rPr>
        <w:t xml:space="preserve">/day, </w:t>
      </w:r>
      <w:r>
        <w:rPr>
          <w:rFonts w:ascii="Times New Roman" w:eastAsiaTheme="minorEastAsia" w:hAnsi="Times New Roman" w:cs="Times New Roman"/>
          <w:i/>
          <w:sz w:val="24"/>
          <w:szCs w:val="24"/>
        </w:rPr>
        <w:t>h</w:t>
      </w:r>
      <w:r>
        <w:rPr>
          <w:rFonts w:ascii="Times New Roman" w:eastAsiaTheme="minorEastAsia" w:hAnsi="Times New Roman" w:cs="Times New Roman"/>
          <w:sz w:val="24"/>
          <w:szCs w:val="24"/>
        </w:rPr>
        <w:t xml:space="preserve"> of ~ 1 km, and </w:t>
      </w:r>
      <w:r>
        <w:rPr>
          <w:rFonts w:ascii="Times New Roman" w:eastAsiaTheme="minorEastAsia" w:hAnsi="Times New Roman" w:cs="Times New Roman"/>
          <w:sz w:val="24"/>
          <w:szCs w:val="24"/>
        </w:rPr>
        <w:sym w:font="Symbol" w:char="F074"/>
      </w:r>
      <w:r w:rsidR="000013FA">
        <w:rPr>
          <w:rFonts w:ascii="Times New Roman" w:eastAsiaTheme="minorEastAsia" w:hAnsi="Times New Roman" w:cs="Times New Roman"/>
          <w:sz w:val="24"/>
          <w:szCs w:val="24"/>
        </w:rPr>
        <w:t xml:space="preserve"> ranging from 0.25 to 1-</w:t>
      </w:r>
      <w:r>
        <w:rPr>
          <w:rFonts w:ascii="Times New Roman" w:eastAsiaTheme="minorEastAsia" w:hAnsi="Times New Roman" w:cs="Times New Roman"/>
          <w:sz w:val="24"/>
          <w:szCs w:val="24"/>
        </w:rPr>
        <w:t>day</w:t>
      </w:r>
      <w:r w:rsidR="00421B73">
        <w:rPr>
          <w:rFonts w:ascii="Times New Roman" w:eastAsiaTheme="minorEastAsia" w:hAnsi="Times New Roman" w:cs="Times New Roman"/>
          <w:sz w:val="24"/>
          <w:szCs w:val="24"/>
        </w:rPr>
        <w:t xml:space="preserve"> due to transport and cloud scavenging</w:t>
      </w:r>
      <w:r>
        <w:rPr>
          <w:rFonts w:ascii="Times New Roman" w:eastAsiaTheme="minorEastAsia" w:hAnsi="Times New Roman" w:cs="Times New Roman"/>
          <w:sz w:val="24"/>
          <w:szCs w:val="24"/>
        </w:rPr>
        <w:t>, we find [CCN] from shipping alone would range from 100 to 500 cm</w:t>
      </w:r>
      <w:r>
        <w:rPr>
          <w:rFonts w:ascii="Times New Roman" w:eastAsiaTheme="minorEastAsia" w:hAnsi="Times New Roman" w:cs="Times New Roman"/>
          <w:sz w:val="24"/>
          <w:szCs w:val="24"/>
          <w:vertAlign w:val="superscript"/>
        </w:rPr>
        <w:t>-3</w:t>
      </w:r>
      <w:r>
        <w:rPr>
          <w:rFonts w:ascii="Times New Roman" w:eastAsiaTheme="minorEastAsia" w:hAnsi="Times New Roman" w:cs="Times New Roman"/>
          <w:sz w:val="24"/>
          <w:szCs w:val="24"/>
        </w:rPr>
        <w:t xml:space="preserve"> over the shipping lane. While very crude, these estimates are certainly large enough to conclude the shipping activity would be a significant perturbation to the background CCN typical of remote marine regions </w:t>
      </w:r>
      <w:r>
        <w:rPr>
          <w:rFonts w:ascii="Times New Roman" w:eastAsiaTheme="minorEastAsia" w:hAnsi="Times New Roman" w:cs="Times New Roman"/>
          <w:sz w:val="24"/>
          <w:szCs w:val="24"/>
        </w:rPr>
        <w:fldChar w:fldCharType="begin" w:fldLock="1"/>
      </w:r>
      <w:r w:rsidR="00680EB7">
        <w:rPr>
          <w:rFonts w:ascii="Times New Roman" w:eastAsiaTheme="minorEastAsia" w:hAnsi="Times New Roman" w:cs="Times New Roman"/>
          <w:sz w:val="24"/>
          <w:szCs w:val="24"/>
        </w:rPr>
        <w:instrText>ADDIN CSL_CITATION { "citationItems" : [ { "id" : "ITEM-1", "itemData" : { "DOI" : "10.1126/science.1064034", "ISBN" : "00368075 (ISSN)", "ISSN" : "00368075", "PMID" : "11739947", "abstract" : "Human activities are releasing tiny particles (aerosols) into the atmosphere. These human-made aerosols enhance scattering and absorption of solar radiation. They also produce brighter clouds that are less efficient at releasing precipitation. These in turn lead to large reductions in the amount of solar irradiance reaching Earth's surface, a corresponding increase in solar heating of the atmosphere, changes in the atmospheric temperature structure, suppression of rainfall, and less efficient removal of pollutants. These aerosol effects can lead to a weaker hydrological cycle, which connects directly to availability and quality of fresh water, a major environmental issue of the 21st century.", "author" : [ { "dropping-particle" : "", "family" : "Ramanathan", "given" : "V", "non-dropping-particle" : "", "parse-names" : false, "suffix" : "" }, { "dropping-particle" : "", "family" : "Crutzen", "given" : "P J", "non-dropping-particle" : "", "parse-names" : false, "suffix" : "" }, { "dropping-particle" : "", "family" : "Kiehl", "given" : "J T", "non-dropping-particle" : "", "parse-names" : false, "suffix" : "" }, { "dropping-particle" : "", "family" : "Rosenfeld", "given" : "D", "non-dropping-particle" : "", "parse-names" : false, "suffix" : "" } ], "container-title" : "Science", "id" : "ITEM-1", "issue" : "5549", "issued" : { "date-parts" : [ [ "2001" ] ] }, "page" : "2119-2124", "title" : "Aerosol, climate, and the hydrological cycle", "type" : "article-journal", "volume" : "294" }, "uris" : [ "http://www.mendeley.com/documents/?uuid=be92581f-001c-4a00-a51d-7e4307666915" ] } ], "mendeley" : { "formattedCitation" : "[&lt;i&gt;Ramanathan et al.&lt;/i&gt;, 2001]", "plainTextFormattedCitation" : "[Ramanathan et al., 2001]", "previouslyFormattedCitation" : "[&lt;i&gt;Ramanathan et al.&lt;/i&gt;, 2001]" }, "properties" : { "noteIndex" : 0 }, "schema" : "https://github.com/citation-style-language/schema/raw/master/csl-citation.json" }</w:instrText>
      </w:r>
      <w:r>
        <w:rPr>
          <w:rFonts w:ascii="Times New Roman" w:eastAsiaTheme="minorEastAsia" w:hAnsi="Times New Roman" w:cs="Times New Roman"/>
          <w:sz w:val="24"/>
          <w:szCs w:val="24"/>
        </w:rPr>
        <w:fldChar w:fldCharType="separate"/>
      </w:r>
      <w:r w:rsidRPr="00120179">
        <w:rPr>
          <w:rFonts w:ascii="Times New Roman" w:eastAsiaTheme="minorEastAsia" w:hAnsi="Times New Roman" w:cs="Times New Roman"/>
          <w:noProof/>
          <w:sz w:val="24"/>
          <w:szCs w:val="24"/>
        </w:rPr>
        <w:t>[</w:t>
      </w:r>
      <w:r w:rsidRPr="00120179">
        <w:rPr>
          <w:rFonts w:ascii="Times New Roman" w:eastAsiaTheme="minorEastAsia" w:hAnsi="Times New Roman" w:cs="Times New Roman"/>
          <w:i/>
          <w:noProof/>
          <w:sz w:val="24"/>
          <w:szCs w:val="24"/>
        </w:rPr>
        <w:t>Ramanathan et al.</w:t>
      </w:r>
      <w:r w:rsidRPr="00120179">
        <w:rPr>
          <w:rFonts w:ascii="Times New Roman" w:eastAsiaTheme="minorEastAsia" w:hAnsi="Times New Roman" w:cs="Times New Roman"/>
          <w:noProof/>
          <w:sz w:val="24"/>
          <w:szCs w:val="24"/>
        </w:rPr>
        <w:t>, 2001]</w:t>
      </w:r>
      <w:r>
        <w:rPr>
          <w:rFonts w:ascii="Times New Roman" w:eastAsiaTheme="minorEastAsia" w:hAnsi="Times New Roman" w:cs="Times New Roman"/>
          <w:sz w:val="24"/>
          <w:szCs w:val="24"/>
        </w:rPr>
        <w:fldChar w:fldCharType="end"/>
      </w:r>
      <w:r w:rsidR="000678E8">
        <w:rPr>
          <w:rFonts w:ascii="Times New Roman" w:eastAsiaTheme="minorEastAsia" w:hAnsi="Times New Roman" w:cs="Times New Roman"/>
          <w:sz w:val="24"/>
          <w:szCs w:val="24"/>
        </w:rPr>
        <w:t>.</w:t>
      </w:r>
    </w:p>
    <w:p w14:paraId="449BE973" w14:textId="77777777" w:rsidR="002A0292" w:rsidRDefault="002A0292">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14:paraId="7F39449C" w14:textId="77777777" w:rsidR="00BE6E4B" w:rsidRPr="00120179" w:rsidRDefault="00BE6E4B" w:rsidP="000E2F01">
      <w:pPr>
        <w:spacing w:after="0" w:line="480" w:lineRule="auto"/>
        <w:rPr>
          <w:rFonts w:ascii="Times New Roman" w:hAnsi="Times New Roman" w:cs="Times New Roman"/>
          <w:sz w:val="24"/>
          <w:szCs w:val="24"/>
        </w:rPr>
      </w:pPr>
    </w:p>
    <w:p w14:paraId="3270C337" w14:textId="7054ABB3" w:rsidR="000E2F01" w:rsidRDefault="002A0292" w:rsidP="000E2F0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020B0D" wp14:editId="676EA4AC">
            <wp:extent cx="5005070" cy="4099560"/>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05070" cy="4099560"/>
                    </a:xfrm>
                    <a:prstGeom prst="rect">
                      <a:avLst/>
                    </a:prstGeom>
                    <a:noFill/>
                  </pic:spPr>
                </pic:pic>
              </a:graphicData>
            </a:graphic>
          </wp:inline>
        </w:drawing>
      </w:r>
    </w:p>
    <w:p w14:paraId="2D184CF5" w14:textId="141330C0" w:rsidR="000678E8" w:rsidRDefault="002A0292" w:rsidP="000E2F01">
      <w:pPr>
        <w:spacing w:after="0" w:line="480" w:lineRule="auto"/>
        <w:rPr>
          <w:rFonts w:ascii="Times New Roman" w:hAnsi="Times New Roman" w:cs="Times New Roman"/>
          <w:sz w:val="24"/>
          <w:szCs w:val="24"/>
        </w:rPr>
      </w:pPr>
      <w:r w:rsidRPr="002A0292">
        <w:rPr>
          <w:rFonts w:ascii="Times New Roman" w:hAnsi="Times New Roman" w:cs="Times New Roman"/>
          <w:sz w:val="24"/>
          <w:szCs w:val="24"/>
        </w:rPr>
        <w:t xml:space="preserve">Figure S1. Example snapshot of global marine vessel traffic from February 22, 2012 obtained from www.shipmap.org. Data on ship position, heading and speed obtained from </w:t>
      </w:r>
      <w:proofErr w:type="spellStart"/>
      <w:r w:rsidRPr="002A0292">
        <w:rPr>
          <w:rFonts w:ascii="Times New Roman" w:hAnsi="Times New Roman" w:cs="Times New Roman"/>
          <w:sz w:val="24"/>
          <w:szCs w:val="24"/>
        </w:rPr>
        <w:t>exactEarthTM</w:t>
      </w:r>
      <w:proofErr w:type="spellEnd"/>
      <w:r w:rsidRPr="002A0292">
        <w:rPr>
          <w:rFonts w:ascii="Times New Roman" w:hAnsi="Times New Roman" w:cs="Times New Roman"/>
          <w:sz w:val="24"/>
          <w:szCs w:val="24"/>
        </w:rPr>
        <w:t xml:space="preserve"> satellite AIS data.</w:t>
      </w:r>
    </w:p>
    <w:p w14:paraId="6783461B" w14:textId="3C24CE3B" w:rsidR="000E2F01" w:rsidRDefault="00592CC1" w:rsidP="000E2F0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F1C0F9" wp14:editId="1D6139CD">
            <wp:extent cx="4038748" cy="50518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2387" cy="5056423"/>
                    </a:xfrm>
                    <a:prstGeom prst="rect">
                      <a:avLst/>
                    </a:prstGeom>
                    <a:noFill/>
                  </pic:spPr>
                </pic:pic>
              </a:graphicData>
            </a:graphic>
          </wp:inline>
        </w:drawing>
      </w:r>
    </w:p>
    <w:p w14:paraId="3F1ACC47" w14:textId="3F5377FF" w:rsidR="000E2F01" w:rsidRDefault="000E2F01" w:rsidP="000E2F0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140600">
        <w:rPr>
          <w:rFonts w:ascii="Times New Roman" w:hAnsi="Times New Roman" w:cs="Times New Roman"/>
          <w:sz w:val="24"/>
          <w:szCs w:val="24"/>
        </w:rPr>
        <w:t>S2</w:t>
      </w:r>
      <w:r>
        <w:rPr>
          <w:rFonts w:ascii="Times New Roman" w:hAnsi="Times New Roman" w:cs="Times New Roman"/>
          <w:sz w:val="24"/>
          <w:szCs w:val="24"/>
        </w:rPr>
        <w:t>. Maritime vessel arrivals into the port of Singapore in terms of total tonnage per year</w:t>
      </w:r>
      <w:r w:rsidR="00592CC1">
        <w:rPr>
          <w:rFonts w:ascii="Times New Roman" w:hAnsi="Times New Roman" w:cs="Times New Roman"/>
          <w:sz w:val="24"/>
          <w:szCs w:val="24"/>
        </w:rPr>
        <w:t xml:space="preserve"> (top)</w:t>
      </w:r>
      <w:r>
        <w:rPr>
          <w:rFonts w:ascii="Times New Roman" w:hAnsi="Times New Roman" w:cs="Times New Roman"/>
          <w:sz w:val="24"/>
          <w:szCs w:val="24"/>
        </w:rPr>
        <w:t xml:space="preserve">, </w:t>
      </w:r>
      <w:r w:rsidR="00592CC1">
        <w:rPr>
          <w:rFonts w:ascii="Times New Roman" w:hAnsi="Times New Roman" w:cs="Times New Roman"/>
          <w:sz w:val="24"/>
          <w:szCs w:val="24"/>
        </w:rPr>
        <w:t>and number of vessels excluding passenger and tugs</w:t>
      </w:r>
      <w:r w:rsidR="00B33AE2">
        <w:rPr>
          <w:rFonts w:ascii="Times New Roman" w:hAnsi="Times New Roman" w:cs="Times New Roman"/>
          <w:sz w:val="24"/>
          <w:szCs w:val="24"/>
        </w:rPr>
        <w:t xml:space="preserve"> (bottom), </w:t>
      </w:r>
      <w:r>
        <w:rPr>
          <w:rFonts w:ascii="Times New Roman" w:hAnsi="Times New Roman" w:cs="Times New Roman"/>
          <w:sz w:val="24"/>
          <w:szCs w:val="24"/>
        </w:rPr>
        <w:t>obtained from the Maritime Port Authority, Port of Singapore statistics (</w:t>
      </w:r>
      <w:r w:rsidRPr="00411063">
        <w:rPr>
          <w:rFonts w:ascii="Times New Roman" w:hAnsi="Times New Roman" w:cs="Times New Roman"/>
          <w:sz w:val="24"/>
          <w:szCs w:val="24"/>
        </w:rPr>
        <w:t>http://www.mpa.gov.sg/web/portal/home/port-of-singapore/port-statistics</w:t>
      </w:r>
      <w:r>
        <w:rPr>
          <w:rFonts w:ascii="Times New Roman" w:hAnsi="Times New Roman" w:cs="Times New Roman"/>
          <w:sz w:val="24"/>
          <w:szCs w:val="24"/>
        </w:rPr>
        <w:t>)</w:t>
      </w:r>
      <w:r w:rsidR="002A0292">
        <w:rPr>
          <w:rFonts w:ascii="Times New Roman" w:hAnsi="Times New Roman" w:cs="Times New Roman"/>
          <w:sz w:val="24"/>
          <w:szCs w:val="24"/>
        </w:rPr>
        <w:t>.</w:t>
      </w:r>
    </w:p>
    <w:p w14:paraId="15BC685C" w14:textId="31FF147E" w:rsidR="00731404" w:rsidRDefault="00731404" w:rsidP="00AB712A">
      <w:pPr>
        <w:spacing w:after="0" w:line="480" w:lineRule="auto"/>
        <w:rPr>
          <w:rFonts w:ascii="Times New Roman" w:hAnsi="Times New Roman" w:cs="Times New Roman"/>
          <w:sz w:val="24"/>
          <w:szCs w:val="24"/>
        </w:rPr>
      </w:pPr>
    </w:p>
    <w:p w14:paraId="5EAB4F87" w14:textId="0454103D" w:rsidR="000E2F01" w:rsidRDefault="000E2F01" w:rsidP="00AB712A">
      <w:pPr>
        <w:spacing w:after="0" w:line="480" w:lineRule="auto"/>
        <w:rPr>
          <w:rFonts w:ascii="Times New Roman" w:hAnsi="Times New Roman" w:cs="Times New Roman"/>
          <w:sz w:val="24"/>
          <w:szCs w:val="24"/>
        </w:rPr>
      </w:pPr>
    </w:p>
    <w:p w14:paraId="0B09DA28" w14:textId="77777777" w:rsidR="000E2F01" w:rsidRDefault="000E2F01" w:rsidP="00AB712A">
      <w:pPr>
        <w:spacing w:after="0" w:line="480" w:lineRule="auto"/>
        <w:rPr>
          <w:rFonts w:ascii="Times New Roman" w:hAnsi="Times New Roman" w:cs="Times New Roman"/>
          <w:sz w:val="24"/>
          <w:szCs w:val="24"/>
        </w:rPr>
      </w:pPr>
    </w:p>
    <w:p w14:paraId="32B6C9A8" w14:textId="2BF3B0F1" w:rsidR="00B56C7E" w:rsidRDefault="00B56C7E" w:rsidP="00D77E01">
      <w:pPr>
        <w:spacing w:after="0" w:line="480" w:lineRule="auto"/>
        <w:rPr>
          <w:rFonts w:ascii="Times New Roman" w:hAnsi="Times New Roman" w:cs="Times New Roman"/>
          <w:sz w:val="24"/>
          <w:szCs w:val="24"/>
        </w:rPr>
      </w:pPr>
    </w:p>
    <w:p w14:paraId="443F9602" w14:textId="77777777" w:rsidR="00B56C7E" w:rsidRDefault="00B56C7E" w:rsidP="00D77E01">
      <w:pPr>
        <w:spacing w:after="0" w:line="480" w:lineRule="auto"/>
        <w:rPr>
          <w:rFonts w:ascii="Times New Roman" w:hAnsi="Times New Roman" w:cs="Times New Roman"/>
          <w:sz w:val="24"/>
          <w:szCs w:val="24"/>
        </w:rPr>
      </w:pPr>
    </w:p>
    <w:p w14:paraId="6DF9016A" w14:textId="73AF6555" w:rsidR="00B56C7E" w:rsidRDefault="003B6C4D" w:rsidP="00D77E01">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CF53B5" wp14:editId="6ECB1AE5">
            <wp:extent cx="3657600" cy="56883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5688330"/>
                    </a:xfrm>
                    <a:prstGeom prst="rect">
                      <a:avLst/>
                    </a:prstGeom>
                    <a:noFill/>
                  </pic:spPr>
                </pic:pic>
              </a:graphicData>
            </a:graphic>
          </wp:inline>
        </w:drawing>
      </w:r>
    </w:p>
    <w:p w14:paraId="1E7B05E8" w14:textId="3D80B3F6" w:rsidR="007021D9" w:rsidRDefault="007021D9" w:rsidP="00D77E01">
      <w:pPr>
        <w:spacing w:after="0" w:line="480" w:lineRule="auto"/>
        <w:rPr>
          <w:rFonts w:ascii="Times New Roman" w:hAnsi="Times New Roman" w:cs="Times New Roman"/>
          <w:sz w:val="24"/>
          <w:szCs w:val="24"/>
        </w:rPr>
      </w:pPr>
    </w:p>
    <w:p w14:paraId="6536EA64" w14:textId="5241AAF0" w:rsidR="005A7D65" w:rsidRDefault="005A7D65" w:rsidP="005116B5">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140600">
        <w:rPr>
          <w:rFonts w:ascii="Times New Roman" w:hAnsi="Times New Roman" w:cs="Times New Roman"/>
          <w:sz w:val="24"/>
          <w:szCs w:val="24"/>
        </w:rPr>
        <w:t>S3</w:t>
      </w:r>
      <w:r>
        <w:rPr>
          <w:rFonts w:ascii="Times New Roman" w:hAnsi="Times New Roman" w:cs="Times New Roman"/>
          <w:sz w:val="24"/>
          <w:szCs w:val="24"/>
        </w:rPr>
        <w:t xml:space="preserve">. </w:t>
      </w:r>
      <w:r w:rsidR="005116B5">
        <w:rPr>
          <w:rFonts w:ascii="Times New Roman" w:hAnsi="Times New Roman" w:cs="Times New Roman"/>
          <w:sz w:val="24"/>
          <w:szCs w:val="24"/>
        </w:rPr>
        <w:t xml:space="preserve">Top: seasonally </w:t>
      </w:r>
      <w:r w:rsidR="00DD1221">
        <w:rPr>
          <w:rFonts w:ascii="Times New Roman" w:hAnsi="Times New Roman" w:cs="Times New Roman"/>
          <w:sz w:val="24"/>
          <w:szCs w:val="24"/>
        </w:rPr>
        <w:t>averaged</w:t>
      </w:r>
      <w:r>
        <w:rPr>
          <w:rFonts w:ascii="Times New Roman" w:hAnsi="Times New Roman" w:cs="Times New Roman"/>
          <w:sz w:val="24"/>
          <w:szCs w:val="24"/>
        </w:rPr>
        <w:t xml:space="preserve"> ERA-Interim Convective Available Potential Energy</w:t>
      </w:r>
      <w:r w:rsidR="00DD1221">
        <w:rPr>
          <w:rFonts w:ascii="Times New Roman" w:hAnsi="Times New Roman" w:cs="Times New Roman"/>
          <w:sz w:val="24"/>
          <w:szCs w:val="24"/>
        </w:rPr>
        <w:t xml:space="preserve"> </w:t>
      </w:r>
      <w:r w:rsidR="005116B5">
        <w:rPr>
          <w:rFonts w:ascii="Times New Roman" w:hAnsi="Times New Roman" w:cs="Times New Roman"/>
          <w:sz w:val="24"/>
          <w:szCs w:val="24"/>
        </w:rPr>
        <w:t xml:space="preserve">(CAPE) </w:t>
      </w:r>
      <w:r w:rsidR="00DD1221">
        <w:rPr>
          <w:rFonts w:ascii="Times New Roman" w:hAnsi="Times New Roman" w:cs="Times New Roman"/>
          <w:sz w:val="24"/>
          <w:szCs w:val="24"/>
        </w:rPr>
        <w:t>for northern hemisphere summer (MJJASO)</w:t>
      </w:r>
      <w:r>
        <w:rPr>
          <w:rFonts w:ascii="Times New Roman" w:hAnsi="Times New Roman" w:cs="Times New Roman"/>
          <w:sz w:val="24"/>
          <w:szCs w:val="24"/>
        </w:rPr>
        <w:t xml:space="preserve"> for comparison with the northern winter mean shown in Figure 3d.</w:t>
      </w:r>
      <w:r w:rsidR="005116B5">
        <w:rPr>
          <w:rFonts w:ascii="Times New Roman" w:hAnsi="Times New Roman" w:cs="Times New Roman"/>
          <w:sz w:val="24"/>
          <w:szCs w:val="24"/>
        </w:rPr>
        <w:t xml:space="preserve"> Bottom: seasonally averaged sea surface temperature (SST) for northern hemisphere winter (NDJFMA) from the </w:t>
      </w:r>
      <w:r w:rsidR="005116B5" w:rsidRPr="005116B5">
        <w:rPr>
          <w:rFonts w:ascii="Times New Roman" w:hAnsi="Times New Roman" w:cs="Times New Roman"/>
          <w:sz w:val="24"/>
          <w:szCs w:val="24"/>
        </w:rPr>
        <w:t>NOAA Optimal Interpolation (OI) SST daily, 0.25</w:t>
      </w:r>
      <w:r w:rsidR="005116B5">
        <w:rPr>
          <w:rFonts w:ascii="Times New Roman" w:hAnsi="Times New Roman" w:cs="Times New Roman"/>
          <w:sz w:val="24"/>
          <w:szCs w:val="24"/>
          <w:vertAlign w:val="superscript"/>
        </w:rPr>
        <w:t>o</w:t>
      </w:r>
      <w:r w:rsidR="005116B5" w:rsidRPr="005116B5">
        <w:rPr>
          <w:rFonts w:ascii="Times New Roman" w:hAnsi="Times New Roman" w:cs="Times New Roman"/>
          <w:sz w:val="24"/>
          <w:szCs w:val="24"/>
        </w:rPr>
        <w:t xml:space="preserve"> resolution </w:t>
      </w:r>
      <w:r w:rsidR="005116B5">
        <w:rPr>
          <w:rFonts w:ascii="Times New Roman" w:hAnsi="Times New Roman" w:cs="Times New Roman"/>
          <w:sz w:val="24"/>
          <w:szCs w:val="24"/>
        </w:rPr>
        <w:t>dataset.</w:t>
      </w:r>
    </w:p>
    <w:p w14:paraId="71B5E837" w14:textId="39B95155" w:rsidR="007021D9" w:rsidRDefault="007021D9" w:rsidP="00D77E01">
      <w:pPr>
        <w:spacing w:after="0" w:line="480" w:lineRule="auto"/>
        <w:rPr>
          <w:rFonts w:ascii="Times New Roman" w:hAnsi="Times New Roman" w:cs="Times New Roman"/>
          <w:sz w:val="24"/>
          <w:szCs w:val="24"/>
        </w:rPr>
      </w:pPr>
    </w:p>
    <w:p w14:paraId="1571F410" w14:textId="12A14404" w:rsidR="001E6191" w:rsidRDefault="001E6191" w:rsidP="00D77E01">
      <w:pPr>
        <w:spacing w:after="0" w:line="480" w:lineRule="auto"/>
        <w:rPr>
          <w:rFonts w:ascii="Times New Roman" w:hAnsi="Times New Roman" w:cs="Times New Roman"/>
          <w:sz w:val="24"/>
          <w:szCs w:val="24"/>
        </w:rPr>
      </w:pPr>
    </w:p>
    <w:p w14:paraId="4FBB0F77" w14:textId="7378E1DE" w:rsidR="001E6191" w:rsidRDefault="001E6191" w:rsidP="00D77E0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B9244E" wp14:editId="6C6CC784">
            <wp:extent cx="3441076" cy="5733143"/>
            <wp:effectExtent l="0" t="0" r="698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1076" cy="5733143"/>
                    </a:xfrm>
                    <a:prstGeom prst="rect">
                      <a:avLst/>
                    </a:prstGeom>
                    <a:noFill/>
                  </pic:spPr>
                </pic:pic>
              </a:graphicData>
            </a:graphic>
          </wp:inline>
        </w:drawing>
      </w:r>
    </w:p>
    <w:p w14:paraId="7F7E075A" w14:textId="1371947D" w:rsidR="001E6191" w:rsidRDefault="001E6191" w:rsidP="00D77E01">
      <w:pPr>
        <w:spacing w:after="0" w:line="480" w:lineRule="auto"/>
        <w:rPr>
          <w:rFonts w:ascii="Times New Roman" w:hAnsi="Times New Roman" w:cs="Times New Roman"/>
          <w:sz w:val="24"/>
          <w:szCs w:val="24"/>
        </w:rPr>
      </w:pPr>
      <w:r>
        <w:rPr>
          <w:rFonts w:ascii="Times New Roman" w:hAnsi="Times New Roman" w:cs="Times New Roman"/>
          <w:sz w:val="24"/>
          <w:szCs w:val="24"/>
        </w:rPr>
        <w:t>Figure S4. Absolute (top) and relative (bottom) hourly WWLLN lightning frequency during northern hemisphere winter (NDJFMA)</w:t>
      </w:r>
      <w:r w:rsidR="00406E62">
        <w:rPr>
          <w:rFonts w:ascii="Times New Roman" w:hAnsi="Times New Roman" w:cs="Times New Roman"/>
          <w:sz w:val="24"/>
          <w:szCs w:val="24"/>
        </w:rPr>
        <w:t xml:space="preserve"> is</w:t>
      </w:r>
      <w:r>
        <w:rPr>
          <w:rFonts w:ascii="Times New Roman" w:hAnsi="Times New Roman" w:cs="Times New Roman"/>
          <w:sz w:val="24"/>
          <w:szCs w:val="24"/>
        </w:rPr>
        <w:t xml:space="preserve"> zonally averaged into four different local time of day bins for the same domain as in Figure 3. While there is a slight diurnal cycle in lightning frequency maximizing in the early morning, the enhancement over the shipping lane</w:t>
      </w:r>
      <w:r w:rsidR="00406E62">
        <w:rPr>
          <w:rFonts w:ascii="Times New Roman" w:hAnsi="Times New Roman" w:cs="Times New Roman"/>
          <w:sz w:val="24"/>
          <w:szCs w:val="24"/>
        </w:rPr>
        <w:t xml:space="preserve"> is persistent across all times of day and the relative magnitude of the enhancement has no apparent diurnal cycle.</w:t>
      </w:r>
      <w:r>
        <w:rPr>
          <w:rFonts w:ascii="Times New Roman" w:hAnsi="Times New Roman" w:cs="Times New Roman"/>
          <w:sz w:val="24"/>
          <w:szCs w:val="24"/>
        </w:rPr>
        <w:t xml:space="preserve"> </w:t>
      </w:r>
    </w:p>
    <w:p w14:paraId="53277E99" w14:textId="365ACFCD" w:rsidR="007021D9" w:rsidRDefault="00F1075D" w:rsidP="00D77E01">
      <w:pPr>
        <w:spacing w:after="0" w:line="480" w:lineRule="auto"/>
        <w:rPr>
          <w:rFonts w:ascii="Times New Roman" w:hAnsi="Times New Roman" w:cs="Times New Roman"/>
          <w:sz w:val="24"/>
          <w:szCs w:val="24"/>
        </w:rPr>
      </w:pPr>
      <w:r>
        <w:rPr>
          <w:noProof/>
        </w:rPr>
        <w:lastRenderedPageBreak/>
        <w:drawing>
          <wp:inline distT="0" distB="0" distL="0" distR="0" wp14:anchorId="78E314B4" wp14:editId="352A1E53">
            <wp:extent cx="3657600" cy="2743200"/>
            <wp:effectExtent l="0" t="0" r="0" b="0"/>
            <wp:docPr id="3" name="Picture 3" descr="C:\Users\JAT\AppData\Local\Microsoft\Windows\INetCache\Content.Word\trmm_lis_sh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T\AppData\Local\Microsoft\Windows\INetCache\Content.Word\trmm_lis_shi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14:paraId="600F8F6B" w14:textId="5E6C1E95" w:rsidR="007021D9" w:rsidRDefault="00F1075D" w:rsidP="00D77E0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574185">
        <w:rPr>
          <w:rFonts w:ascii="Times New Roman" w:hAnsi="Times New Roman" w:cs="Times New Roman"/>
          <w:sz w:val="24"/>
          <w:szCs w:val="24"/>
        </w:rPr>
        <w:t>S</w:t>
      </w:r>
      <w:r w:rsidR="00C07C4C">
        <w:rPr>
          <w:rFonts w:ascii="Times New Roman" w:hAnsi="Times New Roman" w:cs="Times New Roman"/>
          <w:sz w:val="24"/>
          <w:szCs w:val="24"/>
        </w:rPr>
        <w:t>5</w:t>
      </w:r>
      <w:r>
        <w:rPr>
          <w:rFonts w:ascii="Times New Roman" w:hAnsi="Times New Roman" w:cs="Times New Roman"/>
          <w:sz w:val="24"/>
          <w:szCs w:val="24"/>
        </w:rPr>
        <w:t>. Zonal-mean lightning flash density from the TRMM-LIS satellite instrument (see text). All data collected</w:t>
      </w:r>
      <w:r w:rsidR="000013FA">
        <w:rPr>
          <w:rFonts w:ascii="Times New Roman" w:hAnsi="Times New Roman" w:cs="Times New Roman"/>
          <w:sz w:val="24"/>
          <w:szCs w:val="24"/>
        </w:rPr>
        <w:t xml:space="preserve"> during November - April</w:t>
      </w:r>
      <w:r>
        <w:rPr>
          <w:rFonts w:ascii="Times New Roman" w:hAnsi="Times New Roman" w:cs="Times New Roman"/>
          <w:sz w:val="24"/>
          <w:szCs w:val="24"/>
        </w:rPr>
        <w:t xml:space="preserve"> from 1998 to 2015 over the same region in Figure 3 are used. </w:t>
      </w:r>
      <w:r w:rsidR="0067651D">
        <w:rPr>
          <w:rFonts w:ascii="Times New Roman" w:hAnsi="Times New Roman" w:cs="Times New Roman"/>
          <w:sz w:val="24"/>
          <w:szCs w:val="24"/>
        </w:rPr>
        <w:t>The standard error of the mean (not shown) of the LIS flash density data shown in Figure S5 ranges between 0.25 and 0.35 flashes km</w:t>
      </w:r>
      <w:r w:rsidR="0067651D">
        <w:rPr>
          <w:rFonts w:ascii="Times New Roman" w:hAnsi="Times New Roman" w:cs="Times New Roman"/>
          <w:sz w:val="24"/>
          <w:szCs w:val="24"/>
          <w:vertAlign w:val="superscript"/>
        </w:rPr>
        <w:t>-2</w:t>
      </w:r>
      <w:r w:rsidR="0067651D">
        <w:rPr>
          <w:rFonts w:ascii="Times New Roman" w:hAnsi="Times New Roman" w:cs="Times New Roman"/>
          <w:sz w:val="24"/>
          <w:szCs w:val="24"/>
        </w:rPr>
        <w:t xml:space="preserve"> yr</w:t>
      </w:r>
      <w:r w:rsidR="0067651D">
        <w:rPr>
          <w:rFonts w:ascii="Times New Roman" w:hAnsi="Times New Roman" w:cs="Times New Roman"/>
          <w:sz w:val="24"/>
          <w:szCs w:val="24"/>
          <w:vertAlign w:val="superscript"/>
        </w:rPr>
        <w:t>-1</w:t>
      </w:r>
      <w:r w:rsidR="0067651D">
        <w:rPr>
          <w:rFonts w:ascii="Times New Roman" w:hAnsi="Times New Roman" w:cs="Times New Roman"/>
          <w:sz w:val="24"/>
          <w:szCs w:val="24"/>
        </w:rPr>
        <w:t xml:space="preserve">. </w:t>
      </w:r>
      <w:r>
        <w:rPr>
          <w:rFonts w:ascii="Times New Roman" w:hAnsi="Times New Roman" w:cs="Times New Roman"/>
          <w:sz w:val="24"/>
          <w:szCs w:val="24"/>
        </w:rPr>
        <w:t>A somewhat broader enhancement is observed, possibly due to the much smaller sample size than the WWLLN data</w:t>
      </w:r>
      <w:r w:rsidR="0067651D">
        <w:rPr>
          <w:rFonts w:ascii="Times New Roman" w:hAnsi="Times New Roman" w:cs="Times New Roman"/>
          <w:sz w:val="24"/>
          <w:szCs w:val="24"/>
        </w:rPr>
        <w:t>, which has an order of magnitude smaller standard error</w:t>
      </w:r>
      <w:r>
        <w:rPr>
          <w:rFonts w:ascii="Times New Roman" w:hAnsi="Times New Roman" w:cs="Times New Roman"/>
          <w:sz w:val="24"/>
          <w:szCs w:val="24"/>
        </w:rPr>
        <w:t xml:space="preserve">. The enhancement peaks </w:t>
      </w:r>
      <w:r w:rsidR="00963998">
        <w:rPr>
          <w:rFonts w:ascii="Times New Roman" w:hAnsi="Times New Roman" w:cs="Times New Roman"/>
          <w:sz w:val="24"/>
          <w:szCs w:val="24"/>
        </w:rPr>
        <w:t>be</w:t>
      </w:r>
      <w:r w:rsidR="00D10962">
        <w:rPr>
          <w:rFonts w:ascii="Times New Roman" w:hAnsi="Times New Roman" w:cs="Times New Roman"/>
          <w:sz w:val="24"/>
          <w:szCs w:val="24"/>
        </w:rPr>
        <w:t>t</w:t>
      </w:r>
      <w:r w:rsidR="00963998">
        <w:rPr>
          <w:rFonts w:ascii="Times New Roman" w:hAnsi="Times New Roman" w:cs="Times New Roman"/>
          <w:sz w:val="24"/>
          <w:szCs w:val="24"/>
        </w:rPr>
        <w:t>ween</w:t>
      </w:r>
      <w:r>
        <w:rPr>
          <w:rFonts w:ascii="Times New Roman" w:hAnsi="Times New Roman" w:cs="Times New Roman"/>
          <w:sz w:val="24"/>
          <w:szCs w:val="24"/>
        </w:rPr>
        <w:t xml:space="preserve"> 5 to 6</w:t>
      </w:r>
      <w:r>
        <w:rPr>
          <w:rFonts w:ascii="Times New Roman" w:hAnsi="Times New Roman" w:cs="Times New Roman"/>
          <w:sz w:val="24"/>
          <w:szCs w:val="24"/>
          <w:vertAlign w:val="superscript"/>
        </w:rPr>
        <w:t>o</w:t>
      </w:r>
      <w:r>
        <w:rPr>
          <w:rFonts w:ascii="Times New Roman" w:hAnsi="Times New Roman" w:cs="Times New Roman"/>
          <w:sz w:val="24"/>
          <w:szCs w:val="24"/>
        </w:rPr>
        <w:t xml:space="preserve">N and is </w:t>
      </w:r>
      <w:r w:rsidR="003E7B8B">
        <w:rPr>
          <w:rFonts w:ascii="Times New Roman" w:hAnsi="Times New Roman" w:cs="Times New Roman"/>
          <w:sz w:val="24"/>
          <w:szCs w:val="24"/>
        </w:rPr>
        <w:t xml:space="preserve">nearly a </w:t>
      </w:r>
      <w:r>
        <w:rPr>
          <w:rFonts w:ascii="Times New Roman" w:hAnsi="Times New Roman" w:cs="Times New Roman"/>
          <w:sz w:val="24"/>
          <w:szCs w:val="24"/>
        </w:rPr>
        <w:t xml:space="preserve">factor of two over the surrounding region, </w:t>
      </w:r>
      <w:proofErr w:type="gramStart"/>
      <w:r>
        <w:rPr>
          <w:rFonts w:ascii="Times New Roman" w:hAnsi="Times New Roman" w:cs="Times New Roman"/>
          <w:sz w:val="24"/>
          <w:szCs w:val="24"/>
        </w:rPr>
        <w:t>similar to</w:t>
      </w:r>
      <w:proofErr w:type="gramEnd"/>
      <w:r>
        <w:rPr>
          <w:rFonts w:ascii="Times New Roman" w:hAnsi="Times New Roman" w:cs="Times New Roman"/>
          <w:sz w:val="24"/>
          <w:szCs w:val="24"/>
        </w:rPr>
        <w:t xml:space="preserve"> the enhancement detected with WWLLN. </w:t>
      </w:r>
    </w:p>
    <w:p w14:paraId="3AAF2283" w14:textId="441E1414" w:rsidR="007021D9" w:rsidRDefault="007021D9" w:rsidP="00D77E01">
      <w:pPr>
        <w:spacing w:after="0" w:line="480" w:lineRule="auto"/>
        <w:rPr>
          <w:rFonts w:ascii="Times New Roman" w:hAnsi="Times New Roman" w:cs="Times New Roman"/>
          <w:sz w:val="24"/>
          <w:szCs w:val="24"/>
        </w:rPr>
      </w:pPr>
    </w:p>
    <w:p w14:paraId="50F51397" w14:textId="77777777" w:rsidR="006F1EFF" w:rsidRDefault="006F1EFF" w:rsidP="00D77E01">
      <w:pPr>
        <w:spacing w:after="0" w:line="480" w:lineRule="auto"/>
        <w:rPr>
          <w:rFonts w:ascii="Times New Roman" w:hAnsi="Times New Roman" w:cs="Times New Roman"/>
          <w:sz w:val="24"/>
          <w:szCs w:val="24"/>
        </w:rPr>
      </w:pPr>
    </w:p>
    <w:p w14:paraId="4689D21F" w14:textId="18AC04D5" w:rsidR="004C205C" w:rsidRDefault="004C205C" w:rsidP="00D77E01">
      <w:pPr>
        <w:spacing w:after="0" w:line="480" w:lineRule="auto"/>
        <w:rPr>
          <w:rFonts w:ascii="Times New Roman" w:hAnsi="Times New Roman" w:cs="Times New Roman"/>
          <w:sz w:val="24"/>
          <w:szCs w:val="24"/>
        </w:rPr>
      </w:pPr>
    </w:p>
    <w:p w14:paraId="1A420CDD" w14:textId="72F43793" w:rsidR="004C205C" w:rsidRDefault="004C205C" w:rsidP="004C205C">
      <w:pPr>
        <w:rPr>
          <w:rFonts w:ascii="Times New Roman" w:hAnsi="Times New Roman" w:cs="Times New Roman"/>
          <w:sz w:val="24"/>
          <w:szCs w:val="24"/>
        </w:rPr>
      </w:pPr>
    </w:p>
    <w:p w14:paraId="1E04F293" w14:textId="31B38569" w:rsidR="004C205C" w:rsidRDefault="004C205C">
      <w:pPr>
        <w:rPr>
          <w:rFonts w:ascii="Times New Roman" w:hAnsi="Times New Roman" w:cs="Times New Roman"/>
          <w:sz w:val="24"/>
          <w:szCs w:val="24"/>
        </w:rPr>
      </w:pPr>
      <w:r>
        <w:rPr>
          <w:rFonts w:ascii="Times New Roman" w:hAnsi="Times New Roman" w:cs="Times New Roman"/>
          <w:sz w:val="24"/>
          <w:szCs w:val="24"/>
        </w:rPr>
        <w:br w:type="page"/>
      </w:r>
    </w:p>
    <w:p w14:paraId="4F11CC4F" w14:textId="2465E386" w:rsidR="00245284" w:rsidRDefault="004C205C" w:rsidP="004C205C">
      <w:pPr>
        <w:rPr>
          <w:rFonts w:ascii="Times New Roman" w:hAnsi="Times New Roman" w:cs="Times New Roman"/>
          <w:sz w:val="24"/>
          <w:szCs w:val="24"/>
        </w:rPr>
      </w:pPr>
      <w:r w:rsidRPr="004C205C">
        <w:rPr>
          <w:rFonts w:ascii="Times New Roman" w:hAnsi="Times New Roman" w:cs="Times New Roman"/>
          <w:sz w:val="24"/>
          <w:szCs w:val="24"/>
        </w:rPr>
        <w:lastRenderedPageBreak/>
        <w:t xml:space="preserve">We assume that </w:t>
      </w:r>
      <w:proofErr w:type="spellStart"/>
      <w:r w:rsidRPr="004C205C">
        <w:rPr>
          <w:rFonts w:ascii="Times New Roman" w:hAnsi="Times New Roman" w:cs="Times New Roman"/>
          <w:sz w:val="24"/>
          <w:szCs w:val="24"/>
        </w:rPr>
        <w:t>meso</w:t>
      </w:r>
      <w:proofErr w:type="spellEnd"/>
      <w:r w:rsidRPr="004C205C">
        <w:rPr>
          <w:rFonts w:ascii="Times New Roman" w:hAnsi="Times New Roman" w:cs="Times New Roman"/>
          <w:sz w:val="24"/>
          <w:szCs w:val="24"/>
        </w:rPr>
        <w:t xml:space="preserve"> and</w:t>
      </w:r>
      <w:r>
        <w:rPr>
          <w:rFonts w:ascii="Times New Roman" w:hAnsi="Times New Roman" w:cs="Times New Roman"/>
          <w:sz w:val="24"/>
          <w:szCs w:val="24"/>
        </w:rPr>
        <w:t xml:space="preserve"> synoptic scale variations in</w:t>
      </w:r>
      <w:r w:rsidRPr="004C205C">
        <w:rPr>
          <w:rFonts w:ascii="Times New Roman" w:hAnsi="Times New Roman" w:cs="Times New Roman"/>
          <w:sz w:val="24"/>
          <w:szCs w:val="24"/>
        </w:rPr>
        <w:t xml:space="preserve"> the horizontal w</w:t>
      </w:r>
      <w:r>
        <w:rPr>
          <w:rFonts w:ascii="Times New Roman" w:hAnsi="Times New Roman" w:cs="Times New Roman"/>
          <w:sz w:val="24"/>
          <w:szCs w:val="24"/>
        </w:rPr>
        <w:t xml:space="preserve">ind speed and direction </w:t>
      </w:r>
      <w:r w:rsidRPr="004C205C">
        <w:rPr>
          <w:rFonts w:ascii="Times New Roman" w:hAnsi="Times New Roman" w:cs="Times New Roman"/>
          <w:sz w:val="24"/>
          <w:szCs w:val="24"/>
        </w:rPr>
        <w:t xml:space="preserve">together with more localized convective circulations disperse the </w:t>
      </w:r>
      <w:r>
        <w:rPr>
          <w:rFonts w:ascii="Times New Roman" w:hAnsi="Times New Roman" w:cs="Times New Roman"/>
          <w:sz w:val="24"/>
          <w:szCs w:val="24"/>
        </w:rPr>
        <w:t xml:space="preserve">ship </w:t>
      </w:r>
      <w:r w:rsidRPr="004C205C">
        <w:rPr>
          <w:rFonts w:ascii="Times New Roman" w:hAnsi="Times New Roman" w:cs="Times New Roman"/>
          <w:sz w:val="24"/>
          <w:szCs w:val="24"/>
        </w:rPr>
        <w:t>plume</w:t>
      </w:r>
      <w:r>
        <w:rPr>
          <w:rFonts w:ascii="Times New Roman" w:hAnsi="Times New Roman" w:cs="Times New Roman"/>
          <w:sz w:val="24"/>
          <w:szCs w:val="24"/>
        </w:rPr>
        <w:t>s</w:t>
      </w:r>
      <w:r w:rsidRPr="004C205C">
        <w:rPr>
          <w:rFonts w:ascii="Times New Roman" w:hAnsi="Times New Roman" w:cs="Times New Roman"/>
          <w:sz w:val="24"/>
          <w:szCs w:val="24"/>
        </w:rPr>
        <w:t xml:space="preserve"> over hundreds of km in either direction. For example, a 3 m/s wind would </w:t>
      </w:r>
      <w:proofErr w:type="spellStart"/>
      <w:r w:rsidRPr="004C205C">
        <w:rPr>
          <w:rFonts w:ascii="Times New Roman" w:hAnsi="Times New Roman" w:cs="Times New Roman"/>
          <w:sz w:val="24"/>
          <w:szCs w:val="24"/>
        </w:rPr>
        <w:t>advect</w:t>
      </w:r>
      <w:proofErr w:type="spellEnd"/>
      <w:r w:rsidRPr="004C205C">
        <w:rPr>
          <w:rFonts w:ascii="Times New Roman" w:hAnsi="Times New Roman" w:cs="Times New Roman"/>
          <w:sz w:val="24"/>
          <w:szCs w:val="24"/>
        </w:rPr>
        <w:t xml:space="preserve"> the plume 260 km in 1 day. We are averaging lightning </w:t>
      </w:r>
      <w:r>
        <w:rPr>
          <w:rFonts w:ascii="Times New Roman" w:hAnsi="Times New Roman" w:cs="Times New Roman"/>
          <w:sz w:val="24"/>
          <w:szCs w:val="24"/>
        </w:rPr>
        <w:t>strokes over at least 2-</w:t>
      </w:r>
      <w:r w:rsidRPr="004C205C">
        <w:rPr>
          <w:rFonts w:ascii="Times New Roman" w:hAnsi="Times New Roman" w:cs="Times New Roman"/>
          <w:sz w:val="24"/>
          <w:szCs w:val="24"/>
        </w:rPr>
        <w:t xml:space="preserve">year periods for this analysis, and thus we are making an average over the variations in wind direction and speed that occur on the daily and weekly timescales. </w:t>
      </w:r>
      <w:r>
        <w:rPr>
          <w:rFonts w:ascii="Times New Roman" w:hAnsi="Times New Roman" w:cs="Times New Roman"/>
          <w:sz w:val="24"/>
          <w:szCs w:val="24"/>
        </w:rPr>
        <w:t>T</w:t>
      </w:r>
      <w:r w:rsidRPr="004C205C">
        <w:rPr>
          <w:rFonts w:ascii="Times New Roman" w:hAnsi="Times New Roman" w:cs="Times New Roman"/>
          <w:sz w:val="24"/>
          <w:szCs w:val="24"/>
        </w:rPr>
        <w:t xml:space="preserve">he HYSPLIT gaussian dispersion model </w:t>
      </w:r>
      <w:r>
        <w:rPr>
          <w:rFonts w:ascii="Times New Roman" w:hAnsi="Times New Roman" w:cs="Times New Roman"/>
          <w:sz w:val="24"/>
          <w:szCs w:val="24"/>
        </w:rPr>
        <w:t xml:space="preserve">run </w:t>
      </w:r>
      <w:r w:rsidRPr="004C205C">
        <w:rPr>
          <w:rFonts w:ascii="Times New Roman" w:hAnsi="Times New Roman" w:cs="Times New Roman"/>
          <w:sz w:val="24"/>
          <w:szCs w:val="24"/>
        </w:rPr>
        <w:t>for a few days</w:t>
      </w:r>
      <w:r>
        <w:rPr>
          <w:rFonts w:ascii="Times New Roman" w:hAnsi="Times New Roman" w:cs="Times New Roman"/>
          <w:sz w:val="24"/>
          <w:szCs w:val="24"/>
        </w:rPr>
        <w:t xml:space="preserve"> in different months</w:t>
      </w:r>
      <w:r w:rsidRPr="004C205C">
        <w:rPr>
          <w:rFonts w:ascii="Times New Roman" w:hAnsi="Times New Roman" w:cs="Times New Roman"/>
          <w:sz w:val="24"/>
          <w:szCs w:val="24"/>
        </w:rPr>
        <w:t xml:space="preserve"> show</w:t>
      </w:r>
      <w:r>
        <w:rPr>
          <w:rFonts w:ascii="Times New Roman" w:hAnsi="Times New Roman" w:cs="Times New Roman"/>
          <w:sz w:val="24"/>
          <w:szCs w:val="24"/>
        </w:rPr>
        <w:t>s</w:t>
      </w:r>
      <w:r w:rsidRPr="004C205C">
        <w:rPr>
          <w:rFonts w:ascii="Times New Roman" w:hAnsi="Times New Roman" w:cs="Times New Roman"/>
          <w:sz w:val="24"/>
          <w:szCs w:val="24"/>
        </w:rPr>
        <w:t xml:space="preserve"> that indeed the plume from a single point source would </w:t>
      </w:r>
      <w:proofErr w:type="spellStart"/>
      <w:r w:rsidRPr="004C205C">
        <w:rPr>
          <w:rFonts w:ascii="Times New Roman" w:hAnsi="Times New Roman" w:cs="Times New Roman"/>
          <w:sz w:val="24"/>
          <w:szCs w:val="24"/>
        </w:rPr>
        <w:t>advect</w:t>
      </w:r>
      <w:proofErr w:type="spellEnd"/>
      <w:r w:rsidRPr="004C205C">
        <w:rPr>
          <w:rFonts w:ascii="Times New Roman" w:hAnsi="Times New Roman" w:cs="Times New Roman"/>
          <w:sz w:val="24"/>
          <w:szCs w:val="24"/>
        </w:rPr>
        <w:t xml:space="preserve"> 1</w:t>
      </w:r>
      <w:r w:rsidRPr="004C205C">
        <w:rPr>
          <w:rFonts w:ascii="Times New Roman" w:hAnsi="Times New Roman" w:cs="Times New Roman"/>
          <w:sz w:val="24"/>
          <w:szCs w:val="24"/>
          <w:vertAlign w:val="superscript"/>
        </w:rPr>
        <w:t>o</w:t>
      </w:r>
      <w:r w:rsidRPr="004C205C">
        <w:rPr>
          <w:rFonts w:ascii="Times New Roman" w:hAnsi="Times New Roman" w:cs="Times New Roman"/>
          <w:sz w:val="24"/>
          <w:szCs w:val="24"/>
        </w:rPr>
        <w:t xml:space="preserve"> or more</w:t>
      </w:r>
      <w:r>
        <w:rPr>
          <w:rFonts w:ascii="Times New Roman" w:hAnsi="Times New Roman" w:cs="Times New Roman"/>
          <w:sz w:val="24"/>
          <w:szCs w:val="24"/>
        </w:rPr>
        <w:t xml:space="preserve">, </w:t>
      </w:r>
      <w:r w:rsidRPr="004C205C">
        <w:rPr>
          <w:rFonts w:ascii="Times New Roman" w:hAnsi="Times New Roman" w:cs="Times New Roman"/>
          <w:sz w:val="24"/>
          <w:szCs w:val="24"/>
        </w:rPr>
        <w:t>assuming a decay time for aerosol particles of several hours</w:t>
      </w:r>
      <w:r>
        <w:rPr>
          <w:rFonts w:ascii="Times New Roman" w:hAnsi="Times New Roman" w:cs="Times New Roman"/>
          <w:sz w:val="24"/>
          <w:szCs w:val="24"/>
        </w:rPr>
        <w:t xml:space="preserve"> (see Figure S4)</w:t>
      </w:r>
      <w:r w:rsidRPr="004C205C">
        <w:rPr>
          <w:rFonts w:ascii="Times New Roman" w:hAnsi="Times New Roman" w:cs="Times New Roman"/>
          <w:sz w:val="24"/>
          <w:szCs w:val="24"/>
        </w:rPr>
        <w:t xml:space="preserve">. </w:t>
      </w:r>
      <w:r w:rsidRPr="004C205C">
        <w:rPr>
          <w:rFonts w:ascii="Times New Roman" w:hAnsi="Times New Roman" w:cs="Times New Roman"/>
          <w:sz w:val="24"/>
          <w:szCs w:val="24"/>
        </w:rPr>
        <w:t xml:space="preserve">If we were to run such a calculation for a line source, more </w:t>
      </w:r>
      <w:proofErr w:type="gramStart"/>
      <w:r w:rsidRPr="004C205C">
        <w:rPr>
          <w:rFonts w:ascii="Times New Roman" w:hAnsi="Times New Roman" w:cs="Times New Roman"/>
          <w:sz w:val="24"/>
          <w:szCs w:val="24"/>
        </w:rPr>
        <w:t>similar to</w:t>
      </w:r>
      <w:proofErr w:type="gramEnd"/>
      <w:r w:rsidRPr="004C205C">
        <w:rPr>
          <w:rFonts w:ascii="Times New Roman" w:hAnsi="Times New Roman" w:cs="Times New Roman"/>
          <w:sz w:val="24"/>
          <w:szCs w:val="24"/>
        </w:rPr>
        <w:t xml:space="preserve"> the shipping lane, over several months, it is thus very likely the plume would be of order 1</w:t>
      </w:r>
      <w:r>
        <w:rPr>
          <w:rFonts w:ascii="Times New Roman" w:hAnsi="Times New Roman" w:cs="Times New Roman"/>
          <w:sz w:val="24"/>
          <w:szCs w:val="24"/>
          <w:vertAlign w:val="superscript"/>
        </w:rPr>
        <w:t>o</w:t>
      </w:r>
      <w:r w:rsidRPr="004C205C">
        <w:rPr>
          <w:rFonts w:ascii="Times New Roman" w:hAnsi="Times New Roman" w:cs="Times New Roman"/>
          <w:sz w:val="24"/>
          <w:szCs w:val="24"/>
        </w:rPr>
        <w:t xml:space="preserve"> wide with a maximum at the source location.</w:t>
      </w:r>
    </w:p>
    <w:p w14:paraId="007A526D" w14:textId="58F8ADFE" w:rsidR="004C205C" w:rsidRDefault="004C205C" w:rsidP="004C205C">
      <w:pPr>
        <w:rPr>
          <w:rFonts w:ascii="Times New Roman" w:hAnsi="Times New Roman" w:cs="Times New Roman"/>
          <w:sz w:val="24"/>
          <w:szCs w:val="24"/>
        </w:rPr>
      </w:pPr>
      <w:r w:rsidRPr="00E845E7">
        <w:rPr>
          <w:noProof/>
          <w:color w:val="000000" w:themeColor="text1"/>
        </w:rPr>
        <w:drawing>
          <wp:inline distT="0" distB="0" distL="0" distR="0" wp14:anchorId="228C1C86" wp14:editId="742F0DDA">
            <wp:extent cx="5468620" cy="1743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620" cy="1743710"/>
                    </a:xfrm>
                    <a:prstGeom prst="rect">
                      <a:avLst/>
                    </a:prstGeom>
                    <a:noFill/>
                  </pic:spPr>
                </pic:pic>
              </a:graphicData>
            </a:graphic>
          </wp:inline>
        </w:drawing>
      </w:r>
    </w:p>
    <w:p w14:paraId="5737CCDA" w14:textId="61BC4468" w:rsidR="00FF63F8" w:rsidRPr="004C205C" w:rsidRDefault="00FF63F8" w:rsidP="004C205C">
      <w:pPr>
        <w:rPr>
          <w:rFonts w:ascii="Times New Roman" w:hAnsi="Times New Roman" w:cs="Times New Roman"/>
          <w:sz w:val="24"/>
          <w:szCs w:val="24"/>
        </w:rPr>
      </w:pPr>
      <w:r>
        <w:rPr>
          <w:rFonts w:ascii="Times New Roman" w:hAnsi="Times New Roman" w:cs="Times New Roman"/>
          <w:sz w:val="24"/>
          <w:szCs w:val="24"/>
        </w:rPr>
        <w:t xml:space="preserve">Figure S4. </w:t>
      </w:r>
      <w:r w:rsidRPr="00FF63F8">
        <w:rPr>
          <w:rFonts w:ascii="Times New Roman" w:hAnsi="Times New Roman" w:cs="Times New Roman"/>
          <w:sz w:val="24"/>
          <w:szCs w:val="24"/>
        </w:rPr>
        <w:t>NOAA HYSPLIT Gaussian plume dispersion model</w:t>
      </w:r>
      <w:r>
        <w:rPr>
          <w:rFonts w:ascii="Times New Roman" w:hAnsi="Times New Roman" w:cs="Times New Roman"/>
          <w:sz w:val="24"/>
          <w:szCs w:val="24"/>
        </w:rPr>
        <w:t xml:space="preserve"> results for a 350 kg/year source</w:t>
      </w:r>
      <w:r w:rsidRPr="00FF63F8">
        <w:rPr>
          <w:rFonts w:ascii="Times New Roman" w:hAnsi="Times New Roman" w:cs="Times New Roman"/>
          <w:sz w:val="24"/>
          <w:szCs w:val="24"/>
        </w:rPr>
        <w:t>. Left Dec 18 - 19 2016 simulation. Right January 9 - 11 2016 simulation.</w:t>
      </w:r>
    </w:p>
    <w:p w14:paraId="0EFD5E45" w14:textId="3C94AE23" w:rsidR="009D29FD" w:rsidRDefault="00507CC1" w:rsidP="00D77E01">
      <w:pPr>
        <w:spacing w:after="0" w:line="480" w:lineRule="auto"/>
        <w:rPr>
          <w:rFonts w:ascii="Times New Roman" w:hAnsi="Times New Roman" w:cs="Times New Roman"/>
          <w:sz w:val="24"/>
          <w:szCs w:val="24"/>
        </w:rPr>
      </w:pPr>
      <w:r w:rsidRPr="00507CC1">
        <w:rPr>
          <w:noProof/>
        </w:rPr>
        <w:lastRenderedPageBreak/>
        <w:drawing>
          <wp:inline distT="0" distB="0" distL="0" distR="0" wp14:anchorId="2EE9421E" wp14:editId="3B13DCDF">
            <wp:extent cx="4572000" cy="52669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000" cy="5266944"/>
                    </a:xfrm>
                    <a:prstGeom prst="rect">
                      <a:avLst/>
                    </a:prstGeom>
                  </pic:spPr>
                </pic:pic>
              </a:graphicData>
            </a:graphic>
          </wp:inline>
        </w:drawing>
      </w:r>
    </w:p>
    <w:p w14:paraId="697090A2" w14:textId="4C567569" w:rsidR="009F56B6" w:rsidRDefault="00245284" w:rsidP="00D77E01">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w:t>
      </w:r>
      <w:r w:rsidR="00574185">
        <w:rPr>
          <w:rFonts w:ascii="Times New Roman" w:hAnsi="Times New Roman" w:cs="Times New Roman"/>
          <w:sz w:val="24"/>
          <w:szCs w:val="24"/>
        </w:rPr>
        <w:t>S5</w:t>
      </w:r>
      <w:r>
        <w:rPr>
          <w:rFonts w:ascii="Times New Roman" w:hAnsi="Times New Roman" w:cs="Times New Roman"/>
          <w:sz w:val="24"/>
          <w:szCs w:val="24"/>
        </w:rPr>
        <w:t xml:space="preserve">. </w:t>
      </w:r>
      <w:r w:rsidR="00726E81">
        <w:rPr>
          <w:rFonts w:ascii="Times New Roman" w:hAnsi="Times New Roman" w:cs="Times New Roman"/>
          <w:sz w:val="24"/>
          <w:szCs w:val="24"/>
        </w:rPr>
        <w:t>A</w:t>
      </w:r>
      <w:r>
        <w:rPr>
          <w:rFonts w:ascii="Times New Roman" w:hAnsi="Times New Roman" w:cs="Times New Roman"/>
          <w:sz w:val="24"/>
          <w:szCs w:val="24"/>
        </w:rPr>
        <w:t>erosol optical depth</w:t>
      </w:r>
      <w:r w:rsidR="006F1EFF">
        <w:rPr>
          <w:rFonts w:ascii="Times New Roman" w:hAnsi="Times New Roman" w:cs="Times New Roman"/>
          <w:sz w:val="24"/>
          <w:szCs w:val="24"/>
        </w:rPr>
        <w:t xml:space="preserve"> (AOD)</w:t>
      </w:r>
      <w:r>
        <w:rPr>
          <w:rFonts w:ascii="Times New Roman" w:hAnsi="Times New Roman" w:cs="Times New Roman"/>
          <w:sz w:val="24"/>
          <w:szCs w:val="24"/>
        </w:rPr>
        <w:t xml:space="preserve"> at 0.55 </w:t>
      </w:r>
      <w:r>
        <w:rPr>
          <w:rFonts w:ascii="Symbol" w:hAnsi="Symbol" w:cs="Times New Roman"/>
          <w:sz w:val="24"/>
          <w:szCs w:val="24"/>
        </w:rPr>
        <w:t></w:t>
      </w:r>
      <w:r>
        <w:rPr>
          <w:rFonts w:ascii="Times New Roman" w:hAnsi="Times New Roman" w:cs="Times New Roman"/>
          <w:sz w:val="24"/>
          <w:szCs w:val="24"/>
        </w:rPr>
        <w:t>m</w:t>
      </w:r>
      <w:r w:rsidR="00726E81">
        <w:rPr>
          <w:rFonts w:ascii="Times New Roman" w:hAnsi="Times New Roman" w:cs="Times New Roman"/>
          <w:sz w:val="24"/>
          <w:szCs w:val="24"/>
        </w:rPr>
        <w:t xml:space="preserve"> from the</w:t>
      </w:r>
      <w:r>
        <w:rPr>
          <w:rFonts w:ascii="Times New Roman" w:hAnsi="Times New Roman" w:cs="Times New Roman"/>
          <w:sz w:val="24"/>
          <w:szCs w:val="24"/>
        </w:rPr>
        <w:t xml:space="preserve"> </w:t>
      </w:r>
      <w:r w:rsidR="00726E81">
        <w:rPr>
          <w:rFonts w:ascii="Times New Roman" w:hAnsi="Times New Roman" w:cs="Times New Roman"/>
          <w:sz w:val="24"/>
          <w:szCs w:val="24"/>
        </w:rPr>
        <w:t>MODIS AQUA instrument over the same region as in Figure 1</w:t>
      </w:r>
      <w:r w:rsidR="008F7746">
        <w:rPr>
          <w:rFonts w:ascii="Times New Roman" w:hAnsi="Times New Roman" w:cs="Times New Roman"/>
          <w:sz w:val="24"/>
          <w:szCs w:val="24"/>
        </w:rPr>
        <w:t xml:space="preserve">, </w:t>
      </w:r>
      <w:bookmarkStart w:id="0" w:name="_GoBack"/>
      <w:bookmarkEnd w:id="0"/>
      <w:r w:rsidR="00726E81">
        <w:rPr>
          <w:rFonts w:ascii="Times New Roman" w:hAnsi="Times New Roman" w:cs="Times New Roman"/>
          <w:sz w:val="24"/>
          <w:szCs w:val="24"/>
        </w:rPr>
        <w:t>averaged over</w:t>
      </w:r>
      <w:r>
        <w:rPr>
          <w:rFonts w:ascii="Times New Roman" w:hAnsi="Times New Roman" w:cs="Times New Roman"/>
          <w:sz w:val="24"/>
          <w:szCs w:val="24"/>
        </w:rPr>
        <w:t xml:space="preserve"> January – </w:t>
      </w:r>
      <w:r w:rsidR="00507CC1">
        <w:rPr>
          <w:rFonts w:ascii="Times New Roman" w:hAnsi="Times New Roman" w:cs="Times New Roman"/>
          <w:sz w:val="24"/>
          <w:szCs w:val="24"/>
        </w:rPr>
        <w:t xml:space="preserve">April </w:t>
      </w:r>
      <w:r w:rsidR="006F1EFF">
        <w:rPr>
          <w:rFonts w:ascii="Times New Roman" w:hAnsi="Times New Roman" w:cs="Times New Roman"/>
          <w:sz w:val="24"/>
          <w:szCs w:val="24"/>
        </w:rPr>
        <w:t>and November - December</w:t>
      </w:r>
      <w:r>
        <w:rPr>
          <w:rFonts w:ascii="Times New Roman" w:hAnsi="Times New Roman" w:cs="Times New Roman"/>
          <w:sz w:val="24"/>
          <w:szCs w:val="24"/>
        </w:rPr>
        <w:t xml:space="preserve"> 2010</w:t>
      </w:r>
      <w:r w:rsidR="00507CC1">
        <w:rPr>
          <w:rFonts w:ascii="Times New Roman" w:hAnsi="Times New Roman" w:cs="Times New Roman"/>
          <w:sz w:val="24"/>
          <w:szCs w:val="24"/>
        </w:rPr>
        <w:t xml:space="preserve"> (a)</w:t>
      </w:r>
      <w:r w:rsidR="006F1EFF">
        <w:rPr>
          <w:rFonts w:ascii="Times New Roman" w:hAnsi="Times New Roman" w:cs="Times New Roman"/>
          <w:sz w:val="24"/>
          <w:szCs w:val="24"/>
        </w:rPr>
        <w:t>,</w:t>
      </w:r>
      <w:r w:rsidR="00507CC1">
        <w:rPr>
          <w:rFonts w:ascii="Times New Roman" w:hAnsi="Times New Roman" w:cs="Times New Roman"/>
          <w:sz w:val="24"/>
          <w:szCs w:val="24"/>
        </w:rPr>
        <w:t xml:space="preserve"> and May – </w:t>
      </w:r>
      <w:r w:rsidR="0078350F">
        <w:rPr>
          <w:rFonts w:ascii="Times New Roman" w:hAnsi="Times New Roman" w:cs="Times New Roman"/>
          <w:sz w:val="24"/>
          <w:szCs w:val="24"/>
        </w:rPr>
        <w:t>October,</w:t>
      </w:r>
      <w:r w:rsidR="00507CC1">
        <w:rPr>
          <w:rFonts w:ascii="Times New Roman" w:hAnsi="Times New Roman" w:cs="Times New Roman"/>
          <w:sz w:val="24"/>
          <w:szCs w:val="24"/>
        </w:rPr>
        <w:t xml:space="preserve"> 2010 (b)</w:t>
      </w:r>
      <w:r>
        <w:rPr>
          <w:rFonts w:ascii="Times New Roman" w:hAnsi="Times New Roman" w:cs="Times New Roman"/>
          <w:sz w:val="24"/>
          <w:szCs w:val="24"/>
        </w:rPr>
        <w:t xml:space="preserve"> </w:t>
      </w:r>
      <w:r w:rsidR="00F659C1">
        <w:rPr>
          <w:rFonts w:ascii="Times New Roman" w:hAnsi="Times New Roman" w:cs="Times New Roman"/>
          <w:sz w:val="24"/>
          <w:szCs w:val="24"/>
        </w:rPr>
        <w:t>.</w:t>
      </w:r>
      <w:r w:rsidR="004051D2">
        <w:rPr>
          <w:rFonts w:ascii="Times New Roman" w:hAnsi="Times New Roman" w:cs="Times New Roman"/>
          <w:sz w:val="24"/>
          <w:szCs w:val="24"/>
        </w:rPr>
        <w:t xml:space="preserve"> Only data where the cloud fraction (from the MODIS data set) was &lt;10% are used in the average</w:t>
      </w:r>
      <w:r w:rsidR="00726E81">
        <w:rPr>
          <w:rFonts w:ascii="Times New Roman" w:hAnsi="Times New Roman" w:cs="Times New Roman"/>
          <w:sz w:val="24"/>
          <w:szCs w:val="24"/>
        </w:rPr>
        <w:t>s</w:t>
      </w:r>
      <w:r w:rsidR="004051D2">
        <w:rPr>
          <w:rFonts w:ascii="Times New Roman" w:hAnsi="Times New Roman" w:cs="Times New Roman"/>
          <w:sz w:val="24"/>
          <w:szCs w:val="24"/>
        </w:rPr>
        <w:t>.</w:t>
      </w:r>
    </w:p>
    <w:p w14:paraId="7DE8DC69" w14:textId="25BE4417" w:rsidR="009F56B6" w:rsidRDefault="009F56B6" w:rsidP="00D77E01">
      <w:pPr>
        <w:spacing w:after="0" w:line="480" w:lineRule="auto"/>
        <w:rPr>
          <w:rFonts w:ascii="Times New Roman" w:hAnsi="Times New Roman" w:cs="Times New Roman"/>
          <w:sz w:val="24"/>
          <w:szCs w:val="24"/>
        </w:rPr>
      </w:pPr>
    </w:p>
    <w:p w14:paraId="0F46DD6E" w14:textId="5A9DBCC1" w:rsidR="009F56B6" w:rsidRDefault="009F56B6" w:rsidP="00D77E01">
      <w:pPr>
        <w:spacing w:after="0" w:line="480" w:lineRule="auto"/>
        <w:rPr>
          <w:rFonts w:ascii="Times New Roman" w:hAnsi="Times New Roman" w:cs="Times New Roman"/>
          <w:sz w:val="24"/>
          <w:szCs w:val="24"/>
        </w:rPr>
      </w:pPr>
    </w:p>
    <w:p w14:paraId="705F0C41" w14:textId="27A48A9B" w:rsidR="006F1EFF" w:rsidRDefault="006F1EFF" w:rsidP="00D77E01">
      <w:pPr>
        <w:spacing w:after="0" w:line="480" w:lineRule="auto"/>
        <w:rPr>
          <w:rFonts w:ascii="Times New Roman" w:hAnsi="Times New Roman" w:cs="Times New Roman"/>
          <w:sz w:val="24"/>
          <w:szCs w:val="24"/>
        </w:rPr>
      </w:pPr>
    </w:p>
    <w:p w14:paraId="6E661E18" w14:textId="069D25FE" w:rsidR="006F1EFF" w:rsidRDefault="006F1EFF" w:rsidP="00D77E01">
      <w:pPr>
        <w:spacing w:after="0" w:line="480" w:lineRule="auto"/>
        <w:rPr>
          <w:rFonts w:ascii="Times New Roman" w:hAnsi="Times New Roman" w:cs="Times New Roman"/>
          <w:sz w:val="24"/>
          <w:szCs w:val="24"/>
        </w:rPr>
      </w:pPr>
    </w:p>
    <w:p w14:paraId="55C73ABE" w14:textId="7174CB00" w:rsidR="006F1EFF" w:rsidRDefault="006F1EFF" w:rsidP="00D77E01">
      <w:pPr>
        <w:spacing w:after="0" w:line="480" w:lineRule="auto"/>
        <w:rPr>
          <w:rFonts w:ascii="Times New Roman" w:hAnsi="Times New Roman" w:cs="Times New Roman"/>
          <w:sz w:val="24"/>
          <w:szCs w:val="24"/>
        </w:rPr>
      </w:pPr>
    </w:p>
    <w:p w14:paraId="289CC101" w14:textId="03A62F30" w:rsidR="006F1EFF" w:rsidRDefault="006F1EFF" w:rsidP="00D77E01">
      <w:pPr>
        <w:spacing w:after="0" w:line="480" w:lineRule="auto"/>
        <w:rPr>
          <w:rFonts w:ascii="Times New Roman" w:hAnsi="Times New Roman" w:cs="Times New Roman"/>
          <w:sz w:val="24"/>
          <w:szCs w:val="24"/>
        </w:rPr>
      </w:pPr>
    </w:p>
    <w:p w14:paraId="196CF392" w14:textId="77777777" w:rsidR="006F1EFF" w:rsidRDefault="006F1EFF" w:rsidP="00D77E01">
      <w:pPr>
        <w:spacing w:after="0" w:line="480" w:lineRule="auto"/>
        <w:rPr>
          <w:rFonts w:ascii="Times New Roman" w:hAnsi="Times New Roman" w:cs="Times New Roman"/>
          <w:sz w:val="24"/>
          <w:szCs w:val="24"/>
        </w:rPr>
      </w:pPr>
    </w:p>
    <w:p w14:paraId="61F129AF" w14:textId="1436CB95" w:rsidR="00D233CA" w:rsidRDefault="00B56C7E" w:rsidP="00D77E01">
      <w:pPr>
        <w:spacing w:after="0" w:line="480" w:lineRule="auto"/>
        <w:rPr>
          <w:rFonts w:ascii="Times New Roman" w:hAnsi="Times New Roman" w:cs="Times New Roman"/>
          <w:sz w:val="24"/>
          <w:szCs w:val="24"/>
        </w:rPr>
      </w:pPr>
      <w:r>
        <w:rPr>
          <w:noProof/>
        </w:rPr>
        <w:drawing>
          <wp:anchor distT="0" distB="0" distL="114300" distR="114300" simplePos="0" relativeHeight="251665408" behindDoc="0" locked="0" layoutInCell="1" allowOverlap="1" wp14:anchorId="6D65706B" wp14:editId="575BA88E">
            <wp:simplePos x="0" y="0"/>
            <wp:positionH relativeFrom="column">
              <wp:posOffset>0</wp:posOffset>
            </wp:positionH>
            <wp:positionV relativeFrom="paragraph">
              <wp:posOffset>164465</wp:posOffset>
            </wp:positionV>
            <wp:extent cx="3281045" cy="2085975"/>
            <wp:effectExtent l="0" t="0" r="0" b="9525"/>
            <wp:wrapSquare wrapText="bothSides"/>
            <wp:docPr id="1" name="Picture 1" descr="C:\Users\JAT\AppData\Local\Microsoft\Windows\INetCache\Content.Word\aerosolextcoefmjjaso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T\AppData\Local\Microsoft\Windows\INetCache\Content.Word\aerosolextcoefmjjasoyp.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855" b="8252"/>
                    <a:stretch/>
                  </pic:blipFill>
                  <pic:spPr bwMode="auto">
                    <a:xfrm>
                      <a:off x="0" y="0"/>
                      <a:ext cx="3281045" cy="2085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141C65" w14:textId="495C3D34" w:rsidR="00B56C7E" w:rsidRDefault="00B56C7E" w:rsidP="00D77E01">
      <w:pPr>
        <w:spacing w:after="0" w:line="480" w:lineRule="auto"/>
        <w:rPr>
          <w:rFonts w:ascii="Times New Roman" w:hAnsi="Times New Roman" w:cs="Times New Roman"/>
          <w:sz w:val="24"/>
          <w:szCs w:val="24"/>
        </w:rPr>
      </w:pPr>
    </w:p>
    <w:p w14:paraId="3F4B95F0" w14:textId="50961FB8" w:rsidR="00B56C7E" w:rsidRDefault="00B56C7E" w:rsidP="00D77E01">
      <w:pPr>
        <w:spacing w:after="0" w:line="480" w:lineRule="auto"/>
        <w:rPr>
          <w:rFonts w:ascii="Times New Roman" w:hAnsi="Times New Roman" w:cs="Times New Roman"/>
          <w:sz w:val="24"/>
          <w:szCs w:val="24"/>
        </w:rPr>
      </w:pPr>
      <w:r>
        <w:rPr>
          <w:noProof/>
        </w:rPr>
        <w:drawing>
          <wp:inline distT="0" distB="0" distL="0" distR="0" wp14:anchorId="429D46F7" wp14:editId="725E2766">
            <wp:extent cx="2814638" cy="2312035"/>
            <wp:effectExtent l="0" t="0" r="5080" b="0"/>
            <wp:docPr id="2" name="Picture 2" descr="C:\Users\JAT\AppData\Local\Microsoft\Windows\INetCache\Content.Word\aerosolextcoefndjfma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T\AppData\Local\Microsoft\Windows\INetCache\Content.Word\aerosolextcoefndjfmayp.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8609" r="12436"/>
                    <a:stretch/>
                  </pic:blipFill>
                  <pic:spPr bwMode="auto">
                    <a:xfrm>
                      <a:off x="0" y="0"/>
                      <a:ext cx="2827457" cy="2322565"/>
                    </a:xfrm>
                    <a:prstGeom prst="rect">
                      <a:avLst/>
                    </a:prstGeom>
                    <a:noFill/>
                    <a:ln>
                      <a:noFill/>
                    </a:ln>
                    <a:extLst>
                      <a:ext uri="{53640926-AAD7-44D8-BBD7-CCE9431645EC}">
                        <a14:shadowObscured xmlns:a14="http://schemas.microsoft.com/office/drawing/2010/main"/>
                      </a:ext>
                    </a:extLst>
                  </pic:spPr>
                </pic:pic>
              </a:graphicData>
            </a:graphic>
          </wp:inline>
        </w:drawing>
      </w:r>
    </w:p>
    <w:p w14:paraId="6123D5C0" w14:textId="090B596C" w:rsidR="00411063" w:rsidRDefault="00B56C7E" w:rsidP="00D77E01">
      <w:pPr>
        <w:spacing w:after="0" w:line="480" w:lineRule="auto"/>
        <w:rPr>
          <w:rFonts w:ascii="Times New Roman" w:hAnsi="Times New Roman" w:cs="Times New Roman"/>
          <w:sz w:val="24"/>
          <w:szCs w:val="24"/>
        </w:rPr>
      </w:pPr>
      <w:r>
        <w:rPr>
          <w:rFonts w:ascii="Times New Roman" w:hAnsi="Times New Roman" w:cs="Times New Roman"/>
          <w:sz w:val="24"/>
          <w:szCs w:val="24"/>
        </w:rPr>
        <w:t>Figure S</w:t>
      </w:r>
      <w:r w:rsidR="009D29FD">
        <w:rPr>
          <w:rFonts w:ascii="Times New Roman" w:hAnsi="Times New Roman" w:cs="Times New Roman"/>
          <w:sz w:val="24"/>
          <w:szCs w:val="24"/>
        </w:rPr>
        <w:t>6</w:t>
      </w:r>
      <w:r>
        <w:rPr>
          <w:rFonts w:ascii="Times New Roman" w:hAnsi="Times New Roman" w:cs="Times New Roman"/>
          <w:sz w:val="24"/>
          <w:szCs w:val="24"/>
        </w:rPr>
        <w:t xml:space="preserve">. CALIOP aerosol extinction vertical profiles, averaged over the same region in Figure 3, for November through April (top) and May through October (bottom) 2006 – 2008. </w:t>
      </w:r>
      <w:r w:rsidR="000E2F01">
        <w:rPr>
          <w:rFonts w:ascii="Times New Roman" w:hAnsi="Times New Roman" w:cs="Times New Roman"/>
          <w:sz w:val="24"/>
          <w:szCs w:val="24"/>
        </w:rPr>
        <w:t xml:space="preserve">The layer of slightly enhanced aerosol extinction at 0.5 to 0.75 km throughout most the domain in both panels may be marine </w:t>
      </w:r>
      <w:r w:rsidR="001538F6">
        <w:rPr>
          <w:rFonts w:ascii="Times New Roman" w:hAnsi="Times New Roman" w:cs="Times New Roman"/>
          <w:sz w:val="24"/>
          <w:szCs w:val="24"/>
        </w:rPr>
        <w:t xml:space="preserve">boundary layer </w:t>
      </w:r>
      <w:r w:rsidR="000E2F01">
        <w:rPr>
          <w:rFonts w:ascii="Times New Roman" w:hAnsi="Times New Roman" w:cs="Times New Roman"/>
          <w:sz w:val="24"/>
          <w:szCs w:val="24"/>
        </w:rPr>
        <w:t>cloud contamination of the aerosol signal. In the top panel, the elevated aerosol extinction north of 8</w:t>
      </w:r>
      <w:r w:rsidR="000E2F01">
        <w:rPr>
          <w:rFonts w:ascii="Times New Roman" w:hAnsi="Times New Roman" w:cs="Times New Roman"/>
          <w:sz w:val="24"/>
          <w:szCs w:val="24"/>
          <w:vertAlign w:val="superscript"/>
        </w:rPr>
        <w:t>o</w:t>
      </w:r>
      <w:r w:rsidR="000E2F01">
        <w:rPr>
          <w:rFonts w:ascii="Times New Roman" w:hAnsi="Times New Roman" w:cs="Times New Roman"/>
          <w:sz w:val="24"/>
          <w:szCs w:val="24"/>
        </w:rPr>
        <w:t>N is likely pollution outflow from India into the Bay of Bengal and not associated with shipping.</w:t>
      </w:r>
    </w:p>
    <w:p w14:paraId="1A2C912D" w14:textId="77777777" w:rsidR="00411063" w:rsidRDefault="00411063" w:rsidP="00D77E01">
      <w:pPr>
        <w:spacing w:after="0" w:line="480" w:lineRule="auto"/>
        <w:rPr>
          <w:rFonts w:ascii="Times New Roman" w:hAnsi="Times New Roman" w:cs="Times New Roman"/>
          <w:sz w:val="24"/>
          <w:szCs w:val="24"/>
        </w:rPr>
      </w:pPr>
    </w:p>
    <w:p w14:paraId="3CF8AD9E" w14:textId="7B8EE303" w:rsidR="00B56C7E" w:rsidRDefault="00680EB7" w:rsidP="00D77E01">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References</w:t>
      </w:r>
    </w:p>
    <w:p w14:paraId="5F51F2E9" w14:textId="3F6E4BA0" w:rsidR="00680EB7" w:rsidRPr="00680EB7" w:rsidRDefault="00680EB7" w:rsidP="00680EB7">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680EB7">
        <w:rPr>
          <w:rFonts w:ascii="Times New Roman" w:hAnsi="Times New Roman" w:cs="Times New Roman"/>
          <w:noProof/>
          <w:sz w:val="24"/>
          <w:szCs w:val="24"/>
        </w:rPr>
        <w:t xml:space="preserve">Crippa, M., G. Janssens-Maenhout, F. Dentener, D. Guizzardi, K. Sindelarova, M. Muntean, R. Van Dingenen, and C. Granier (2016), Forty years of improvements in European air quality: Regional policy-industry interactions with global impacts, </w:t>
      </w:r>
      <w:r w:rsidRPr="00680EB7">
        <w:rPr>
          <w:rFonts w:ascii="Times New Roman" w:hAnsi="Times New Roman" w:cs="Times New Roman"/>
          <w:i/>
          <w:iCs/>
          <w:noProof/>
          <w:sz w:val="24"/>
          <w:szCs w:val="24"/>
        </w:rPr>
        <w:t>Atmos. Chem. Phys.</w:t>
      </w:r>
      <w:r w:rsidRPr="00680EB7">
        <w:rPr>
          <w:rFonts w:ascii="Times New Roman" w:hAnsi="Times New Roman" w:cs="Times New Roman"/>
          <w:noProof/>
          <w:sz w:val="24"/>
          <w:szCs w:val="24"/>
        </w:rPr>
        <w:t xml:space="preserve">, </w:t>
      </w:r>
      <w:r w:rsidRPr="00680EB7">
        <w:rPr>
          <w:rFonts w:ascii="Times New Roman" w:hAnsi="Times New Roman" w:cs="Times New Roman"/>
          <w:i/>
          <w:iCs/>
          <w:noProof/>
          <w:sz w:val="24"/>
          <w:szCs w:val="24"/>
        </w:rPr>
        <w:t>16</w:t>
      </w:r>
      <w:r w:rsidRPr="00680EB7">
        <w:rPr>
          <w:rFonts w:ascii="Times New Roman" w:hAnsi="Times New Roman" w:cs="Times New Roman"/>
          <w:noProof/>
          <w:sz w:val="24"/>
          <w:szCs w:val="24"/>
        </w:rPr>
        <w:t>(6), 3825–3841, doi:10.5194/acp-16-3825-2016.</w:t>
      </w:r>
    </w:p>
    <w:p w14:paraId="65E0B513" w14:textId="77777777" w:rsidR="00680EB7" w:rsidRPr="00680EB7" w:rsidRDefault="00680EB7" w:rsidP="00680EB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680EB7">
        <w:rPr>
          <w:rFonts w:ascii="Times New Roman" w:hAnsi="Times New Roman" w:cs="Times New Roman"/>
          <w:noProof/>
          <w:sz w:val="24"/>
          <w:szCs w:val="24"/>
        </w:rPr>
        <w:t xml:space="preserve">Hobbs, P. V et al. (2000), Emissions from Ships with respect to Their Effects on Clouds, </w:t>
      </w:r>
      <w:r w:rsidRPr="00680EB7">
        <w:rPr>
          <w:rFonts w:ascii="Times New Roman" w:hAnsi="Times New Roman" w:cs="Times New Roman"/>
          <w:i/>
          <w:iCs/>
          <w:noProof/>
          <w:sz w:val="24"/>
          <w:szCs w:val="24"/>
        </w:rPr>
        <w:t>J. Atmos. Sci.</w:t>
      </w:r>
      <w:r w:rsidRPr="00680EB7">
        <w:rPr>
          <w:rFonts w:ascii="Times New Roman" w:hAnsi="Times New Roman" w:cs="Times New Roman"/>
          <w:noProof/>
          <w:sz w:val="24"/>
          <w:szCs w:val="24"/>
        </w:rPr>
        <w:t xml:space="preserve">, </w:t>
      </w:r>
      <w:r w:rsidRPr="00680EB7">
        <w:rPr>
          <w:rFonts w:ascii="Times New Roman" w:hAnsi="Times New Roman" w:cs="Times New Roman"/>
          <w:i/>
          <w:iCs/>
          <w:noProof/>
          <w:sz w:val="24"/>
          <w:szCs w:val="24"/>
        </w:rPr>
        <w:t>57</w:t>
      </w:r>
      <w:r w:rsidRPr="00680EB7">
        <w:rPr>
          <w:rFonts w:ascii="Times New Roman" w:hAnsi="Times New Roman" w:cs="Times New Roman"/>
          <w:noProof/>
          <w:sz w:val="24"/>
          <w:szCs w:val="24"/>
        </w:rPr>
        <w:t>(16), 2570–2590, doi:10.1175/1520-0469(2000)057&lt;2570:EFSWRT&gt;2.0.CO;2.</w:t>
      </w:r>
    </w:p>
    <w:p w14:paraId="788F9156" w14:textId="77777777" w:rsidR="00680EB7" w:rsidRPr="00680EB7" w:rsidRDefault="00680EB7" w:rsidP="00680EB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680EB7">
        <w:rPr>
          <w:rFonts w:ascii="Times New Roman" w:hAnsi="Times New Roman" w:cs="Times New Roman"/>
          <w:noProof/>
          <w:sz w:val="24"/>
          <w:szCs w:val="24"/>
        </w:rPr>
        <w:t xml:space="preserve">Lack, D. A. et al. (2009), Particulate emissions from commercial shipping: Chemical, physical, and optical properties, </w:t>
      </w:r>
      <w:r w:rsidRPr="00680EB7">
        <w:rPr>
          <w:rFonts w:ascii="Times New Roman" w:hAnsi="Times New Roman" w:cs="Times New Roman"/>
          <w:i/>
          <w:iCs/>
          <w:noProof/>
          <w:sz w:val="24"/>
          <w:szCs w:val="24"/>
        </w:rPr>
        <w:t>J. Geophys. Res. Atmos.</w:t>
      </w:r>
      <w:r w:rsidRPr="00680EB7">
        <w:rPr>
          <w:rFonts w:ascii="Times New Roman" w:hAnsi="Times New Roman" w:cs="Times New Roman"/>
          <w:noProof/>
          <w:sz w:val="24"/>
          <w:szCs w:val="24"/>
        </w:rPr>
        <w:t xml:space="preserve">, </w:t>
      </w:r>
      <w:r w:rsidRPr="00680EB7">
        <w:rPr>
          <w:rFonts w:ascii="Times New Roman" w:hAnsi="Times New Roman" w:cs="Times New Roman"/>
          <w:i/>
          <w:iCs/>
          <w:noProof/>
          <w:sz w:val="24"/>
          <w:szCs w:val="24"/>
        </w:rPr>
        <w:t>114</w:t>
      </w:r>
      <w:r w:rsidRPr="00680EB7">
        <w:rPr>
          <w:rFonts w:ascii="Times New Roman" w:hAnsi="Times New Roman" w:cs="Times New Roman"/>
          <w:noProof/>
          <w:sz w:val="24"/>
          <w:szCs w:val="24"/>
        </w:rPr>
        <w:t>(4), 1–16, doi:10.1029/2008JD011300.</w:t>
      </w:r>
    </w:p>
    <w:p w14:paraId="36C77E9D" w14:textId="77777777" w:rsidR="00680EB7" w:rsidRPr="00680EB7" w:rsidRDefault="00680EB7" w:rsidP="00680EB7">
      <w:pPr>
        <w:widowControl w:val="0"/>
        <w:autoSpaceDE w:val="0"/>
        <w:autoSpaceDN w:val="0"/>
        <w:adjustRightInd w:val="0"/>
        <w:spacing w:after="0" w:line="480" w:lineRule="auto"/>
        <w:ind w:left="480" w:hanging="480"/>
        <w:rPr>
          <w:rFonts w:ascii="Times New Roman" w:hAnsi="Times New Roman" w:cs="Times New Roman"/>
          <w:noProof/>
          <w:sz w:val="24"/>
          <w:szCs w:val="24"/>
        </w:rPr>
      </w:pPr>
      <w:r w:rsidRPr="00680EB7">
        <w:rPr>
          <w:rFonts w:ascii="Times New Roman" w:hAnsi="Times New Roman" w:cs="Times New Roman"/>
          <w:noProof/>
          <w:sz w:val="24"/>
          <w:szCs w:val="24"/>
        </w:rPr>
        <w:t xml:space="preserve">Ramanathan, V., P. J. Crutzen, J. T. Kiehl, and D. Rosenfeld (2001), Aerosol, climate, and the hydrological cycle, </w:t>
      </w:r>
      <w:r w:rsidRPr="00680EB7">
        <w:rPr>
          <w:rFonts w:ascii="Times New Roman" w:hAnsi="Times New Roman" w:cs="Times New Roman"/>
          <w:i/>
          <w:iCs/>
          <w:noProof/>
          <w:sz w:val="24"/>
          <w:szCs w:val="24"/>
        </w:rPr>
        <w:t>Science</w:t>
      </w:r>
      <w:r w:rsidRPr="00680EB7">
        <w:rPr>
          <w:rFonts w:ascii="Times New Roman" w:hAnsi="Times New Roman" w:cs="Times New Roman"/>
          <w:noProof/>
          <w:sz w:val="24"/>
          <w:szCs w:val="24"/>
        </w:rPr>
        <w:t xml:space="preserve">, </w:t>
      </w:r>
      <w:r w:rsidRPr="00680EB7">
        <w:rPr>
          <w:rFonts w:ascii="Times New Roman" w:hAnsi="Times New Roman" w:cs="Times New Roman"/>
          <w:i/>
          <w:iCs/>
          <w:noProof/>
          <w:sz w:val="24"/>
          <w:szCs w:val="24"/>
        </w:rPr>
        <w:t>294</w:t>
      </w:r>
      <w:r w:rsidRPr="00680EB7">
        <w:rPr>
          <w:rFonts w:ascii="Times New Roman" w:hAnsi="Times New Roman" w:cs="Times New Roman"/>
          <w:noProof/>
          <w:sz w:val="24"/>
          <w:szCs w:val="24"/>
        </w:rPr>
        <w:t>(5549), 2119–2124, doi:10.1126/science.1064034.</w:t>
      </w:r>
    </w:p>
    <w:p w14:paraId="1E5115F1" w14:textId="77777777" w:rsidR="00680EB7" w:rsidRPr="00680EB7" w:rsidRDefault="00680EB7" w:rsidP="00680EB7">
      <w:pPr>
        <w:widowControl w:val="0"/>
        <w:autoSpaceDE w:val="0"/>
        <w:autoSpaceDN w:val="0"/>
        <w:adjustRightInd w:val="0"/>
        <w:spacing w:after="0" w:line="480" w:lineRule="auto"/>
        <w:ind w:left="480" w:hanging="480"/>
        <w:rPr>
          <w:rFonts w:ascii="Times New Roman" w:hAnsi="Times New Roman" w:cs="Times New Roman"/>
          <w:noProof/>
          <w:sz w:val="24"/>
        </w:rPr>
      </w:pPr>
      <w:r w:rsidRPr="00680EB7">
        <w:rPr>
          <w:rFonts w:ascii="Times New Roman" w:hAnsi="Times New Roman" w:cs="Times New Roman"/>
          <w:noProof/>
          <w:sz w:val="24"/>
          <w:szCs w:val="24"/>
        </w:rPr>
        <w:t xml:space="preserve">Smith, T. W. P. et al. (2014), Third IMO Greenhouse Gas Study 2014, </w:t>
      </w:r>
      <w:r w:rsidRPr="00680EB7">
        <w:rPr>
          <w:rFonts w:ascii="Times New Roman" w:hAnsi="Times New Roman" w:cs="Times New Roman"/>
          <w:i/>
          <w:iCs/>
          <w:noProof/>
          <w:sz w:val="24"/>
          <w:szCs w:val="24"/>
        </w:rPr>
        <w:t>Int. Marit. Organ.</w:t>
      </w:r>
      <w:r w:rsidRPr="00680EB7">
        <w:rPr>
          <w:rFonts w:ascii="Times New Roman" w:hAnsi="Times New Roman" w:cs="Times New Roman"/>
          <w:noProof/>
          <w:sz w:val="24"/>
          <w:szCs w:val="24"/>
        </w:rPr>
        <w:t>, 327, doi:10.1007/s10584-013-0912-3, see also www.shipmap.org.</w:t>
      </w:r>
    </w:p>
    <w:p w14:paraId="33A7E7E5" w14:textId="6E975A40" w:rsidR="00680EB7" w:rsidRDefault="00680EB7" w:rsidP="00D77E01">
      <w:pPr>
        <w:spacing w:after="0" w:line="480" w:lineRule="auto"/>
        <w:rPr>
          <w:rFonts w:ascii="Times New Roman" w:hAnsi="Times New Roman" w:cs="Times New Roman"/>
          <w:sz w:val="24"/>
          <w:szCs w:val="24"/>
        </w:rPr>
      </w:pPr>
      <w:r>
        <w:rPr>
          <w:rFonts w:ascii="Times New Roman" w:hAnsi="Times New Roman" w:cs="Times New Roman"/>
          <w:sz w:val="24"/>
          <w:szCs w:val="24"/>
        </w:rPr>
        <w:fldChar w:fldCharType="end"/>
      </w:r>
    </w:p>
    <w:p w14:paraId="2925B012" w14:textId="18B2A4A7" w:rsidR="0033512B" w:rsidRPr="004D6CD4" w:rsidRDefault="0033512B" w:rsidP="008D39E5">
      <w:pPr>
        <w:spacing w:after="0" w:line="480" w:lineRule="auto"/>
        <w:rPr>
          <w:rFonts w:ascii="Times New Roman" w:hAnsi="Times New Roman" w:cs="Times New Roman"/>
          <w:sz w:val="24"/>
          <w:szCs w:val="24"/>
        </w:rPr>
      </w:pPr>
    </w:p>
    <w:sectPr w:rsidR="0033512B" w:rsidRPr="004D6CD4" w:rsidSect="00725759">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52F51"/>
    <w:multiLevelType w:val="hybridMultilevel"/>
    <w:tmpl w:val="53020BA8"/>
    <w:lvl w:ilvl="0" w:tplc="3A8A10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US" w:vendorID="64" w:dllVersion="0" w:nlCheck="1" w:checkStyle="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B6F"/>
    <w:rsid w:val="000013FA"/>
    <w:rsid w:val="000041CC"/>
    <w:rsid w:val="000047C3"/>
    <w:rsid w:val="0002127A"/>
    <w:rsid w:val="000263D1"/>
    <w:rsid w:val="00030168"/>
    <w:rsid w:val="000319FD"/>
    <w:rsid w:val="000343EC"/>
    <w:rsid w:val="00037D75"/>
    <w:rsid w:val="00056136"/>
    <w:rsid w:val="00056B31"/>
    <w:rsid w:val="00057D42"/>
    <w:rsid w:val="00064B10"/>
    <w:rsid w:val="00065741"/>
    <w:rsid w:val="000678E8"/>
    <w:rsid w:val="000708A6"/>
    <w:rsid w:val="000725E8"/>
    <w:rsid w:val="0007282E"/>
    <w:rsid w:val="00076262"/>
    <w:rsid w:val="00083885"/>
    <w:rsid w:val="00084CA0"/>
    <w:rsid w:val="000963F4"/>
    <w:rsid w:val="000B1186"/>
    <w:rsid w:val="000B1735"/>
    <w:rsid w:val="000B264B"/>
    <w:rsid w:val="000B5224"/>
    <w:rsid w:val="000C71E8"/>
    <w:rsid w:val="000D4F57"/>
    <w:rsid w:val="000E2F01"/>
    <w:rsid w:val="000F2422"/>
    <w:rsid w:val="000F7DFB"/>
    <w:rsid w:val="001019E7"/>
    <w:rsid w:val="0011477F"/>
    <w:rsid w:val="00114EFD"/>
    <w:rsid w:val="00116D9D"/>
    <w:rsid w:val="00116E03"/>
    <w:rsid w:val="00120179"/>
    <w:rsid w:val="00121895"/>
    <w:rsid w:val="00124B72"/>
    <w:rsid w:val="00126169"/>
    <w:rsid w:val="00130E0F"/>
    <w:rsid w:val="00133DB8"/>
    <w:rsid w:val="00136872"/>
    <w:rsid w:val="00140600"/>
    <w:rsid w:val="001408BE"/>
    <w:rsid w:val="00147747"/>
    <w:rsid w:val="001514A5"/>
    <w:rsid w:val="001538F6"/>
    <w:rsid w:val="00154952"/>
    <w:rsid w:val="00174CE9"/>
    <w:rsid w:val="00175981"/>
    <w:rsid w:val="001805B0"/>
    <w:rsid w:val="00194EA4"/>
    <w:rsid w:val="001A13CA"/>
    <w:rsid w:val="001C2934"/>
    <w:rsid w:val="001C4329"/>
    <w:rsid w:val="001C4769"/>
    <w:rsid w:val="001C4A60"/>
    <w:rsid w:val="001D2DDA"/>
    <w:rsid w:val="001D5976"/>
    <w:rsid w:val="001E5E51"/>
    <w:rsid w:val="001E6191"/>
    <w:rsid w:val="001F6B23"/>
    <w:rsid w:val="001F7F50"/>
    <w:rsid w:val="00205976"/>
    <w:rsid w:val="00212D77"/>
    <w:rsid w:val="00245284"/>
    <w:rsid w:val="0026047B"/>
    <w:rsid w:val="00264B8D"/>
    <w:rsid w:val="00280AD6"/>
    <w:rsid w:val="00297F59"/>
    <w:rsid w:val="002A0292"/>
    <w:rsid w:val="002A16AA"/>
    <w:rsid w:val="002A4DF9"/>
    <w:rsid w:val="002A7B84"/>
    <w:rsid w:val="002B62FA"/>
    <w:rsid w:val="002D3892"/>
    <w:rsid w:val="002E5368"/>
    <w:rsid w:val="002E7D80"/>
    <w:rsid w:val="002F29DB"/>
    <w:rsid w:val="002F4C01"/>
    <w:rsid w:val="002F6353"/>
    <w:rsid w:val="00300E16"/>
    <w:rsid w:val="003230C4"/>
    <w:rsid w:val="0033512B"/>
    <w:rsid w:val="00342A6A"/>
    <w:rsid w:val="00342DBC"/>
    <w:rsid w:val="003522FF"/>
    <w:rsid w:val="00352E60"/>
    <w:rsid w:val="003620BE"/>
    <w:rsid w:val="003700D5"/>
    <w:rsid w:val="00370EA0"/>
    <w:rsid w:val="00374278"/>
    <w:rsid w:val="00383FE8"/>
    <w:rsid w:val="00386EAB"/>
    <w:rsid w:val="00387D11"/>
    <w:rsid w:val="003937AB"/>
    <w:rsid w:val="003B2A03"/>
    <w:rsid w:val="003B6C4D"/>
    <w:rsid w:val="003C440D"/>
    <w:rsid w:val="003D53A9"/>
    <w:rsid w:val="003E52D4"/>
    <w:rsid w:val="003E57E6"/>
    <w:rsid w:val="003E7B8B"/>
    <w:rsid w:val="003F3C5E"/>
    <w:rsid w:val="00401A5F"/>
    <w:rsid w:val="004051D2"/>
    <w:rsid w:val="00406E62"/>
    <w:rsid w:val="00407D5F"/>
    <w:rsid w:val="00411063"/>
    <w:rsid w:val="0041305D"/>
    <w:rsid w:val="00413493"/>
    <w:rsid w:val="004152B8"/>
    <w:rsid w:val="00421797"/>
    <w:rsid w:val="00421B73"/>
    <w:rsid w:val="00425055"/>
    <w:rsid w:val="004264A7"/>
    <w:rsid w:val="004374FC"/>
    <w:rsid w:val="00445E61"/>
    <w:rsid w:val="004461A6"/>
    <w:rsid w:val="00455768"/>
    <w:rsid w:val="00460FDD"/>
    <w:rsid w:val="00462B11"/>
    <w:rsid w:val="004637BB"/>
    <w:rsid w:val="0047320D"/>
    <w:rsid w:val="00481F44"/>
    <w:rsid w:val="004A0A86"/>
    <w:rsid w:val="004C205C"/>
    <w:rsid w:val="004C79E9"/>
    <w:rsid w:val="004D2A3A"/>
    <w:rsid w:val="004D6CD4"/>
    <w:rsid w:val="004E65DA"/>
    <w:rsid w:val="004E6774"/>
    <w:rsid w:val="004F4432"/>
    <w:rsid w:val="0050276A"/>
    <w:rsid w:val="00507CC1"/>
    <w:rsid w:val="005116B5"/>
    <w:rsid w:val="00537E39"/>
    <w:rsid w:val="005439AB"/>
    <w:rsid w:val="00547144"/>
    <w:rsid w:val="00550A27"/>
    <w:rsid w:val="00560E75"/>
    <w:rsid w:val="00561EBF"/>
    <w:rsid w:val="0056226D"/>
    <w:rsid w:val="00566384"/>
    <w:rsid w:val="00574185"/>
    <w:rsid w:val="0057542B"/>
    <w:rsid w:val="00581186"/>
    <w:rsid w:val="005863CA"/>
    <w:rsid w:val="00587B6F"/>
    <w:rsid w:val="00592CC1"/>
    <w:rsid w:val="00592FB9"/>
    <w:rsid w:val="005A53AD"/>
    <w:rsid w:val="005A7D65"/>
    <w:rsid w:val="005C238C"/>
    <w:rsid w:val="005C540D"/>
    <w:rsid w:val="005D3886"/>
    <w:rsid w:val="005D78D0"/>
    <w:rsid w:val="005E1A52"/>
    <w:rsid w:val="00610245"/>
    <w:rsid w:val="006178C1"/>
    <w:rsid w:val="00621DCC"/>
    <w:rsid w:val="00623BFB"/>
    <w:rsid w:val="00624823"/>
    <w:rsid w:val="00637EC9"/>
    <w:rsid w:val="006428CF"/>
    <w:rsid w:val="006459A2"/>
    <w:rsid w:val="006475DB"/>
    <w:rsid w:val="006530DC"/>
    <w:rsid w:val="00661321"/>
    <w:rsid w:val="0066399F"/>
    <w:rsid w:val="00667E10"/>
    <w:rsid w:val="006757D6"/>
    <w:rsid w:val="0067651D"/>
    <w:rsid w:val="00680EB7"/>
    <w:rsid w:val="006819DE"/>
    <w:rsid w:val="00686200"/>
    <w:rsid w:val="00695D2F"/>
    <w:rsid w:val="00697A62"/>
    <w:rsid w:val="006B493D"/>
    <w:rsid w:val="006C3AEB"/>
    <w:rsid w:val="006C4077"/>
    <w:rsid w:val="006E0AA4"/>
    <w:rsid w:val="006E6005"/>
    <w:rsid w:val="006F1279"/>
    <w:rsid w:val="006F1B33"/>
    <w:rsid w:val="006F1EFF"/>
    <w:rsid w:val="006F596A"/>
    <w:rsid w:val="007021D9"/>
    <w:rsid w:val="0070366A"/>
    <w:rsid w:val="00703680"/>
    <w:rsid w:val="00716694"/>
    <w:rsid w:val="00725759"/>
    <w:rsid w:val="00726E81"/>
    <w:rsid w:val="00726F01"/>
    <w:rsid w:val="00731404"/>
    <w:rsid w:val="00732214"/>
    <w:rsid w:val="00745CD8"/>
    <w:rsid w:val="007528BA"/>
    <w:rsid w:val="00755AD4"/>
    <w:rsid w:val="0076069E"/>
    <w:rsid w:val="00761D60"/>
    <w:rsid w:val="007626E0"/>
    <w:rsid w:val="00762AD8"/>
    <w:rsid w:val="0078017F"/>
    <w:rsid w:val="007812ED"/>
    <w:rsid w:val="0078350F"/>
    <w:rsid w:val="007846A2"/>
    <w:rsid w:val="00784A37"/>
    <w:rsid w:val="0078789A"/>
    <w:rsid w:val="00796837"/>
    <w:rsid w:val="00797340"/>
    <w:rsid w:val="007A4EF8"/>
    <w:rsid w:val="007B14C8"/>
    <w:rsid w:val="007B2E7B"/>
    <w:rsid w:val="007B4B19"/>
    <w:rsid w:val="007B7A27"/>
    <w:rsid w:val="007D07C3"/>
    <w:rsid w:val="007D09E0"/>
    <w:rsid w:val="007D6783"/>
    <w:rsid w:val="007E0D25"/>
    <w:rsid w:val="007E314E"/>
    <w:rsid w:val="007E568A"/>
    <w:rsid w:val="007F073E"/>
    <w:rsid w:val="007F45CC"/>
    <w:rsid w:val="007F497A"/>
    <w:rsid w:val="008002C7"/>
    <w:rsid w:val="00800D18"/>
    <w:rsid w:val="008063FB"/>
    <w:rsid w:val="0081105B"/>
    <w:rsid w:val="00812BCA"/>
    <w:rsid w:val="00813ECE"/>
    <w:rsid w:val="00816143"/>
    <w:rsid w:val="00816D36"/>
    <w:rsid w:val="00833B1A"/>
    <w:rsid w:val="00835F15"/>
    <w:rsid w:val="00837EF6"/>
    <w:rsid w:val="00853AF9"/>
    <w:rsid w:val="00854C6C"/>
    <w:rsid w:val="008573A6"/>
    <w:rsid w:val="00862749"/>
    <w:rsid w:val="0086502B"/>
    <w:rsid w:val="008733C1"/>
    <w:rsid w:val="00873733"/>
    <w:rsid w:val="00873BC4"/>
    <w:rsid w:val="008851CB"/>
    <w:rsid w:val="00885312"/>
    <w:rsid w:val="008934CD"/>
    <w:rsid w:val="00897251"/>
    <w:rsid w:val="008A0B12"/>
    <w:rsid w:val="008A27FE"/>
    <w:rsid w:val="008A7E1B"/>
    <w:rsid w:val="008B0427"/>
    <w:rsid w:val="008B341F"/>
    <w:rsid w:val="008C33E1"/>
    <w:rsid w:val="008D39E5"/>
    <w:rsid w:val="008E20FC"/>
    <w:rsid w:val="008E45F6"/>
    <w:rsid w:val="008F6887"/>
    <w:rsid w:val="008F6B5C"/>
    <w:rsid w:val="008F6F13"/>
    <w:rsid w:val="008F7746"/>
    <w:rsid w:val="00906B04"/>
    <w:rsid w:val="0091169C"/>
    <w:rsid w:val="00911B0A"/>
    <w:rsid w:val="009333AB"/>
    <w:rsid w:val="00934862"/>
    <w:rsid w:val="009455FA"/>
    <w:rsid w:val="009459A6"/>
    <w:rsid w:val="00950CD8"/>
    <w:rsid w:val="0095460D"/>
    <w:rsid w:val="00962984"/>
    <w:rsid w:val="00963998"/>
    <w:rsid w:val="00963CFF"/>
    <w:rsid w:val="00983231"/>
    <w:rsid w:val="00986841"/>
    <w:rsid w:val="0098736B"/>
    <w:rsid w:val="00987455"/>
    <w:rsid w:val="00992B35"/>
    <w:rsid w:val="00995254"/>
    <w:rsid w:val="00996002"/>
    <w:rsid w:val="009A6B7D"/>
    <w:rsid w:val="009B7566"/>
    <w:rsid w:val="009C506C"/>
    <w:rsid w:val="009C5E9C"/>
    <w:rsid w:val="009D29FD"/>
    <w:rsid w:val="009E28DB"/>
    <w:rsid w:val="009E4171"/>
    <w:rsid w:val="009F56B6"/>
    <w:rsid w:val="009F64BF"/>
    <w:rsid w:val="009F7EF0"/>
    <w:rsid w:val="00A10858"/>
    <w:rsid w:val="00A10BA6"/>
    <w:rsid w:val="00A11577"/>
    <w:rsid w:val="00A156D7"/>
    <w:rsid w:val="00A32197"/>
    <w:rsid w:val="00A42C44"/>
    <w:rsid w:val="00A477B7"/>
    <w:rsid w:val="00A5590E"/>
    <w:rsid w:val="00A559EE"/>
    <w:rsid w:val="00A56F4A"/>
    <w:rsid w:val="00A61CCD"/>
    <w:rsid w:val="00A61EAB"/>
    <w:rsid w:val="00A730A0"/>
    <w:rsid w:val="00A7474C"/>
    <w:rsid w:val="00AA5B6E"/>
    <w:rsid w:val="00AB4434"/>
    <w:rsid w:val="00AB5B3A"/>
    <w:rsid w:val="00AB712A"/>
    <w:rsid w:val="00AC0C33"/>
    <w:rsid w:val="00AC7BA7"/>
    <w:rsid w:val="00B04D39"/>
    <w:rsid w:val="00B108FF"/>
    <w:rsid w:val="00B1565B"/>
    <w:rsid w:val="00B2309E"/>
    <w:rsid w:val="00B270AC"/>
    <w:rsid w:val="00B27528"/>
    <w:rsid w:val="00B30E42"/>
    <w:rsid w:val="00B33AE2"/>
    <w:rsid w:val="00B352CA"/>
    <w:rsid w:val="00B4417A"/>
    <w:rsid w:val="00B4431C"/>
    <w:rsid w:val="00B45CC4"/>
    <w:rsid w:val="00B56C7E"/>
    <w:rsid w:val="00B5712E"/>
    <w:rsid w:val="00B7108C"/>
    <w:rsid w:val="00B73C72"/>
    <w:rsid w:val="00B86B39"/>
    <w:rsid w:val="00B958F1"/>
    <w:rsid w:val="00B97966"/>
    <w:rsid w:val="00BA2A4F"/>
    <w:rsid w:val="00BB0371"/>
    <w:rsid w:val="00BB3A82"/>
    <w:rsid w:val="00BB6932"/>
    <w:rsid w:val="00BB6C04"/>
    <w:rsid w:val="00BC3200"/>
    <w:rsid w:val="00BD3AE5"/>
    <w:rsid w:val="00BD4A82"/>
    <w:rsid w:val="00BE0784"/>
    <w:rsid w:val="00BE2EA9"/>
    <w:rsid w:val="00BE6E4B"/>
    <w:rsid w:val="00BF0A73"/>
    <w:rsid w:val="00BF27B3"/>
    <w:rsid w:val="00BF497E"/>
    <w:rsid w:val="00C01254"/>
    <w:rsid w:val="00C04D05"/>
    <w:rsid w:val="00C06D63"/>
    <w:rsid w:val="00C07270"/>
    <w:rsid w:val="00C07C4C"/>
    <w:rsid w:val="00C15357"/>
    <w:rsid w:val="00C247CC"/>
    <w:rsid w:val="00C410B6"/>
    <w:rsid w:val="00C449D7"/>
    <w:rsid w:val="00C44A2B"/>
    <w:rsid w:val="00C44EE1"/>
    <w:rsid w:val="00C57822"/>
    <w:rsid w:val="00C651E5"/>
    <w:rsid w:val="00C75F75"/>
    <w:rsid w:val="00C92779"/>
    <w:rsid w:val="00CA5305"/>
    <w:rsid w:val="00CB4D5A"/>
    <w:rsid w:val="00CB7CF8"/>
    <w:rsid w:val="00CC05D7"/>
    <w:rsid w:val="00CD29B7"/>
    <w:rsid w:val="00CD6740"/>
    <w:rsid w:val="00CE5A86"/>
    <w:rsid w:val="00CF104E"/>
    <w:rsid w:val="00CF1FDB"/>
    <w:rsid w:val="00CF36E7"/>
    <w:rsid w:val="00D0277A"/>
    <w:rsid w:val="00D06CE9"/>
    <w:rsid w:val="00D10962"/>
    <w:rsid w:val="00D233CA"/>
    <w:rsid w:val="00D248D3"/>
    <w:rsid w:val="00D339F3"/>
    <w:rsid w:val="00D34AA5"/>
    <w:rsid w:val="00D360EA"/>
    <w:rsid w:val="00D40A67"/>
    <w:rsid w:val="00D51AED"/>
    <w:rsid w:val="00D60634"/>
    <w:rsid w:val="00D67E32"/>
    <w:rsid w:val="00D72EA5"/>
    <w:rsid w:val="00D77E01"/>
    <w:rsid w:val="00D94FE2"/>
    <w:rsid w:val="00DA207C"/>
    <w:rsid w:val="00DA2981"/>
    <w:rsid w:val="00DB2EAB"/>
    <w:rsid w:val="00DC5F30"/>
    <w:rsid w:val="00DD1221"/>
    <w:rsid w:val="00DE0343"/>
    <w:rsid w:val="00DE1F60"/>
    <w:rsid w:val="00DE2874"/>
    <w:rsid w:val="00DE3439"/>
    <w:rsid w:val="00DE4536"/>
    <w:rsid w:val="00DF32CD"/>
    <w:rsid w:val="00DF4AD2"/>
    <w:rsid w:val="00E312DF"/>
    <w:rsid w:val="00E40C49"/>
    <w:rsid w:val="00E45F36"/>
    <w:rsid w:val="00E50B17"/>
    <w:rsid w:val="00E529D8"/>
    <w:rsid w:val="00E76EF2"/>
    <w:rsid w:val="00E858EB"/>
    <w:rsid w:val="00E90459"/>
    <w:rsid w:val="00EB32E6"/>
    <w:rsid w:val="00EB4C62"/>
    <w:rsid w:val="00EC1A15"/>
    <w:rsid w:val="00ED43E1"/>
    <w:rsid w:val="00EE2767"/>
    <w:rsid w:val="00F017DF"/>
    <w:rsid w:val="00F049A2"/>
    <w:rsid w:val="00F1075D"/>
    <w:rsid w:val="00F11734"/>
    <w:rsid w:val="00F23344"/>
    <w:rsid w:val="00F24408"/>
    <w:rsid w:val="00F27EBD"/>
    <w:rsid w:val="00F30723"/>
    <w:rsid w:val="00F3220C"/>
    <w:rsid w:val="00F32452"/>
    <w:rsid w:val="00F47DDF"/>
    <w:rsid w:val="00F53BC1"/>
    <w:rsid w:val="00F659C1"/>
    <w:rsid w:val="00F70AC0"/>
    <w:rsid w:val="00F71A44"/>
    <w:rsid w:val="00F7388A"/>
    <w:rsid w:val="00F972CE"/>
    <w:rsid w:val="00FA36A0"/>
    <w:rsid w:val="00FA38A9"/>
    <w:rsid w:val="00FC5279"/>
    <w:rsid w:val="00FC725D"/>
    <w:rsid w:val="00FE2B6A"/>
    <w:rsid w:val="00FE4791"/>
    <w:rsid w:val="00FF546B"/>
    <w:rsid w:val="00FF63F8"/>
    <w:rsid w:val="00FF73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297F1"/>
  <w15:chartTrackingRefBased/>
  <w15:docId w15:val="{5CE0F754-7F5F-4028-A2F1-4AC3B336C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59EE"/>
    <w:rPr>
      <w:color w:val="0563C1" w:themeColor="hyperlink"/>
      <w:u w:val="single"/>
    </w:rPr>
  </w:style>
  <w:style w:type="paragraph" w:styleId="BalloonText">
    <w:name w:val="Balloon Text"/>
    <w:basedOn w:val="Normal"/>
    <w:link w:val="BalloonTextChar"/>
    <w:uiPriority w:val="99"/>
    <w:semiHidden/>
    <w:unhideWhenUsed/>
    <w:rsid w:val="00B2309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2309E"/>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637BB"/>
    <w:rPr>
      <w:sz w:val="18"/>
      <w:szCs w:val="18"/>
    </w:rPr>
  </w:style>
  <w:style w:type="paragraph" w:styleId="CommentText">
    <w:name w:val="annotation text"/>
    <w:basedOn w:val="Normal"/>
    <w:link w:val="CommentTextChar"/>
    <w:uiPriority w:val="99"/>
    <w:semiHidden/>
    <w:unhideWhenUsed/>
    <w:rsid w:val="004637BB"/>
    <w:pPr>
      <w:spacing w:line="240" w:lineRule="auto"/>
    </w:pPr>
    <w:rPr>
      <w:sz w:val="24"/>
      <w:szCs w:val="24"/>
    </w:rPr>
  </w:style>
  <w:style w:type="character" w:customStyle="1" w:styleId="CommentTextChar">
    <w:name w:val="Comment Text Char"/>
    <w:basedOn w:val="DefaultParagraphFont"/>
    <w:link w:val="CommentText"/>
    <w:uiPriority w:val="99"/>
    <w:semiHidden/>
    <w:rsid w:val="004637BB"/>
    <w:rPr>
      <w:sz w:val="24"/>
      <w:szCs w:val="24"/>
    </w:rPr>
  </w:style>
  <w:style w:type="paragraph" w:styleId="CommentSubject">
    <w:name w:val="annotation subject"/>
    <w:basedOn w:val="CommentText"/>
    <w:next w:val="CommentText"/>
    <w:link w:val="CommentSubjectChar"/>
    <w:uiPriority w:val="99"/>
    <w:semiHidden/>
    <w:unhideWhenUsed/>
    <w:rsid w:val="004637BB"/>
    <w:rPr>
      <w:b/>
      <w:bCs/>
      <w:sz w:val="20"/>
      <w:szCs w:val="20"/>
    </w:rPr>
  </w:style>
  <w:style w:type="character" w:customStyle="1" w:styleId="CommentSubjectChar">
    <w:name w:val="Comment Subject Char"/>
    <w:basedOn w:val="CommentTextChar"/>
    <w:link w:val="CommentSubject"/>
    <w:uiPriority w:val="99"/>
    <w:semiHidden/>
    <w:rsid w:val="004637BB"/>
    <w:rPr>
      <w:b/>
      <w:bCs/>
      <w:sz w:val="20"/>
      <w:szCs w:val="20"/>
    </w:rPr>
  </w:style>
  <w:style w:type="character" w:styleId="LineNumber">
    <w:name w:val="line number"/>
    <w:basedOn w:val="DefaultParagraphFont"/>
    <w:uiPriority w:val="99"/>
    <w:semiHidden/>
    <w:unhideWhenUsed/>
    <w:rsid w:val="00F30723"/>
  </w:style>
  <w:style w:type="paragraph" w:styleId="Revision">
    <w:name w:val="Revision"/>
    <w:hidden/>
    <w:uiPriority w:val="99"/>
    <w:semiHidden/>
    <w:rsid w:val="00581186"/>
    <w:pPr>
      <w:spacing w:after="0" w:line="240" w:lineRule="auto"/>
    </w:pPr>
  </w:style>
  <w:style w:type="paragraph" w:styleId="ListParagraph">
    <w:name w:val="List Paragraph"/>
    <w:basedOn w:val="Normal"/>
    <w:uiPriority w:val="34"/>
    <w:qFormat/>
    <w:rsid w:val="00986841"/>
    <w:pPr>
      <w:ind w:left="720"/>
      <w:contextualSpacing/>
    </w:pPr>
  </w:style>
  <w:style w:type="character" w:styleId="UnresolvedMention">
    <w:name w:val="Unresolved Mention"/>
    <w:basedOn w:val="DefaultParagraphFont"/>
    <w:uiPriority w:val="99"/>
    <w:rsid w:val="00212D77"/>
    <w:rPr>
      <w:color w:val="808080"/>
      <w:shd w:val="clear" w:color="auto" w:fill="E6E6E6"/>
    </w:rPr>
  </w:style>
  <w:style w:type="character" w:styleId="PlaceholderText">
    <w:name w:val="Placeholder Text"/>
    <w:basedOn w:val="DefaultParagraphFont"/>
    <w:uiPriority w:val="99"/>
    <w:semiHidden/>
    <w:rsid w:val="00BE6E4B"/>
    <w:rPr>
      <w:color w:val="808080"/>
    </w:rPr>
  </w:style>
  <w:style w:type="paragraph" w:styleId="Caption">
    <w:name w:val="caption"/>
    <w:basedOn w:val="Normal"/>
    <w:next w:val="Normal"/>
    <w:uiPriority w:val="35"/>
    <w:unhideWhenUsed/>
    <w:qFormat/>
    <w:rsid w:val="00F7388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79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hipmap.org"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854F2-0840-44F5-8A81-B3E7C100B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5353</Words>
  <Characters>30515</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bobholz</dc:creator>
  <cp:keywords/>
  <dc:description/>
  <cp:lastModifiedBy>JAT</cp:lastModifiedBy>
  <cp:revision>10</cp:revision>
  <cp:lastPrinted>2017-07-17T20:13:00Z</cp:lastPrinted>
  <dcterms:created xsi:type="dcterms:W3CDTF">2017-08-18T22:06:00Z</dcterms:created>
  <dcterms:modified xsi:type="dcterms:W3CDTF">2017-08-23T14:34:00Z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http://www.zotero.org/styles/american-chemical-society-with-titles-doi-no-et-al</vt:lpwstr>
  </property>
  <property fmtid="{D5CDD505-2E9C-101B-9397-08002B2CF9AE}" pid="3" name="Mendeley Recent Style Name 0_1">
    <vt:lpwstr>American Chemical Society (with titles and DOI, no "et al.")</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16th edition (author-date)</vt:lpwstr>
  </property>
  <property fmtid="{D5CDD505-2E9C-101B-9397-08002B2CF9AE}" pid="8" name="Mendeley Recent Style Id 3_1">
    <vt:lpwstr>http://www.zotero.org/styles/geophysical-research-letters</vt:lpwstr>
  </property>
  <property fmtid="{D5CDD505-2E9C-101B-9397-08002B2CF9AE}" pid="9" name="Mendeley Recent Style Name 3_1">
    <vt:lpwstr>Geophysical Research Letters</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http://www.zotero.org/styles/national-science-foundation-grant-proposals</vt:lpwstr>
  </property>
  <property fmtid="{D5CDD505-2E9C-101B-9397-08002B2CF9AE}" pid="17" name="Mendeley Recent Style Name 7_1">
    <vt:lpwstr>National Science Foundation (grant proposals)</vt:lpwstr>
  </property>
  <property fmtid="{D5CDD505-2E9C-101B-9397-08002B2CF9AE}" pid="18" name="Mendeley Recent Style Id 8_1">
    <vt:lpwstr>http://csl.mendeley.com/styles/481373781/national-science-foundation-grant-proposals</vt:lpwstr>
  </property>
  <property fmtid="{D5CDD505-2E9C-101B-9397-08002B2CF9AE}" pid="19" name="Mendeley Recent Style Name 8_1">
    <vt:lpwstr>National Science Foundation (grant proposals) - Joel Thornton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d2558c74-6e89-3d7e-b21e-13651c7b2a3d</vt:lpwstr>
  </property>
  <property fmtid="{D5CDD505-2E9C-101B-9397-08002B2CF9AE}" pid="24" name="Mendeley Citation Style_1">
    <vt:lpwstr>http://www.zotero.org/styles/geophysical-research-letters</vt:lpwstr>
  </property>
</Properties>
</file>