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8B33" w14:textId="07D584E1" w:rsidR="0080356F" w:rsidRPr="0080356F" w:rsidRDefault="00A52B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B1B">
        <w:rPr>
          <w:rFonts w:ascii="Times New Roman" w:hAnsi="Times New Roman" w:cs="Times New Roman"/>
          <w:b/>
          <w:bCs/>
          <w:sz w:val="28"/>
          <w:szCs w:val="28"/>
        </w:rPr>
        <w:t xml:space="preserve">FVCOM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A52B1B">
        <w:rPr>
          <w:rFonts w:ascii="Times New Roman" w:hAnsi="Times New Roman" w:cs="Times New Roman"/>
          <w:b/>
          <w:bCs/>
          <w:sz w:val="28"/>
          <w:szCs w:val="28"/>
        </w:rPr>
        <w:t xml:space="preserve">ass </w:t>
      </w:r>
      <w:r w:rsidR="009A767F">
        <w:rPr>
          <w:rFonts w:ascii="Times New Roman" w:hAnsi="Times New Roman" w:cs="Times New Roman"/>
          <w:b/>
          <w:bCs/>
          <w:sz w:val="28"/>
          <w:szCs w:val="28"/>
        </w:rPr>
        <w:t>Balance check</w:t>
      </w:r>
    </w:p>
    <w:p w14:paraId="74BF5B3C" w14:textId="77777777" w:rsidR="00B554D9" w:rsidRDefault="002F67F2">
      <w:pPr>
        <w:rPr>
          <w:rFonts w:ascii="Times New Roman" w:hAnsi="Times New Roman" w:cs="Times New Roman"/>
        </w:rPr>
      </w:pPr>
      <w:r w:rsidRPr="002F67F2">
        <w:rPr>
          <w:rFonts w:ascii="Times New Roman" w:hAnsi="Times New Roman" w:cs="Times New Roman"/>
        </w:rPr>
        <w:t>To check the FVCOM mass conservation, we have</w:t>
      </w:r>
      <w:r w:rsidR="0080356F">
        <w:rPr>
          <w:rFonts w:ascii="Times New Roman" w:hAnsi="Times New Roman" w:cs="Times New Roman"/>
        </w:rPr>
        <w:t xml:space="preserve"> calculated </w:t>
      </w:r>
      <w:r w:rsidR="0080356F" w:rsidRPr="0080356F">
        <w:rPr>
          <w:rFonts w:ascii="Times New Roman" w:hAnsi="Times New Roman" w:cs="Times New Roman"/>
        </w:rPr>
        <w:t xml:space="preserve">the </w:t>
      </w:r>
      <w:r w:rsidR="0080356F">
        <w:rPr>
          <w:rFonts w:ascii="Times New Roman" w:hAnsi="Times New Roman" w:cs="Times New Roman"/>
        </w:rPr>
        <w:t>volume</w:t>
      </w:r>
      <w:r w:rsidR="0080356F" w:rsidRPr="0080356F">
        <w:rPr>
          <w:rFonts w:ascii="Times New Roman" w:hAnsi="Times New Roman" w:cs="Times New Roman"/>
        </w:rPr>
        <w:t xml:space="preserve"> flux going in/out through</w:t>
      </w:r>
      <w:r w:rsidR="0080356F">
        <w:rPr>
          <w:rFonts w:ascii="Times New Roman" w:hAnsi="Times New Roman" w:cs="Times New Roman"/>
        </w:rPr>
        <w:t xml:space="preserve"> the transects shown in </w:t>
      </w:r>
      <w:r w:rsidR="0080356F" w:rsidRPr="0080356F">
        <w:rPr>
          <w:rFonts w:ascii="Times New Roman" w:hAnsi="Times New Roman" w:cs="Times New Roman"/>
          <w:i/>
          <w:iCs/>
        </w:rPr>
        <w:t>Figure S1</w:t>
      </w:r>
      <w:r w:rsidR="0080356F">
        <w:rPr>
          <w:rFonts w:ascii="Times New Roman" w:hAnsi="Times New Roman" w:cs="Times New Roman"/>
        </w:rPr>
        <w:t>.</w:t>
      </w:r>
      <w:r w:rsidRPr="002F67F2">
        <w:rPr>
          <w:rFonts w:ascii="Times New Roman" w:hAnsi="Times New Roman" w:cs="Times New Roman"/>
        </w:rPr>
        <w:t xml:space="preserve"> </w:t>
      </w:r>
      <w:r w:rsidR="002B632E">
        <w:rPr>
          <w:rFonts w:ascii="Times New Roman" w:hAnsi="Times New Roman" w:cs="Times New Roman"/>
        </w:rPr>
        <w:t>We have used a linear function described in the FVCOM manual (Chen et al., 2013) for velocity reconstruction at the cell edges. The depth-averaged velocity, multiplied by the time-varying total depth and width, provide</w:t>
      </w:r>
      <w:r w:rsidR="00B554D9">
        <w:rPr>
          <w:rFonts w:ascii="Times New Roman" w:hAnsi="Times New Roman" w:cs="Times New Roman"/>
        </w:rPr>
        <w:t>d</w:t>
      </w:r>
      <w:r w:rsidR="002B632E">
        <w:rPr>
          <w:rFonts w:ascii="Times New Roman" w:hAnsi="Times New Roman" w:cs="Times New Roman"/>
        </w:rPr>
        <w:t xml:space="preserve"> volume flux through each cell edge at the transect. Then, taking an integral over the transect represented the total volume flux for each case</w:t>
      </w:r>
      <w:r w:rsidR="0080356F" w:rsidRPr="0080356F">
        <w:rPr>
          <w:rFonts w:ascii="Times New Roman" w:hAnsi="Times New Roman" w:cs="Times New Roman"/>
        </w:rPr>
        <w:t>.</w:t>
      </w:r>
      <w:r w:rsidR="0080356F">
        <w:rPr>
          <w:rFonts w:ascii="Times New Roman" w:hAnsi="Times New Roman" w:cs="Times New Roman"/>
        </w:rPr>
        <w:t xml:space="preserve"> An example of the volume flux is given in </w:t>
      </w:r>
      <w:r w:rsidR="0080356F" w:rsidRPr="0080356F">
        <w:rPr>
          <w:rFonts w:ascii="Times New Roman" w:hAnsi="Times New Roman" w:cs="Times New Roman"/>
          <w:i/>
          <w:iCs/>
        </w:rPr>
        <w:t>Figure S2</w:t>
      </w:r>
      <w:r w:rsidR="0080356F">
        <w:rPr>
          <w:rFonts w:ascii="Times New Roman" w:hAnsi="Times New Roman" w:cs="Times New Roman"/>
          <w:i/>
          <w:iCs/>
        </w:rPr>
        <w:t xml:space="preserve">, </w:t>
      </w:r>
      <w:r w:rsidR="0080356F">
        <w:rPr>
          <w:rFonts w:ascii="Times New Roman" w:hAnsi="Times New Roman" w:cs="Times New Roman"/>
        </w:rPr>
        <w:t>which shows the time-varying flux for</w:t>
      </w:r>
      <w:r w:rsidR="0080356F" w:rsidRPr="0080356F">
        <w:rPr>
          <w:rFonts w:ascii="Times New Roman" w:hAnsi="Times New Roman" w:cs="Times New Roman"/>
        </w:rPr>
        <w:t xml:space="preserve"> the</w:t>
      </w:r>
      <w:r w:rsidR="0080356F">
        <w:rPr>
          <w:rFonts w:ascii="Times New Roman" w:hAnsi="Times New Roman" w:cs="Times New Roman"/>
          <w:i/>
          <w:iCs/>
        </w:rPr>
        <w:t xml:space="preserve"> </w:t>
      </w:r>
      <w:r w:rsidR="0080356F" w:rsidRPr="0080356F">
        <w:rPr>
          <w:rFonts w:ascii="Times New Roman" w:hAnsi="Times New Roman" w:cs="Times New Roman"/>
        </w:rPr>
        <w:t xml:space="preserve">Bay-Marsh system </w:t>
      </w:r>
      <w:r w:rsidR="0080356F">
        <w:rPr>
          <w:rFonts w:ascii="Times New Roman" w:hAnsi="Times New Roman" w:cs="Times New Roman"/>
        </w:rPr>
        <w:t>and</w:t>
      </w:r>
      <w:r w:rsidR="0080356F" w:rsidRPr="0080356F">
        <w:rPr>
          <w:rFonts w:ascii="Times New Roman" w:hAnsi="Times New Roman" w:cs="Times New Roman"/>
        </w:rPr>
        <w:t xml:space="preserve"> regular FVCOM model</w:t>
      </w:r>
      <w:r w:rsidR="0080356F">
        <w:rPr>
          <w:rFonts w:ascii="Times New Roman" w:hAnsi="Times New Roman" w:cs="Times New Roman"/>
        </w:rPr>
        <w:t xml:space="preserve"> case. Subsequently, we used a zero-</w:t>
      </w:r>
      <w:proofErr w:type="spellStart"/>
      <w:r w:rsidR="0080356F">
        <w:rPr>
          <w:rFonts w:ascii="Times New Roman" w:hAnsi="Times New Roman" w:cs="Times New Roman"/>
        </w:rPr>
        <w:t>upcrossing</w:t>
      </w:r>
      <w:proofErr w:type="spellEnd"/>
      <w:r w:rsidR="0080356F">
        <w:rPr>
          <w:rFonts w:ascii="Times New Roman" w:hAnsi="Times New Roman" w:cs="Times New Roman"/>
        </w:rPr>
        <w:t xml:space="preserve"> method to </w:t>
      </w:r>
      <w:r w:rsidR="002B632E">
        <w:rPr>
          <w:rFonts w:ascii="Times New Roman" w:hAnsi="Times New Roman" w:cs="Times New Roman"/>
        </w:rPr>
        <w:t>isolate</w:t>
      </w:r>
      <w:r w:rsidR="0080356F">
        <w:rPr>
          <w:rFonts w:ascii="Times New Roman" w:hAnsi="Times New Roman" w:cs="Times New Roman"/>
        </w:rPr>
        <w:t xml:space="preserve"> the individual tides for wave-averaging, shown using red circles in </w:t>
      </w:r>
      <w:r w:rsidR="0080356F" w:rsidRPr="0080356F">
        <w:rPr>
          <w:rFonts w:ascii="Times New Roman" w:hAnsi="Times New Roman" w:cs="Times New Roman"/>
          <w:i/>
          <w:iCs/>
        </w:rPr>
        <w:t>Figure S2</w:t>
      </w:r>
      <w:r w:rsidR="0080356F">
        <w:rPr>
          <w:rFonts w:ascii="Times New Roman" w:hAnsi="Times New Roman" w:cs="Times New Roman"/>
        </w:rPr>
        <w:t>. Ultimately, the tide-averaged quantities provided us with the residual</w:t>
      </w:r>
      <w:r w:rsidR="002B632E">
        <w:rPr>
          <w:rFonts w:ascii="Times New Roman" w:hAnsi="Times New Roman" w:cs="Times New Roman"/>
        </w:rPr>
        <w:t xml:space="preserve"> that verifies mass conservation.</w:t>
      </w:r>
      <w:r w:rsidR="0080356F">
        <w:rPr>
          <w:rFonts w:ascii="Times New Roman" w:hAnsi="Times New Roman" w:cs="Times New Roman"/>
        </w:rPr>
        <w:t xml:space="preserve"> </w:t>
      </w:r>
    </w:p>
    <w:p w14:paraId="684555B0" w14:textId="13E4ECAE" w:rsidR="002F67F2" w:rsidRPr="00E149A4" w:rsidRDefault="002B632E">
      <w:pPr>
        <w:rPr>
          <w:rFonts w:ascii="Times New Roman" w:hAnsi="Times New Roman" w:cs="Times New Roman"/>
        </w:rPr>
      </w:pPr>
      <w:r w:rsidRPr="0080356F">
        <w:rPr>
          <w:rFonts w:ascii="Times New Roman" w:hAnsi="Times New Roman" w:cs="Times New Roman"/>
          <w:i/>
          <w:iCs/>
        </w:rPr>
        <w:t>Figure S</w:t>
      </w:r>
      <w:r>
        <w:rPr>
          <w:rFonts w:ascii="Times New Roman" w:hAnsi="Times New Roman" w:cs="Times New Roman"/>
          <w:i/>
          <w:iCs/>
        </w:rPr>
        <w:t>3</w:t>
      </w:r>
      <w:r w:rsidR="00803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shows changes to the residual after every tide cycle for four different model simulations: first, we tested both FVCOM regular and the modified model with the Bay-Marsh case (</w:t>
      </w:r>
      <w:r w:rsidRPr="0080356F">
        <w:rPr>
          <w:rFonts w:ascii="Times New Roman" w:hAnsi="Times New Roman" w:cs="Times New Roman"/>
          <w:i/>
          <w:iCs/>
        </w:rPr>
        <w:t>Figure S</w:t>
      </w:r>
      <w:r w:rsidR="00E149A4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a1-a2</w:t>
      </w:r>
      <w:r>
        <w:rPr>
          <w:rFonts w:ascii="Times New Roman" w:hAnsi="Times New Roman" w:cs="Times New Roman"/>
        </w:rPr>
        <w:t>),</w:t>
      </w:r>
      <w:r w:rsidR="00B554D9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then, we ran both models for the Bay-Channel-Marsh case (</w:t>
      </w:r>
      <w:r w:rsidRPr="0080356F">
        <w:rPr>
          <w:rFonts w:ascii="Times New Roman" w:hAnsi="Times New Roman" w:cs="Times New Roman"/>
          <w:i/>
          <w:iCs/>
        </w:rPr>
        <w:t>Figure S</w:t>
      </w:r>
      <w:r w:rsidR="00E149A4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a3-a4</w:t>
      </w:r>
      <w:r>
        <w:rPr>
          <w:rFonts w:ascii="Times New Roman" w:hAnsi="Times New Roman" w:cs="Times New Roman"/>
        </w:rPr>
        <w:t>).</w:t>
      </w:r>
      <w:r w:rsidR="00E149A4">
        <w:rPr>
          <w:rFonts w:ascii="Times New Roman" w:hAnsi="Times New Roman" w:cs="Times New Roman"/>
        </w:rPr>
        <w:t xml:space="preserve"> Results on the left panel show that, for the regular model, both test cases (</w:t>
      </w:r>
      <w:r w:rsidR="00E149A4">
        <w:rPr>
          <w:rFonts w:ascii="Times New Roman" w:hAnsi="Times New Roman" w:cs="Times New Roman"/>
          <w:i/>
          <w:iCs/>
        </w:rPr>
        <w:t>a1 &amp; a3</w:t>
      </w:r>
      <w:r w:rsidR="00E149A4">
        <w:rPr>
          <w:rFonts w:ascii="Times New Roman" w:hAnsi="Times New Roman" w:cs="Times New Roman"/>
        </w:rPr>
        <w:t xml:space="preserve">) have an increased net volume flux at tide cycle 4. This </w:t>
      </w:r>
      <w:proofErr w:type="gramStart"/>
      <w:r w:rsidR="00E149A4">
        <w:rPr>
          <w:rFonts w:ascii="Times New Roman" w:hAnsi="Times New Roman" w:cs="Times New Roman"/>
        </w:rPr>
        <w:t>particular cycle</w:t>
      </w:r>
      <w:proofErr w:type="gramEnd"/>
      <w:r w:rsidR="00E149A4">
        <w:rPr>
          <w:rFonts w:ascii="Times New Roman" w:hAnsi="Times New Roman" w:cs="Times New Roman"/>
        </w:rPr>
        <w:t xml:space="preserve"> covered the time window when the marsh berm got overtopped during the flood and the system started to store water – reducing the ebb volume flux. The Bay-Marsh case needed two tide cycles: 4 and 5, to submerge the entire region due to its larger surface area than the </w:t>
      </w:r>
      <w:r w:rsidR="00E149A4" w:rsidRPr="00E149A4">
        <w:rPr>
          <w:rFonts w:ascii="Times New Roman" w:hAnsi="Times New Roman" w:cs="Times New Roman"/>
        </w:rPr>
        <w:t>Bay-Channel-Marsh case</w:t>
      </w:r>
      <w:r w:rsidR="00E149A4">
        <w:rPr>
          <w:rFonts w:ascii="Times New Roman" w:hAnsi="Times New Roman" w:cs="Times New Roman"/>
        </w:rPr>
        <w:t>, which required one. In contrast, with the modified FVCOM model – where we are draining the ponded region using slots, we can see an improved mass balance for both cases (</w:t>
      </w:r>
      <w:r w:rsidR="00E149A4" w:rsidRPr="0080356F">
        <w:rPr>
          <w:rFonts w:ascii="Times New Roman" w:hAnsi="Times New Roman" w:cs="Times New Roman"/>
          <w:i/>
          <w:iCs/>
        </w:rPr>
        <w:t>Figure S</w:t>
      </w:r>
      <w:r w:rsidR="00E149A4">
        <w:rPr>
          <w:rFonts w:ascii="Times New Roman" w:hAnsi="Times New Roman" w:cs="Times New Roman"/>
          <w:i/>
          <w:iCs/>
        </w:rPr>
        <w:t>3 a2 and a4</w:t>
      </w:r>
      <w:r w:rsidR="00E149A4">
        <w:rPr>
          <w:rFonts w:ascii="Times New Roman" w:hAnsi="Times New Roman" w:cs="Times New Roman"/>
        </w:rPr>
        <w:t xml:space="preserve">). At the same time, the right panel of </w:t>
      </w:r>
      <w:r w:rsidR="00E149A4" w:rsidRPr="0080356F">
        <w:rPr>
          <w:rFonts w:ascii="Times New Roman" w:hAnsi="Times New Roman" w:cs="Times New Roman"/>
          <w:i/>
          <w:iCs/>
        </w:rPr>
        <w:t>Figure S</w:t>
      </w:r>
      <w:r w:rsidR="00E149A4">
        <w:rPr>
          <w:rFonts w:ascii="Times New Roman" w:hAnsi="Times New Roman" w:cs="Times New Roman"/>
          <w:i/>
          <w:iCs/>
        </w:rPr>
        <w:t>3</w:t>
      </w:r>
      <w:r w:rsidR="00E149A4">
        <w:rPr>
          <w:rFonts w:ascii="Times New Roman" w:hAnsi="Times New Roman" w:cs="Times New Roman"/>
        </w:rPr>
        <w:t xml:space="preserve"> shows the ratio of residual flux to the peak flux magnitude, demonstrating that the</w:t>
      </w:r>
      <w:r w:rsidR="00B554D9" w:rsidRPr="00B554D9">
        <w:rPr>
          <w:rFonts w:ascii="Times New Roman" w:hAnsi="Times New Roman" w:cs="Times New Roman"/>
        </w:rPr>
        <w:t xml:space="preserve"> residual is </w:t>
      </w:r>
      <w:r w:rsidR="00E149A4">
        <w:rPr>
          <w:rFonts w:ascii="Times New Roman" w:hAnsi="Times New Roman" w:cs="Times New Roman"/>
        </w:rPr>
        <w:t>less than</w:t>
      </w:r>
      <w:r w:rsidR="00B554D9" w:rsidRPr="00B554D9">
        <w:rPr>
          <w:rFonts w:ascii="Times New Roman" w:hAnsi="Times New Roman" w:cs="Times New Roman"/>
        </w:rPr>
        <w:t xml:space="preserve"> 1% of the total volume that goes in/out </w:t>
      </w:r>
      <w:r w:rsidR="00E149A4">
        <w:rPr>
          <w:rFonts w:ascii="Times New Roman" w:hAnsi="Times New Roman" w:cs="Times New Roman"/>
        </w:rPr>
        <w:t>through the transect for most of the tide cycles.</w:t>
      </w:r>
    </w:p>
    <w:p w14:paraId="18563E10" w14:textId="2364ACC9" w:rsidR="00A52B1B" w:rsidRDefault="00F9630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D3ADBF" wp14:editId="0DA82A19">
                <wp:simplePos x="0" y="0"/>
                <wp:positionH relativeFrom="margin">
                  <wp:align>left</wp:align>
                </wp:positionH>
                <wp:positionV relativeFrom="paragraph">
                  <wp:posOffset>75178</wp:posOffset>
                </wp:positionV>
                <wp:extent cx="3458375" cy="30988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375" cy="309880"/>
                          <a:chOff x="0" y="0"/>
                          <a:chExt cx="3458375" cy="3098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6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E15FB" w14:textId="2174BA85" w:rsidR="00F96307" w:rsidRPr="00F96307" w:rsidRDefault="00F9630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63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1495" y="0"/>
                            <a:ext cx="436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B566A" w14:textId="3C16A067" w:rsidR="00F96307" w:rsidRPr="00F96307" w:rsidRDefault="00F96307" w:rsidP="00F9630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63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F963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3ADBF" id="Group 5" o:spid="_x0000_s1026" style="position:absolute;margin-left:0;margin-top:5.9pt;width:272.3pt;height:24.4pt;z-index:251661312;mso-position-horizontal:left;mso-position-horizontal-relative:margin" coordsize="34583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368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19E15FB" w14:textId="2174BA85" w:rsidR="00F96307" w:rsidRPr="00F96307" w:rsidRDefault="00F9630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630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(a)</w:t>
                        </w:r>
                      </w:p>
                    </w:txbxContent>
                  </v:textbox>
                </v:shape>
                <v:shape id="Text Box 2" o:spid="_x0000_s1028" type="#_x0000_t202" style="position:absolute;left:30214;width:4369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FB566A" w14:textId="3C16A067" w:rsidR="00F96307" w:rsidRPr="00F96307" w:rsidRDefault="00F96307" w:rsidP="00F9630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630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 w:rsidRPr="00F9630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D127D" w14:textId="0702EEEE" w:rsidR="00A52B1B" w:rsidRDefault="00E22F45" w:rsidP="00A52B1B">
      <w:pPr>
        <w:keepNext/>
      </w:pPr>
      <w:r>
        <w:rPr>
          <w:noProof/>
        </w:rPr>
        <w:drawing>
          <wp:inline distT="0" distB="0" distL="0" distR="0" wp14:anchorId="33EAEDC1" wp14:editId="00926B43">
            <wp:extent cx="5340139" cy="3017520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39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43D3C" w14:textId="7B6902C4" w:rsidR="00E22F45" w:rsidRPr="00E37587" w:rsidRDefault="00A52B1B" w:rsidP="0041452C">
      <w:pPr>
        <w:pStyle w:val="Caption"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Figure 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</w:t>
      </w: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Figure \* ARABIC </w:instrText>
      </w: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E37587" w:rsidRPr="00E37587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</w:t>
      </w: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: </w:t>
      </w:r>
      <w:r w:rsidR="00F96307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I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dealized cases used for model performance </w:t>
      </w:r>
      <w:r w:rsidR="00601709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check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, </w:t>
      </w:r>
      <w:r w:rsidR="00F96307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also 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shown in Figure 07 in the main text: 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) A Bay-Marsh system, where a </w:t>
      </w:r>
      <w:r w:rsidR="00F96307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well-defined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marsh berm at the shoreline separates the land and water body, making an isolated depression over land during low tide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;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b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) A Bay-Marsh-Channel system, where a tidal channel separates the </w:t>
      </w:r>
      <w:r w:rsidR="00AC5924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lastRenderedPageBreak/>
        <w:t>marsh platform into two similar isolated depressions.</w:t>
      </w:r>
      <w:r w:rsidR="00F72C71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Figures (a) and (b) red solid lines</w:t>
      </w:r>
      <w:r w:rsidR="00F72C71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="0041452C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show the transect lines used for model volume flux estimation.</w:t>
      </w:r>
    </w:p>
    <w:p w14:paraId="060A03EB" w14:textId="7228EAA9" w:rsidR="00E22F45" w:rsidRDefault="00E22F45"/>
    <w:p w14:paraId="0C647BF7" w14:textId="77777777" w:rsidR="0041452C" w:rsidRDefault="00E22F45" w:rsidP="0041452C">
      <w:pPr>
        <w:keepNext/>
        <w:ind w:left="720" w:firstLine="720"/>
      </w:pPr>
      <w:r>
        <w:rPr>
          <w:noProof/>
        </w:rPr>
        <w:drawing>
          <wp:inline distT="0" distB="0" distL="0" distR="0" wp14:anchorId="0D7AD723" wp14:editId="62AA2B81">
            <wp:extent cx="4044798" cy="2743200"/>
            <wp:effectExtent l="0" t="0" r="0" b="0"/>
            <wp:docPr id="1" name="Picture 1" descr="Chart, line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, histo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79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8635" w14:textId="4A3CF175" w:rsidR="0041452C" w:rsidRPr="00E37587" w:rsidRDefault="0041452C" w:rsidP="0041452C">
      <w:pPr>
        <w:pStyle w:val="Caption"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Figure S2: </w:t>
      </w:r>
      <w:r w:rsidR="00F22781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An example of t</w:t>
      </w: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ime-varying water surface elevation at the mid-point of the transect (shown using solid black line) and volume flux (solid blue line) for the Bay-Marsh system case – using the regular FVCOM model. The red circles represent zero-crossing</w:t>
      </w:r>
      <w:r w:rsidR="00F22781"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 of the water surface elevation used for the tidal (or time) averaging.</w:t>
      </w:r>
    </w:p>
    <w:p w14:paraId="6674B1B4" w14:textId="77777777" w:rsidR="00E37587" w:rsidRDefault="00E37587" w:rsidP="00F22781"/>
    <w:p w14:paraId="2C89BE51" w14:textId="0972F1CF" w:rsidR="00F22781" w:rsidRPr="00F22781" w:rsidRDefault="00F22781" w:rsidP="00F22781"/>
    <w:p w14:paraId="19D3FF50" w14:textId="77777777" w:rsidR="00E37587" w:rsidRDefault="0088014E" w:rsidP="00E37587">
      <w:pPr>
        <w:keepNext/>
      </w:pPr>
      <w:r>
        <w:rPr>
          <w:noProof/>
        </w:rPr>
        <w:lastRenderedPageBreak/>
        <w:drawing>
          <wp:inline distT="0" distB="0" distL="0" distR="0" wp14:anchorId="1E6F6E04" wp14:editId="2D0DB3B4">
            <wp:extent cx="5433781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781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BC28" w14:textId="7733B27A" w:rsidR="00E37587" w:rsidRPr="00E37587" w:rsidRDefault="00E37587" w:rsidP="00E37587">
      <w:pPr>
        <w:pStyle w:val="Caption"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E3758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Figure S3: 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(a) </w:t>
      </w:r>
      <w:r w:rsidR="000A5B3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Tide-averaged volume flux (m</w:t>
      </w:r>
      <w:r w:rsidR="000A5B33" w:rsidRPr="000A5B33">
        <w:rPr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>3</w:t>
      </w:r>
      <w:r w:rsidR="000A5B3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/s) 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comparison for the two cases using different FVCOM models. a1-a2: </w:t>
      </w:r>
      <w:r w:rsidR="00632885" w:rsidRP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Bay-Marsh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="00632885" w:rsidRP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system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case with </w:t>
      </w:r>
      <w:r w:rsidR="00632885" w:rsidRP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the regular and modified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model; a3-a4: a similar comparison with the </w:t>
      </w:r>
      <w:r w:rsidR="00632885" w:rsidRP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Bay-Marsh-Channel system</w:t>
      </w:r>
      <w:r w:rsidR="0063288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.</w:t>
      </w:r>
      <w:r w:rsidR="00CE4F8F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(b) Comparison of normalized residual volume flux (residual volume flux divided by the peak flux magnitude) at each tide cycle (%).</w:t>
      </w:r>
    </w:p>
    <w:p w14:paraId="5BB9279F" w14:textId="113344DE" w:rsidR="0088014E" w:rsidRDefault="0088014E" w:rsidP="00E37587">
      <w:pPr>
        <w:pStyle w:val="Caption"/>
      </w:pPr>
    </w:p>
    <w:sectPr w:rsidR="0088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tzQzNDCytDCwMLdQ0lEKTi0uzszPAykwrgUA57v0FiwAAAA="/>
  </w:docVars>
  <w:rsids>
    <w:rsidRoot w:val="00E140AD"/>
    <w:rsid w:val="000A5B33"/>
    <w:rsid w:val="002B632E"/>
    <w:rsid w:val="002F67F2"/>
    <w:rsid w:val="0041452C"/>
    <w:rsid w:val="00576304"/>
    <w:rsid w:val="00592A5D"/>
    <w:rsid w:val="00601709"/>
    <w:rsid w:val="00632885"/>
    <w:rsid w:val="0080356F"/>
    <w:rsid w:val="008250C0"/>
    <w:rsid w:val="0088014E"/>
    <w:rsid w:val="00960F78"/>
    <w:rsid w:val="009A767F"/>
    <w:rsid w:val="00A52B1B"/>
    <w:rsid w:val="00AC5924"/>
    <w:rsid w:val="00AF35B7"/>
    <w:rsid w:val="00B200FB"/>
    <w:rsid w:val="00B554D9"/>
    <w:rsid w:val="00BC3A4C"/>
    <w:rsid w:val="00CE4F8F"/>
    <w:rsid w:val="00D3273D"/>
    <w:rsid w:val="00D67DBE"/>
    <w:rsid w:val="00DB3D3B"/>
    <w:rsid w:val="00E140AD"/>
    <w:rsid w:val="00E149A4"/>
    <w:rsid w:val="00E22F45"/>
    <w:rsid w:val="00E37587"/>
    <w:rsid w:val="00E62284"/>
    <w:rsid w:val="00F0601F"/>
    <w:rsid w:val="00F22781"/>
    <w:rsid w:val="00F7185E"/>
    <w:rsid w:val="00F72C71"/>
    <w:rsid w:val="00F96307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3355"/>
  <w15:chartTrackingRefBased/>
  <w15:docId w15:val="{6199BE03-4516-4462-9045-1AD36BA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2B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Deb, Mithun</dc:creator>
  <cp:keywords/>
  <dc:description/>
  <cp:lastModifiedBy>Deb, Mithun</cp:lastModifiedBy>
  <cp:revision>27</cp:revision>
  <dcterms:created xsi:type="dcterms:W3CDTF">2022-09-06T23:13:00Z</dcterms:created>
  <dcterms:modified xsi:type="dcterms:W3CDTF">2022-09-12T17:16:00Z</dcterms:modified>
</cp:coreProperties>
</file>