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33631" w14:textId="1212AC5A" w:rsidR="00C13DBC" w:rsidRPr="00C21F5D" w:rsidRDefault="00494EC0" w:rsidP="00C13DBC">
      <w:pPr>
        <w:spacing w:after="0" w:line="240" w:lineRule="auto"/>
        <w:rPr>
          <w:rFonts w:ascii="Arial" w:hAnsi="Arial" w:cs="Arial"/>
        </w:rPr>
      </w:pPr>
      <w:r w:rsidRPr="00C21F5D">
        <w:rPr>
          <w:rFonts w:ascii="Arial" w:hAnsi="Arial" w:cs="Arial"/>
          <w:b/>
        </w:rPr>
        <w:t>Supplemental Table 1.</w:t>
      </w:r>
      <w:r w:rsidRPr="00C21F5D">
        <w:rPr>
          <w:rFonts w:ascii="Arial" w:hAnsi="Arial" w:cs="Arial"/>
        </w:rPr>
        <w:t xml:space="preserve"> Calibration and internal standard compound manufacturer, purity information, monitored transitions</w:t>
      </w:r>
      <w:r w:rsidR="00C13DBC">
        <w:rPr>
          <w:rFonts w:ascii="Arial" w:hAnsi="Arial" w:cs="Arial"/>
        </w:rPr>
        <w:t>, retention times, and reporting limits</w:t>
      </w:r>
      <w:r w:rsidRPr="00C21F5D">
        <w:rPr>
          <w:rFonts w:ascii="Arial" w:hAnsi="Arial" w:cs="Arial"/>
        </w:rPr>
        <w:t>. The first transition (product ion) listed for each analyte is the quantitative transition, while the second transition was used for qualitative identity confirmation.</w:t>
      </w:r>
      <w:r w:rsidR="00C13DBC">
        <w:rPr>
          <w:rFonts w:ascii="Arial" w:hAnsi="Arial" w:cs="Arial"/>
        </w:rPr>
        <w:t xml:space="preserve"> </w:t>
      </w:r>
      <w:r w:rsidR="00C13DBC" w:rsidRPr="00C21F5D">
        <w:rPr>
          <w:rFonts w:ascii="Arial" w:hAnsi="Arial" w:cs="Arial"/>
        </w:rPr>
        <w:t>Observed reporting limits (</w:t>
      </w:r>
      <w:proofErr w:type="spellStart"/>
      <w:r w:rsidR="00C13DBC" w:rsidRPr="00C21F5D">
        <w:rPr>
          <w:rFonts w:ascii="Arial" w:hAnsi="Arial" w:cs="Arial"/>
        </w:rPr>
        <w:t>RL</w:t>
      </w:r>
      <w:r w:rsidR="00C13DBC" w:rsidRPr="00C21F5D">
        <w:rPr>
          <w:rFonts w:ascii="Arial" w:hAnsi="Arial" w:cs="Arial"/>
          <w:vertAlign w:val="subscript"/>
        </w:rPr>
        <w:t>obs</w:t>
      </w:r>
      <w:proofErr w:type="spellEnd"/>
      <w:r w:rsidR="00C13DBC" w:rsidRPr="00C21F5D">
        <w:rPr>
          <w:rFonts w:ascii="Arial" w:hAnsi="Arial" w:cs="Arial"/>
        </w:rPr>
        <w:t>) are defined as the lowest calibration standard used in the calculation of the standard curve. Calculated reporting limits (</w:t>
      </w:r>
      <w:proofErr w:type="spellStart"/>
      <w:r w:rsidR="00C13DBC" w:rsidRPr="00C21F5D">
        <w:rPr>
          <w:rFonts w:ascii="Arial" w:hAnsi="Arial" w:cs="Arial"/>
        </w:rPr>
        <w:t>RL</w:t>
      </w:r>
      <w:r w:rsidR="00C13DBC" w:rsidRPr="00C21F5D">
        <w:rPr>
          <w:rFonts w:ascii="Arial" w:hAnsi="Arial" w:cs="Arial"/>
          <w:vertAlign w:val="subscript"/>
        </w:rPr>
        <w:t>calc</w:t>
      </w:r>
      <w:proofErr w:type="spellEnd"/>
      <w:r w:rsidR="00C13DBC" w:rsidRPr="00C21F5D">
        <w:rPr>
          <w:rFonts w:ascii="Arial" w:hAnsi="Arial" w:cs="Arial"/>
        </w:rPr>
        <w:t>) are calculated as three times the standard deviation of the blank measurements plus the mean of the blank measurements</w:t>
      </w:r>
    </w:p>
    <w:p w14:paraId="73836F91" w14:textId="329B6234" w:rsidR="00494EC0" w:rsidRPr="00C21F5D" w:rsidRDefault="00494EC0" w:rsidP="00494EC0">
      <w:pPr>
        <w:spacing w:after="0" w:line="240" w:lineRule="auto"/>
        <w:rPr>
          <w:rFonts w:ascii="Arial" w:hAnsi="Arial" w:cs="Arial"/>
          <w:b/>
        </w:rPr>
      </w:pPr>
    </w:p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3418"/>
        <w:gridCol w:w="1659"/>
        <w:gridCol w:w="1077"/>
        <w:gridCol w:w="1256"/>
        <w:gridCol w:w="1341"/>
        <w:gridCol w:w="1869"/>
        <w:gridCol w:w="1304"/>
        <w:gridCol w:w="1031"/>
      </w:tblGrid>
      <w:tr w:rsidR="005B7777" w:rsidRPr="00C21F5D" w14:paraId="3D25B950" w14:textId="30B38394" w:rsidTr="00C13DBC">
        <w:trPr>
          <w:trHeight w:val="30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160C" w14:textId="77777777" w:rsidR="005B7777" w:rsidRPr="00C21F5D" w:rsidRDefault="005B7777" w:rsidP="00C21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1F5D">
              <w:rPr>
                <w:rFonts w:ascii="Arial" w:eastAsia="Times New Roman" w:hAnsi="Arial" w:cs="Arial"/>
                <w:b/>
                <w:bCs/>
                <w:color w:val="000000"/>
              </w:rPr>
              <w:t>Analyte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9451" w14:textId="77777777" w:rsidR="005B7777" w:rsidRPr="00C21F5D" w:rsidRDefault="005B7777" w:rsidP="00C21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1F5D">
              <w:rPr>
                <w:rFonts w:ascii="Arial" w:eastAsia="Times New Roman" w:hAnsi="Arial" w:cs="Arial"/>
                <w:b/>
                <w:bCs/>
                <w:color w:val="000000"/>
              </w:rPr>
              <w:t>Manufacturer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A59D" w14:textId="77777777" w:rsidR="005B7777" w:rsidRPr="00C21F5D" w:rsidRDefault="005B7777" w:rsidP="00C21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1F5D">
              <w:rPr>
                <w:rFonts w:ascii="Arial" w:eastAsia="Times New Roman" w:hAnsi="Arial" w:cs="Arial"/>
                <w:b/>
                <w:bCs/>
                <w:color w:val="000000"/>
              </w:rPr>
              <w:t>Stated Purity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6F1A" w14:textId="573FE8D8" w:rsidR="005B7777" w:rsidRPr="00C21F5D" w:rsidRDefault="005B7777" w:rsidP="00C21F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C21F5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Precursor Ion </w:t>
            </w:r>
            <w:r w:rsidRPr="00C21F5D">
              <w:rPr>
                <w:rFonts w:ascii="Arial" w:eastAsia="Times New Roman" w:hAnsi="Arial" w:cs="Arial"/>
                <w:bCs/>
                <w:color w:val="000000"/>
              </w:rPr>
              <w:t>(m/z)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66FB" w14:textId="49D47C69" w:rsidR="005B7777" w:rsidRPr="00C21F5D" w:rsidRDefault="005B7777" w:rsidP="00D61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C21F5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Product Ion </w:t>
            </w:r>
            <w:r w:rsidRPr="00C21F5D">
              <w:rPr>
                <w:rFonts w:ascii="Arial" w:eastAsia="Times New Roman" w:hAnsi="Arial" w:cs="Arial"/>
                <w:bCs/>
                <w:color w:val="000000"/>
              </w:rPr>
              <w:t>(m/z)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53AC" w14:textId="0D2AF34B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1F5D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etention </w:t>
            </w:r>
            <w:r w:rsidRPr="00C21F5D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ime</w:t>
            </w:r>
          </w:p>
          <w:p w14:paraId="1903AD8D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C21F5D">
              <w:rPr>
                <w:rFonts w:ascii="Arial" w:eastAsia="Times New Roman" w:hAnsi="Arial" w:cs="Arial"/>
                <w:bCs/>
                <w:color w:val="000000"/>
              </w:rPr>
              <w:t>(min)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A644" w14:textId="1A60D18F" w:rsidR="005B7777" w:rsidRPr="005B7777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RL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bscript"/>
              </w:rPr>
              <w:t>obs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8427" w14:textId="0FD1A5BC" w:rsidR="005B7777" w:rsidRPr="005B7777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RL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bscript"/>
              </w:rPr>
              <w:t>calc</w:t>
            </w:r>
            <w:proofErr w:type="spellEnd"/>
          </w:p>
        </w:tc>
      </w:tr>
      <w:tr w:rsidR="005B7777" w:rsidRPr="00C21F5D" w14:paraId="7622B70C" w14:textId="2799BFA2" w:rsidTr="00C13DBC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09A7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Progesterone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3279" w14:textId="77B5AF18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SA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0787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≥ 99 %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8908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314.7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BA37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109.2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1607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13.5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1879D" w14:textId="17FB6595" w:rsidR="005B7777" w:rsidRPr="005B7777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21F5D">
              <w:rPr>
                <w:rFonts w:ascii="Arial" w:hAnsi="Arial" w:cs="Arial"/>
              </w:rPr>
              <w:t>5.703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9803E" w14:textId="2274CE56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hAnsi="Arial" w:cs="Arial"/>
              </w:rPr>
              <w:t>7.959</w:t>
            </w:r>
          </w:p>
        </w:tc>
      </w:tr>
      <w:tr w:rsidR="005B7777" w:rsidRPr="00C21F5D" w14:paraId="7DF36B66" w14:textId="1499B4ED" w:rsidTr="00C13DBC">
        <w:trPr>
          <w:trHeight w:val="36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4384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F80C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96B5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A05A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8D9C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97.2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36E9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C7BE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98E0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777" w:rsidRPr="00C21F5D" w14:paraId="5A8B1281" w14:textId="15FBACBC" w:rsidTr="00C13DBC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1153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17-Hydroxyprogesterone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A54D" w14:textId="100B1B9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SA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3018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≥ 95 %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009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331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05C3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97.2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C00A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48E0F" w14:textId="71B3A386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hAnsi="Arial" w:cs="Arial"/>
              </w:rPr>
              <w:t>0.5390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E563A" w14:textId="13953B0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hAnsi="Arial" w:cs="Arial"/>
              </w:rPr>
              <w:t>-</w:t>
            </w:r>
          </w:p>
        </w:tc>
      </w:tr>
      <w:tr w:rsidR="005B7777" w:rsidRPr="00C21F5D" w14:paraId="319B8F00" w14:textId="6DDED62B" w:rsidTr="00C13DBC">
        <w:trPr>
          <w:trHeight w:val="36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B4A8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6A0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201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8C3D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F799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109.2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0332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4BC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2D6E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777" w:rsidRPr="00C21F5D" w14:paraId="778243F7" w14:textId="459A878A" w:rsidTr="00C13DBC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B3D0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Androstenedione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10F9" w14:textId="152E2AAD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F533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≥ 98 %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9014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287.1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DF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97.2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3ADF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11.8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9C6B" w14:textId="14926F29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hAnsi="Arial" w:cs="Arial"/>
              </w:rPr>
              <w:t>0.009</w:t>
            </w:r>
            <w:r>
              <w:rPr>
                <w:rFonts w:ascii="Arial" w:hAnsi="Arial" w:cs="Arial"/>
              </w:rPr>
              <w:t xml:space="preserve"> </w:t>
            </w:r>
            <w:r w:rsidRPr="00C21F5D">
              <w:rPr>
                <w:rFonts w:ascii="Arial" w:hAnsi="Arial" w:cs="Arial"/>
              </w:rPr>
              <w:t>843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E83E9" w14:textId="50BF22E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hAnsi="Arial" w:cs="Arial"/>
              </w:rPr>
              <w:t>0.2568</w:t>
            </w:r>
          </w:p>
        </w:tc>
      </w:tr>
      <w:tr w:rsidR="005B7777" w:rsidRPr="00C21F5D" w14:paraId="701F1C43" w14:textId="6327661F" w:rsidTr="00C13DBC">
        <w:trPr>
          <w:trHeight w:val="30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5B75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73BD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0A81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BF78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38CE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109.2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DA14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1868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35A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777" w:rsidRPr="00C21F5D" w14:paraId="10F71BFB" w14:textId="16D8A9B6" w:rsidTr="00C13DBC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1EDD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Testosterone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ED1C" w14:textId="2727F8E1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SA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2982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≥ 98 %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2E00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288.9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A4AC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109.2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6247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9.2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45008" w14:textId="066B89BE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hAnsi="Arial" w:cs="Arial"/>
              </w:rPr>
              <w:t>0.7743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361E5" w14:textId="668FE270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hAnsi="Arial" w:cs="Arial"/>
              </w:rPr>
              <w:t>-</w:t>
            </w:r>
          </w:p>
        </w:tc>
      </w:tr>
      <w:tr w:rsidR="005B7777" w:rsidRPr="00C21F5D" w14:paraId="75ABF5F6" w14:textId="63FF3933" w:rsidTr="00C13DBC">
        <w:trPr>
          <w:trHeight w:val="30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2C05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B2BA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6D9A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733A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6073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97.1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998F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3EAF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3D68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777" w:rsidRPr="00C21F5D" w14:paraId="36834578" w14:textId="753A9D7D" w:rsidTr="00C13DBC">
        <w:trPr>
          <w:trHeight w:val="345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799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Estrone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04E4" w14:textId="438394E6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SA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F6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≥ 99 %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5560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504.5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24F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171.3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858C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181.7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F4E5B" w14:textId="6882F2DE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NQ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8B507" w14:textId="62E56FA9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NQ</w:t>
            </w:r>
          </w:p>
        </w:tc>
      </w:tr>
      <w:tr w:rsidR="005B7777" w:rsidRPr="00C21F5D" w14:paraId="414F1935" w14:textId="1D05A7AF" w:rsidTr="00C13DBC">
        <w:trPr>
          <w:trHeight w:val="36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DEDD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AF0F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A612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F4A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200D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440.1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14D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828F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BC1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777" w:rsidRPr="00C21F5D" w14:paraId="7DED3771" w14:textId="510FFA62" w:rsidTr="00C13DBC">
        <w:trPr>
          <w:trHeight w:val="345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E5A4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Estradiol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80D2" w14:textId="29F40822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SA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D3A0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≥ 98 %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8B13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506.2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2BBF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170.9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A163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D5FF5" w14:textId="20F0457E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NQ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55166" w14:textId="3CA6B7C9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NQ</w:t>
            </w:r>
          </w:p>
        </w:tc>
      </w:tr>
      <w:tr w:rsidR="005B7777" w:rsidRPr="00C21F5D" w14:paraId="13A8A8B6" w14:textId="0010A10E" w:rsidTr="00C13DBC">
        <w:trPr>
          <w:trHeight w:val="36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A26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8D16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886C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3B6C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942D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442.3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CBF8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DE11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5840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777" w:rsidRPr="00C21F5D" w14:paraId="197DE002" w14:textId="16E951A4" w:rsidTr="00C13DBC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09C3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Cortisol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47CC" w14:textId="11E8CC42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SA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1B4C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≥ 98 %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29AC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363.2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7717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121.3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AE9E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64114" w14:textId="512E70DE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hAnsi="Arial" w:cs="Arial"/>
              </w:rPr>
              <w:t>0.09133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BF2A" w14:textId="7DACD800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hAnsi="Arial" w:cs="Arial"/>
              </w:rPr>
              <w:t>0.1907</w:t>
            </w:r>
          </w:p>
        </w:tc>
      </w:tr>
      <w:tr w:rsidR="005B7777" w:rsidRPr="00C21F5D" w14:paraId="5BE04774" w14:textId="2ECB7396" w:rsidTr="00C13DBC">
        <w:trPr>
          <w:trHeight w:val="30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62D4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1809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F3E0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B3B7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3711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267.3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22B5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061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1428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777" w:rsidRPr="00C21F5D" w14:paraId="535BBAEC" w14:textId="72F821EA" w:rsidTr="00C13DBC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14D7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Cortisone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64EF" w14:textId="2AF0B38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SA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DCB8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≥ 98 %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6C04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361.1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A1E1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163.3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892F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12.4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7CECA" w14:textId="48673D2A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hAnsi="Arial" w:cs="Arial"/>
              </w:rPr>
              <w:t>0.1109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9F09D" w14:textId="3BA25D9C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0.09296</w:t>
            </w:r>
          </w:p>
        </w:tc>
      </w:tr>
      <w:tr w:rsidR="005B7777" w:rsidRPr="00C21F5D" w14:paraId="7BB795D8" w14:textId="2DD09260" w:rsidTr="00C13DBC">
        <w:trPr>
          <w:trHeight w:val="30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CA7A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5C86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4EF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D169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5941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121.3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7198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030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076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777" w:rsidRPr="00C21F5D" w14:paraId="368A7E99" w14:textId="5E2BF290" w:rsidTr="00C13DBC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74E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11-Deoxycortisol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3DC1" w14:textId="6F241AAE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DB8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99.10%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59D0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347.3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2CD9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109.2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CD23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20.5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47E71" w14:textId="16F997D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NQ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55408" w14:textId="0042C6BC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NQ</w:t>
            </w:r>
          </w:p>
        </w:tc>
      </w:tr>
      <w:tr w:rsidR="005B7777" w:rsidRPr="00C21F5D" w14:paraId="5F86BD63" w14:textId="027588F5" w:rsidTr="00C13DBC">
        <w:trPr>
          <w:trHeight w:val="30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86F9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0507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C014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6D46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DE24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9143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779A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CE81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777" w:rsidRPr="00C21F5D" w14:paraId="55759B31" w14:textId="7CE63135" w:rsidTr="00C13DBC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5728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Corticosterone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6B5B" w14:textId="572080D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SA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4306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≥ 98.5 %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032A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347.3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EC2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6ECD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20.1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40FF9" w14:textId="1CCED38B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NQ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AC93F" w14:textId="45964CA5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NQ</w:t>
            </w:r>
          </w:p>
        </w:tc>
      </w:tr>
      <w:tr w:rsidR="005B7777" w:rsidRPr="00C21F5D" w14:paraId="3A11ECC2" w14:textId="21074DA1" w:rsidTr="00C13DBC">
        <w:trPr>
          <w:trHeight w:val="30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9626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E023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5843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C8FF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C37E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A112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B08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7DD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777" w:rsidRPr="00C21F5D" w14:paraId="162F839A" w14:textId="3880E2FA" w:rsidTr="00C13DBC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9150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11-Deoxycorticosterone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84CE" w14:textId="14FBAD39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8509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≥ 98 %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9EEE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331.1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099E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97.1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566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22.3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C47ED" w14:textId="3207334E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NQ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0548E" w14:textId="5947F740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NQ</w:t>
            </w:r>
          </w:p>
        </w:tc>
      </w:tr>
      <w:tr w:rsidR="005B7777" w:rsidRPr="00C21F5D" w14:paraId="519DF286" w14:textId="1308AD38" w:rsidTr="00C13DBC">
        <w:trPr>
          <w:trHeight w:val="30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719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114E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8BCB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B5E6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1984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109.2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FCC5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6CF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AD2" w14:textId="77777777" w:rsidR="005B7777" w:rsidRPr="00C21F5D" w:rsidRDefault="005B7777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3DBC" w:rsidRPr="00C21F5D" w14:paraId="2FC28A5F" w14:textId="03ADED17" w:rsidTr="00715FBD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DA2B" w14:textId="73C65E15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lastRenderedPageBreak/>
              <w:t>Progesterone-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C21F5D">
              <w:rPr>
                <w:rFonts w:ascii="Arial" w:eastAsia="Times New Roman" w:hAnsi="Arial" w:cs="Arial"/>
                <w:color w:val="000000"/>
              </w:rPr>
              <w:t>C</w:t>
            </w:r>
            <w:r w:rsidRPr="00C21F5D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7525" w14:textId="1C142F23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CI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D7E4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98%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42A9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318.3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188D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1DE3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13.5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D33D1" w14:textId="3CE53E32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</w:t>
            </w:r>
          </w:p>
        </w:tc>
      </w:tr>
      <w:tr w:rsidR="00C13DBC" w:rsidRPr="00C21F5D" w14:paraId="0246AD1E" w14:textId="7269B60F" w:rsidTr="00715FBD">
        <w:trPr>
          <w:trHeight w:val="36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308F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B3D2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38E8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1045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07CD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112.1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372D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52F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3DBC" w:rsidRPr="00C21F5D" w14:paraId="59A5A4FF" w14:textId="5C22D01A" w:rsidTr="007E0807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FD5C" w14:textId="4B34211A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17-Hydroxyprogesterone-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13</w:t>
            </w:r>
            <w:r w:rsidRPr="00C21F5D">
              <w:rPr>
                <w:rFonts w:ascii="Arial" w:eastAsia="Times New Roman" w:hAnsi="Arial" w:cs="Arial"/>
                <w:color w:val="000000"/>
              </w:rPr>
              <w:t>C</w:t>
            </w:r>
            <w:r w:rsidRPr="00C21F5D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ABBD" w14:textId="29E6B445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18B4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99.99%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56DB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334.1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E282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112.1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50A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66217" w14:textId="440E8306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</w:t>
            </w:r>
          </w:p>
        </w:tc>
      </w:tr>
      <w:tr w:rsidR="00C13DBC" w:rsidRPr="00C21F5D" w14:paraId="3D25D011" w14:textId="2A3DF4BB" w:rsidTr="007E0807">
        <w:trPr>
          <w:trHeight w:val="36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A7EC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E80C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C9A2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2B4F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5F45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A97C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84C0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3DBC" w:rsidRPr="00C21F5D" w14:paraId="1A66C85C" w14:textId="7E0B72EB" w:rsidTr="00774579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E3BB" w14:textId="129E7C08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Androstenedione-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C21F5D">
              <w:rPr>
                <w:rFonts w:ascii="Arial" w:eastAsia="Times New Roman" w:hAnsi="Arial" w:cs="Arial"/>
                <w:color w:val="000000"/>
              </w:rPr>
              <w:t>C</w:t>
            </w:r>
            <w:r w:rsidRPr="00C21F5D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8AE" w14:textId="650904E3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BCD8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99.99%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77F2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290.2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51B5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100.3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0A38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11.8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491EB" w14:textId="7BC54BED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</w:t>
            </w:r>
          </w:p>
        </w:tc>
      </w:tr>
      <w:tr w:rsidR="00C13DBC" w:rsidRPr="00C21F5D" w14:paraId="5CCD09EB" w14:textId="199E9141" w:rsidTr="00774579">
        <w:trPr>
          <w:trHeight w:val="36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25DE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BB8C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B41E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9699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5229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112.2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F829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3CE2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3DBC" w:rsidRPr="00C21F5D" w14:paraId="7F1B3F44" w14:textId="292794E0" w:rsidTr="008968D1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7215" w14:textId="260D6B55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Testosterone-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C21F5D">
              <w:rPr>
                <w:rFonts w:ascii="Arial" w:eastAsia="Times New Roman" w:hAnsi="Arial" w:cs="Arial"/>
                <w:color w:val="000000"/>
              </w:rPr>
              <w:t>C</w:t>
            </w:r>
            <w:r w:rsidRPr="00C21F5D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772F" w14:textId="6BDB60D0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FA9A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99.9 9%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A615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292.1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600D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9DE5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9.2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72911" w14:textId="5AFEBFA1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</w:t>
            </w:r>
          </w:p>
        </w:tc>
      </w:tr>
      <w:tr w:rsidR="00C13DBC" w:rsidRPr="00C21F5D" w14:paraId="65AEFFFC" w14:textId="523F6D42" w:rsidTr="008968D1">
        <w:trPr>
          <w:trHeight w:val="36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152E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5AC1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7E2C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3293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3460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40E8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4F05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3DBC" w:rsidRPr="00C21F5D" w14:paraId="11EA640D" w14:textId="0B976F0D" w:rsidTr="00A40299">
        <w:trPr>
          <w:trHeight w:val="345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627B" w14:textId="48976AEC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Estradiol-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C21F5D">
              <w:rPr>
                <w:rFonts w:ascii="Arial" w:eastAsia="Times New Roman" w:hAnsi="Arial" w:cs="Arial"/>
                <w:color w:val="000000"/>
              </w:rPr>
              <w:t>C</w:t>
            </w:r>
            <w:r w:rsidRPr="00C21F5D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CCCB" w14:textId="73EDBF7D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65DB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99.99%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1CA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509.4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7D6B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170.9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A810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BFF58" w14:textId="7A0A5921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</w:t>
            </w:r>
          </w:p>
        </w:tc>
      </w:tr>
      <w:tr w:rsidR="00C13DBC" w:rsidRPr="00C21F5D" w14:paraId="237BC70B" w14:textId="54CFA098" w:rsidTr="00A40299">
        <w:trPr>
          <w:trHeight w:val="36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1253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DE8E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D6B5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D7E3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FC4D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1F5D">
              <w:rPr>
                <w:rFonts w:ascii="Arial" w:eastAsia="Times New Roman" w:hAnsi="Arial" w:cs="Arial"/>
                <w:color w:val="000000"/>
              </w:rPr>
              <w:t>NA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7E7A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C7F4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3DBC" w:rsidRPr="00C21F5D" w14:paraId="0010F60C" w14:textId="0213A23A" w:rsidTr="003A2134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B7BA" w14:textId="02D823DD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Cortisol-</w:t>
            </w:r>
            <w:r w:rsidRPr="00C21F5D">
              <w:rPr>
                <w:rFonts w:ascii="Arial" w:eastAsia="Times New Roman" w:hAnsi="Arial" w:cs="Arial"/>
                <w:i/>
                <w:iCs/>
                <w:color w:val="000000"/>
              </w:rPr>
              <w:t>d</w:t>
            </w:r>
            <w:r w:rsidRPr="00C21F5D">
              <w:rPr>
                <w:rFonts w:ascii="Arial" w:eastAsia="Times New Roman" w:hAnsi="Arial" w:cs="Arial"/>
                <w:i/>
                <w:iCs/>
                <w:color w:val="000000"/>
                <w:vertAlign w:val="subscript"/>
              </w:rPr>
              <w:t>4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4664" w14:textId="38E475BB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52C7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99.99%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7E12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367.3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7A50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121.2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C1F1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34298" w14:textId="7A0A386D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</w:t>
            </w:r>
          </w:p>
        </w:tc>
      </w:tr>
      <w:tr w:rsidR="00C13DBC" w:rsidRPr="00C21F5D" w14:paraId="09D1D68F" w14:textId="1D5E8B8D" w:rsidTr="003A2134">
        <w:trPr>
          <w:trHeight w:val="36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E661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E92C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06C0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DA10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8609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271.5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0398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71E5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3DBC" w:rsidRPr="00C21F5D" w14:paraId="470954CF" w14:textId="114A3796" w:rsidTr="00FC5B98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D4A2" w14:textId="2F85535D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Cortisone-</w:t>
            </w:r>
            <w:r w:rsidRPr="00C21F5D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C21F5D">
              <w:rPr>
                <w:rFonts w:ascii="Arial" w:eastAsia="Times New Roman" w:hAnsi="Arial" w:cs="Arial"/>
                <w:color w:val="000000"/>
              </w:rPr>
              <w:t>C</w:t>
            </w:r>
            <w:r w:rsidRPr="00C21F5D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3CE4" w14:textId="28DBEBC1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SA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E233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98%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A389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364.2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6C8E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166.5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2071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12.4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31D5A" w14:textId="7523AE19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</w:t>
            </w:r>
          </w:p>
        </w:tc>
      </w:tr>
      <w:tr w:rsidR="00C13DBC" w:rsidRPr="00C21F5D" w14:paraId="75465EA4" w14:textId="14C9F7D0" w:rsidTr="00FC5B98">
        <w:trPr>
          <w:trHeight w:val="360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6729" w14:textId="77777777" w:rsidR="00C13DBC" w:rsidRPr="00C21F5D" w:rsidRDefault="00C13DBC" w:rsidP="005B77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6131" w14:textId="77777777" w:rsidR="00C13DBC" w:rsidRPr="00C21F5D" w:rsidRDefault="00C13DBC" w:rsidP="005B77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71B6" w14:textId="77777777" w:rsidR="00C13DBC" w:rsidRPr="00C21F5D" w:rsidRDefault="00C13DBC" w:rsidP="005B77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35F2" w14:textId="77777777" w:rsidR="00C13DBC" w:rsidRPr="00C21F5D" w:rsidRDefault="00C13DBC" w:rsidP="005B77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7527" w14:textId="77777777" w:rsidR="00C13DBC" w:rsidRPr="00C21F5D" w:rsidRDefault="00C13DBC" w:rsidP="005B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1F5D">
              <w:rPr>
                <w:rFonts w:ascii="Arial" w:eastAsia="Times New Roman" w:hAnsi="Arial" w:cs="Arial"/>
                <w:color w:val="000000"/>
              </w:rPr>
              <w:t>124.1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DEE9" w14:textId="77777777" w:rsidR="00C13DBC" w:rsidRPr="00C21F5D" w:rsidRDefault="00C13DBC" w:rsidP="005B77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28B" w14:textId="77777777" w:rsidR="00C13DBC" w:rsidRPr="00C21F5D" w:rsidRDefault="00C13DBC" w:rsidP="005B77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08CEEA9" w14:textId="4E5D99AF" w:rsidR="00D61D7F" w:rsidRPr="00C21F5D" w:rsidRDefault="00D61D7F" w:rsidP="00494EC0">
      <w:pPr>
        <w:spacing w:after="0" w:line="240" w:lineRule="auto"/>
        <w:rPr>
          <w:rFonts w:ascii="Arial" w:hAnsi="Arial" w:cs="Arial"/>
        </w:rPr>
      </w:pPr>
      <w:r w:rsidRPr="00C21F5D">
        <w:rPr>
          <w:rFonts w:ascii="Arial" w:hAnsi="Arial" w:cs="Arial"/>
        </w:rPr>
        <w:t xml:space="preserve">SA = Sigma Aldrich (St. Louis, MO, USA); S = </w:t>
      </w:r>
      <w:proofErr w:type="spellStart"/>
      <w:r w:rsidRPr="00C21F5D">
        <w:rPr>
          <w:rFonts w:ascii="Arial" w:hAnsi="Arial" w:cs="Arial"/>
        </w:rPr>
        <w:t>Steraloids</w:t>
      </w:r>
      <w:proofErr w:type="spellEnd"/>
      <w:r w:rsidRPr="00C21F5D">
        <w:rPr>
          <w:rFonts w:ascii="Arial" w:hAnsi="Arial" w:cs="Arial"/>
        </w:rPr>
        <w:t xml:space="preserve"> (Newport, RI, USA); CI = Cambridge Isotopes (Tewksbury, MA, USA); C = </w:t>
      </w:r>
      <w:proofErr w:type="spellStart"/>
      <w:r w:rsidRPr="00C21F5D">
        <w:rPr>
          <w:rFonts w:ascii="Arial" w:hAnsi="Arial" w:cs="Arial"/>
        </w:rPr>
        <w:t>Cerilliant</w:t>
      </w:r>
      <w:proofErr w:type="spellEnd"/>
      <w:r w:rsidRPr="00C21F5D">
        <w:rPr>
          <w:rFonts w:ascii="Arial" w:hAnsi="Arial" w:cs="Arial"/>
        </w:rPr>
        <w:t xml:space="preserve"> (Round Rock, TX, USA)</w:t>
      </w:r>
    </w:p>
    <w:p w14:paraId="0F4C7DA9" w14:textId="77777777" w:rsidR="00D61D7F" w:rsidRPr="00C21F5D" w:rsidRDefault="00D61D7F" w:rsidP="00D61D7F">
      <w:pPr>
        <w:spacing w:after="0" w:line="240" w:lineRule="auto"/>
        <w:rPr>
          <w:rFonts w:ascii="Arial" w:hAnsi="Arial" w:cs="Arial"/>
        </w:rPr>
      </w:pPr>
      <w:proofErr w:type="spellStart"/>
      <w:r w:rsidRPr="00C21F5D">
        <w:rPr>
          <w:rFonts w:ascii="Arial" w:hAnsi="Arial" w:cs="Arial"/>
          <w:vertAlign w:val="superscript"/>
        </w:rPr>
        <w:t>a</w:t>
      </w:r>
      <w:proofErr w:type="spellEnd"/>
      <w:r w:rsidRPr="00C21F5D">
        <w:rPr>
          <w:rFonts w:ascii="Arial" w:hAnsi="Arial" w:cs="Arial"/>
          <w:vertAlign w:val="superscript"/>
        </w:rPr>
        <w:t xml:space="preserve"> </w:t>
      </w:r>
      <w:r w:rsidRPr="00C21F5D">
        <w:rPr>
          <w:rFonts w:ascii="Arial" w:hAnsi="Arial" w:cs="Arial"/>
        </w:rPr>
        <w:t xml:space="preserve">These are the </w:t>
      </w:r>
      <w:proofErr w:type="spellStart"/>
      <w:r w:rsidRPr="00C21F5D">
        <w:rPr>
          <w:rFonts w:ascii="Arial" w:hAnsi="Arial" w:cs="Arial"/>
        </w:rPr>
        <w:t>dansyl</w:t>
      </w:r>
      <w:proofErr w:type="spellEnd"/>
      <w:r w:rsidRPr="00C21F5D">
        <w:rPr>
          <w:rFonts w:ascii="Arial" w:hAnsi="Arial" w:cs="Arial"/>
        </w:rPr>
        <w:t xml:space="preserve"> chloride-derivatized values</w:t>
      </w:r>
    </w:p>
    <w:p w14:paraId="2587DA74" w14:textId="77777777" w:rsidR="00D61D7F" w:rsidRDefault="00D61D7F" w:rsidP="00494EC0">
      <w:pPr>
        <w:spacing w:after="0" w:line="240" w:lineRule="auto"/>
        <w:rPr>
          <w:rFonts w:ascii="Arial" w:hAnsi="Arial" w:cs="Arial"/>
        </w:rPr>
      </w:pPr>
      <w:r w:rsidRPr="00C21F5D">
        <w:rPr>
          <w:rFonts w:ascii="Arial" w:hAnsi="Arial" w:cs="Arial"/>
          <w:vertAlign w:val="superscript"/>
        </w:rPr>
        <w:t>b</w:t>
      </w:r>
      <w:r w:rsidRPr="00C21F5D">
        <w:rPr>
          <w:rFonts w:ascii="Arial" w:hAnsi="Arial" w:cs="Arial"/>
        </w:rPr>
        <w:t xml:space="preserve"> No suitable secondary fragment was identified for E</w:t>
      </w:r>
      <w:r w:rsidRPr="00C21F5D">
        <w:rPr>
          <w:rFonts w:ascii="Arial" w:hAnsi="Arial" w:cs="Arial"/>
          <w:vertAlign w:val="subscript"/>
        </w:rPr>
        <w:t>2</w:t>
      </w:r>
      <w:r w:rsidRPr="00C21F5D">
        <w:rPr>
          <w:rFonts w:ascii="Arial" w:hAnsi="Arial" w:cs="Arial"/>
        </w:rPr>
        <w:t>-</w:t>
      </w:r>
      <w:r w:rsidRPr="00C21F5D">
        <w:rPr>
          <w:rFonts w:ascii="Arial" w:hAnsi="Arial" w:cs="Arial"/>
          <w:vertAlign w:val="superscript"/>
        </w:rPr>
        <w:t>13</w:t>
      </w:r>
      <w:r w:rsidRPr="00C21F5D">
        <w:rPr>
          <w:rFonts w:ascii="Arial" w:hAnsi="Arial" w:cs="Arial"/>
        </w:rPr>
        <w:t>C</w:t>
      </w:r>
      <w:r w:rsidRPr="00C21F5D">
        <w:rPr>
          <w:rFonts w:ascii="Arial" w:hAnsi="Arial" w:cs="Arial"/>
          <w:vertAlign w:val="subscript"/>
        </w:rPr>
        <w:t>3</w:t>
      </w:r>
      <w:r w:rsidRPr="00C21F5D">
        <w:rPr>
          <w:rFonts w:ascii="Arial" w:hAnsi="Arial" w:cs="Arial"/>
        </w:rPr>
        <w:t xml:space="preserve"> (i.e., intensities of potential secondary transitions were poor under instrumental parameters utilized)</w:t>
      </w:r>
    </w:p>
    <w:p w14:paraId="120D799B" w14:textId="77777777" w:rsidR="00C13DBC" w:rsidRDefault="00C13DBC" w:rsidP="00494EC0">
      <w:pPr>
        <w:spacing w:after="0" w:line="240" w:lineRule="auto"/>
        <w:rPr>
          <w:rFonts w:ascii="Arial" w:hAnsi="Arial" w:cs="Arial"/>
        </w:rPr>
      </w:pPr>
      <w:r w:rsidRPr="00C21F5D">
        <w:rPr>
          <w:rFonts w:ascii="Arial" w:hAnsi="Arial" w:cs="Arial"/>
        </w:rPr>
        <w:t>- = Negative value</w:t>
      </w:r>
    </w:p>
    <w:p w14:paraId="7176EA34" w14:textId="77777777" w:rsidR="00C13DBC" w:rsidRDefault="00C13DBC" w:rsidP="00494E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NQ = not quantified in this study</w:t>
      </w:r>
    </w:p>
    <w:p w14:paraId="403012C2" w14:textId="3E05E30C" w:rsidR="00C13DBC" w:rsidRPr="00C21F5D" w:rsidRDefault="00C13DBC" w:rsidP="00494EC0">
      <w:pPr>
        <w:spacing w:after="0" w:line="240" w:lineRule="auto"/>
        <w:rPr>
          <w:rFonts w:ascii="Arial" w:hAnsi="Arial" w:cs="Arial"/>
        </w:rPr>
        <w:sectPr w:rsidR="00C13DBC" w:rsidRPr="00C21F5D" w:rsidSect="00C21F5D">
          <w:headerReference w:type="default" r:id="rId6"/>
          <w:footerReference w:type="default" r:id="rId7"/>
          <w:footerReference w:type="first" r:id="rId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>IS = internal standard (no reporting limit)</w:t>
      </w:r>
    </w:p>
    <w:p w14:paraId="30CDCF5A" w14:textId="660BFD48" w:rsidR="00494EC0" w:rsidRPr="00C21F5D" w:rsidRDefault="00494EC0" w:rsidP="00494EC0">
      <w:pPr>
        <w:spacing w:after="0" w:line="240" w:lineRule="auto"/>
        <w:rPr>
          <w:rFonts w:ascii="Arial" w:hAnsi="Arial" w:cs="Arial"/>
        </w:rPr>
      </w:pPr>
      <w:r w:rsidRPr="00C21F5D">
        <w:rPr>
          <w:rFonts w:ascii="Arial" w:hAnsi="Arial" w:cs="Arial"/>
          <w:b/>
        </w:rPr>
        <w:lastRenderedPageBreak/>
        <w:t>S</w:t>
      </w:r>
      <w:r w:rsidR="00F32B4C" w:rsidRPr="00C21F5D">
        <w:rPr>
          <w:rFonts w:ascii="Arial" w:hAnsi="Arial" w:cs="Arial"/>
          <w:b/>
        </w:rPr>
        <w:t>upplemental Table 2</w:t>
      </w:r>
      <w:r w:rsidRPr="00C21F5D">
        <w:rPr>
          <w:rFonts w:ascii="Arial" w:hAnsi="Arial" w:cs="Arial"/>
          <w:b/>
        </w:rPr>
        <w:t xml:space="preserve">. </w:t>
      </w:r>
      <w:r w:rsidRPr="00C21F5D">
        <w:rPr>
          <w:rFonts w:ascii="Arial" w:hAnsi="Arial" w:cs="Arial"/>
        </w:rPr>
        <w:t>Calibration curve information for St. Andrew Bay blubber hormone analysis</w:t>
      </w:r>
    </w:p>
    <w:tbl>
      <w:tblPr>
        <w:tblStyle w:val="TableGrid"/>
        <w:tblW w:w="85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980"/>
        <w:gridCol w:w="1440"/>
        <w:gridCol w:w="1530"/>
        <w:gridCol w:w="810"/>
      </w:tblGrid>
      <w:tr w:rsidR="00F32B4C" w:rsidRPr="00C21F5D" w14:paraId="48BEAD34" w14:textId="77777777" w:rsidTr="004835D1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29888EF" w14:textId="77777777" w:rsidR="00F32B4C" w:rsidRPr="00C21F5D" w:rsidRDefault="00F32B4C" w:rsidP="00C21F5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21F5D">
              <w:rPr>
                <w:rFonts w:ascii="Arial" w:hAnsi="Arial" w:cs="Arial"/>
                <w:b/>
              </w:rPr>
              <w:t>Hormone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F26FA45" w14:textId="77777777" w:rsidR="00723A01" w:rsidRPr="00C21F5D" w:rsidRDefault="00F32B4C" w:rsidP="00723A0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C21F5D">
              <w:rPr>
                <w:rFonts w:ascii="Arial" w:hAnsi="Arial" w:cs="Arial"/>
                <w:b/>
              </w:rPr>
              <w:t>Mass Range</w:t>
            </w:r>
          </w:p>
          <w:p w14:paraId="35265F51" w14:textId="03982743" w:rsidR="00F32B4C" w:rsidRPr="00C21F5D" w:rsidRDefault="00F32B4C" w:rsidP="00723A0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C21F5D">
              <w:rPr>
                <w:rFonts w:ascii="Arial" w:hAnsi="Arial" w:cs="Arial"/>
              </w:rPr>
              <w:t>(ng)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7FCD96" w14:textId="77777777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C21F5D">
              <w:rPr>
                <w:rFonts w:ascii="Arial" w:hAnsi="Arial" w:cs="Arial"/>
                <w:b/>
              </w:rPr>
              <w:t>Intercept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3FEC565" w14:textId="77777777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C21F5D">
              <w:rPr>
                <w:rFonts w:ascii="Arial" w:hAnsi="Arial" w:cs="Arial"/>
                <w:b/>
              </w:rPr>
              <w:t>Slope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E75542" w14:textId="77777777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21F5D">
              <w:rPr>
                <w:rFonts w:ascii="Arial" w:hAnsi="Arial" w:cs="Arial"/>
                <w:b/>
              </w:rPr>
              <w:t>R</w:t>
            </w:r>
            <w:r w:rsidRPr="00C21F5D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F32B4C" w:rsidRPr="00C21F5D" w14:paraId="4F426E0B" w14:textId="77777777" w:rsidTr="004835D1">
        <w:tc>
          <w:tcPr>
            <w:tcW w:w="2790" w:type="dxa"/>
            <w:tcBorders>
              <w:top w:val="single" w:sz="4" w:space="0" w:color="auto"/>
            </w:tcBorders>
          </w:tcPr>
          <w:p w14:paraId="560770C4" w14:textId="03132993" w:rsidR="00F32B4C" w:rsidRPr="00C21F5D" w:rsidRDefault="00F32B4C" w:rsidP="00C21F5D">
            <w:pPr>
              <w:pStyle w:val="ListParagraph"/>
              <w:ind w:left="0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Progesterone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67DF6FA" w14:textId="19FCF530" w:rsidR="00F32B4C" w:rsidRPr="00C21F5D" w:rsidRDefault="00F32B4C" w:rsidP="00F32B4C">
            <w:pPr>
              <w:pStyle w:val="ListParagraph"/>
              <w:ind w:left="0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274.0 - 5.703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236A689" w14:textId="7ADBA435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-0.001</w:t>
            </w:r>
            <w:r w:rsidR="006736D2">
              <w:rPr>
                <w:rFonts w:ascii="Arial" w:hAnsi="Arial" w:cs="Arial"/>
              </w:rPr>
              <w:t xml:space="preserve"> </w:t>
            </w:r>
            <w:r w:rsidRPr="00C21F5D">
              <w:rPr>
                <w:rFonts w:ascii="Arial" w:hAnsi="Arial" w:cs="Arial"/>
              </w:rPr>
              <w:t>6</w:t>
            </w:r>
            <w:r w:rsidR="004835D1">
              <w:rPr>
                <w:rFonts w:ascii="Arial" w:hAnsi="Arial" w:cs="Arial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59F7851" w14:textId="0801EB83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0.004</w:t>
            </w:r>
            <w:r w:rsidR="006736D2">
              <w:rPr>
                <w:rFonts w:ascii="Arial" w:hAnsi="Arial" w:cs="Arial"/>
              </w:rPr>
              <w:t xml:space="preserve"> </w:t>
            </w:r>
            <w:r w:rsidRPr="00C21F5D">
              <w:rPr>
                <w:rFonts w:ascii="Arial" w:hAnsi="Arial" w:cs="Arial"/>
              </w:rPr>
              <w:t>0</w:t>
            </w:r>
            <w:r w:rsidR="004835D1">
              <w:rPr>
                <w:rFonts w:ascii="Arial" w:hAnsi="Arial" w:cs="Arial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1D764CA" w14:textId="4C529C76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0.998</w:t>
            </w:r>
          </w:p>
        </w:tc>
      </w:tr>
      <w:tr w:rsidR="00F32B4C" w:rsidRPr="00C21F5D" w14:paraId="3443BD05" w14:textId="77777777" w:rsidTr="004835D1">
        <w:tc>
          <w:tcPr>
            <w:tcW w:w="2790" w:type="dxa"/>
          </w:tcPr>
          <w:p w14:paraId="4284704A" w14:textId="4528675E" w:rsidR="00F32B4C" w:rsidRPr="00C21F5D" w:rsidRDefault="00F32B4C" w:rsidP="00C21F5D">
            <w:pPr>
              <w:pStyle w:val="ListParagraph"/>
              <w:ind w:left="0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17-Hydroxyprogesterone</w:t>
            </w:r>
          </w:p>
        </w:tc>
        <w:tc>
          <w:tcPr>
            <w:tcW w:w="1980" w:type="dxa"/>
          </w:tcPr>
          <w:p w14:paraId="6DD4ADFB" w14:textId="663DA580" w:rsidR="00F32B4C" w:rsidRPr="00C21F5D" w:rsidRDefault="00F32B4C" w:rsidP="00F32B4C">
            <w:pPr>
              <w:pStyle w:val="ListParagraph"/>
              <w:ind w:left="0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25.77 - 0.5390</w:t>
            </w:r>
          </w:p>
        </w:tc>
        <w:tc>
          <w:tcPr>
            <w:tcW w:w="1440" w:type="dxa"/>
          </w:tcPr>
          <w:p w14:paraId="05263AFA" w14:textId="64D89B41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0.0179</w:t>
            </w:r>
            <w:r w:rsidR="004835D1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</w:tcPr>
          <w:p w14:paraId="26B146F0" w14:textId="1B48772E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0.3762</w:t>
            </w:r>
          </w:p>
        </w:tc>
        <w:tc>
          <w:tcPr>
            <w:tcW w:w="810" w:type="dxa"/>
          </w:tcPr>
          <w:p w14:paraId="79FB2EEA" w14:textId="21D8D8B3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0.987</w:t>
            </w:r>
          </w:p>
        </w:tc>
      </w:tr>
      <w:tr w:rsidR="00F32B4C" w:rsidRPr="00C21F5D" w14:paraId="16C0640E" w14:textId="77777777" w:rsidTr="004835D1">
        <w:tc>
          <w:tcPr>
            <w:tcW w:w="2790" w:type="dxa"/>
          </w:tcPr>
          <w:p w14:paraId="25B745F4" w14:textId="3A126A46" w:rsidR="00F32B4C" w:rsidRPr="00C21F5D" w:rsidRDefault="00F32B4C" w:rsidP="00C21F5D">
            <w:pPr>
              <w:pStyle w:val="ListParagraph"/>
              <w:ind w:left="0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Androstenedione</w:t>
            </w:r>
          </w:p>
        </w:tc>
        <w:tc>
          <w:tcPr>
            <w:tcW w:w="1980" w:type="dxa"/>
          </w:tcPr>
          <w:p w14:paraId="03037304" w14:textId="6F7872DE" w:rsidR="00F32B4C" w:rsidRPr="00C21F5D" w:rsidRDefault="00F32B4C" w:rsidP="00F32B4C">
            <w:pPr>
              <w:pStyle w:val="ListParagraph"/>
              <w:ind w:left="0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22.89 - 0.009</w:t>
            </w:r>
            <w:r w:rsidR="006736D2">
              <w:rPr>
                <w:rFonts w:ascii="Arial" w:hAnsi="Arial" w:cs="Arial"/>
              </w:rPr>
              <w:t xml:space="preserve"> </w:t>
            </w:r>
            <w:r w:rsidRPr="00C21F5D">
              <w:rPr>
                <w:rFonts w:ascii="Arial" w:hAnsi="Arial" w:cs="Arial"/>
              </w:rPr>
              <w:t>843</w:t>
            </w:r>
          </w:p>
        </w:tc>
        <w:tc>
          <w:tcPr>
            <w:tcW w:w="1440" w:type="dxa"/>
          </w:tcPr>
          <w:p w14:paraId="33686D18" w14:textId="64C8E6FA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-0.0101</w:t>
            </w:r>
            <w:r w:rsidR="004835D1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</w:tcPr>
          <w:p w14:paraId="482E02B7" w14:textId="4C2E6F5F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0.8551</w:t>
            </w:r>
          </w:p>
        </w:tc>
        <w:tc>
          <w:tcPr>
            <w:tcW w:w="810" w:type="dxa"/>
          </w:tcPr>
          <w:p w14:paraId="282B0DE2" w14:textId="0795C5E9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0.998</w:t>
            </w:r>
          </w:p>
        </w:tc>
      </w:tr>
      <w:tr w:rsidR="00F32B4C" w:rsidRPr="00C21F5D" w14:paraId="7927C169" w14:textId="77777777" w:rsidTr="004835D1">
        <w:tc>
          <w:tcPr>
            <w:tcW w:w="2790" w:type="dxa"/>
          </w:tcPr>
          <w:p w14:paraId="6DCB3577" w14:textId="6F83D332" w:rsidR="00F32B4C" w:rsidRPr="00C21F5D" w:rsidRDefault="00F32B4C" w:rsidP="00C21F5D">
            <w:pPr>
              <w:pStyle w:val="ListParagraph"/>
              <w:ind w:left="0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Testosterone</w:t>
            </w:r>
          </w:p>
        </w:tc>
        <w:tc>
          <w:tcPr>
            <w:tcW w:w="1980" w:type="dxa"/>
          </w:tcPr>
          <w:p w14:paraId="27CF01E7" w14:textId="77777777" w:rsidR="00F32B4C" w:rsidRPr="00C21F5D" w:rsidRDefault="00F32B4C" w:rsidP="00F32B4C">
            <w:pPr>
              <w:pStyle w:val="ListParagraph"/>
              <w:ind w:left="0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16.52 - 0.7743</w:t>
            </w:r>
          </w:p>
        </w:tc>
        <w:tc>
          <w:tcPr>
            <w:tcW w:w="1440" w:type="dxa"/>
          </w:tcPr>
          <w:p w14:paraId="7ED4F619" w14:textId="5737854E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0.0023</w:t>
            </w:r>
            <w:r w:rsidR="006736D2">
              <w:rPr>
                <w:rFonts w:ascii="Arial" w:hAnsi="Arial" w:cs="Arial"/>
              </w:rPr>
              <w:t xml:space="preserve"> </w:t>
            </w:r>
            <w:r w:rsidR="004835D1">
              <w:rPr>
                <w:rFonts w:ascii="Arial" w:hAnsi="Arial" w:cs="Arial"/>
              </w:rPr>
              <w:t>00</w:t>
            </w:r>
          </w:p>
        </w:tc>
        <w:tc>
          <w:tcPr>
            <w:tcW w:w="1530" w:type="dxa"/>
          </w:tcPr>
          <w:p w14:paraId="4AF2156B" w14:textId="77777777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0.2121</w:t>
            </w:r>
          </w:p>
        </w:tc>
        <w:tc>
          <w:tcPr>
            <w:tcW w:w="810" w:type="dxa"/>
          </w:tcPr>
          <w:p w14:paraId="442C78EC" w14:textId="77777777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1.000</w:t>
            </w:r>
          </w:p>
        </w:tc>
      </w:tr>
      <w:tr w:rsidR="00F32B4C" w:rsidRPr="00C21F5D" w14:paraId="2CD2703D" w14:textId="77777777" w:rsidTr="004835D1">
        <w:tc>
          <w:tcPr>
            <w:tcW w:w="2790" w:type="dxa"/>
          </w:tcPr>
          <w:p w14:paraId="0533C485" w14:textId="2F4A2837" w:rsidR="00F32B4C" w:rsidRPr="00C21F5D" w:rsidRDefault="00F32B4C" w:rsidP="00C21F5D">
            <w:pPr>
              <w:pStyle w:val="ListParagraph"/>
              <w:ind w:left="0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Cortisol</w:t>
            </w:r>
          </w:p>
        </w:tc>
        <w:tc>
          <w:tcPr>
            <w:tcW w:w="1980" w:type="dxa"/>
          </w:tcPr>
          <w:p w14:paraId="2E06E108" w14:textId="4E792A23" w:rsidR="00F32B4C" w:rsidRPr="00C21F5D" w:rsidRDefault="00F32B4C" w:rsidP="00F32B4C">
            <w:pPr>
              <w:pStyle w:val="ListParagraph"/>
              <w:ind w:left="0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4.413 - 0.09133</w:t>
            </w:r>
          </w:p>
        </w:tc>
        <w:tc>
          <w:tcPr>
            <w:tcW w:w="1440" w:type="dxa"/>
          </w:tcPr>
          <w:p w14:paraId="3C5DFEFB" w14:textId="3AD68D49" w:rsidR="00F32B4C" w:rsidRPr="00C21F5D" w:rsidRDefault="004835D1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-0.01280</w:t>
            </w:r>
          </w:p>
        </w:tc>
        <w:tc>
          <w:tcPr>
            <w:tcW w:w="1530" w:type="dxa"/>
          </w:tcPr>
          <w:p w14:paraId="7D0BB7C6" w14:textId="34D84BCE" w:rsidR="00F32B4C" w:rsidRPr="00C21F5D" w:rsidRDefault="004835D1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1.286</w:t>
            </w:r>
          </w:p>
        </w:tc>
        <w:tc>
          <w:tcPr>
            <w:tcW w:w="810" w:type="dxa"/>
          </w:tcPr>
          <w:p w14:paraId="459629E8" w14:textId="59F99007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0.997</w:t>
            </w:r>
          </w:p>
        </w:tc>
      </w:tr>
      <w:tr w:rsidR="00F32B4C" w:rsidRPr="00C21F5D" w14:paraId="1BB27E13" w14:textId="77777777" w:rsidTr="004835D1">
        <w:tc>
          <w:tcPr>
            <w:tcW w:w="2790" w:type="dxa"/>
          </w:tcPr>
          <w:p w14:paraId="2028AE87" w14:textId="4AF593FB" w:rsidR="00F32B4C" w:rsidRPr="00C21F5D" w:rsidRDefault="00F32B4C" w:rsidP="00C21F5D">
            <w:pPr>
              <w:pStyle w:val="ListParagraph"/>
              <w:ind w:left="0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Cortisone</w:t>
            </w:r>
          </w:p>
        </w:tc>
        <w:tc>
          <w:tcPr>
            <w:tcW w:w="1980" w:type="dxa"/>
          </w:tcPr>
          <w:p w14:paraId="53BC26C4" w14:textId="77777777" w:rsidR="00F32B4C" w:rsidRPr="00C21F5D" w:rsidRDefault="00F32B4C" w:rsidP="00F32B4C">
            <w:pPr>
              <w:pStyle w:val="ListParagraph"/>
              <w:ind w:left="0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2.208 - 0.1109</w:t>
            </w:r>
          </w:p>
        </w:tc>
        <w:tc>
          <w:tcPr>
            <w:tcW w:w="1440" w:type="dxa"/>
          </w:tcPr>
          <w:p w14:paraId="2DF2405B" w14:textId="53F702FC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-0.0355</w:t>
            </w:r>
            <w:r w:rsidR="004835D1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</w:tcPr>
          <w:p w14:paraId="419BBF38" w14:textId="7BC0E8E5" w:rsidR="00F32B4C" w:rsidRPr="00C21F5D" w:rsidRDefault="004835D1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7.806</w:t>
            </w:r>
          </w:p>
        </w:tc>
        <w:tc>
          <w:tcPr>
            <w:tcW w:w="810" w:type="dxa"/>
          </w:tcPr>
          <w:p w14:paraId="0F03B139" w14:textId="77777777" w:rsidR="00F32B4C" w:rsidRPr="00C21F5D" w:rsidRDefault="00F32B4C" w:rsidP="00C21F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21F5D">
              <w:rPr>
                <w:rFonts w:ascii="Arial" w:hAnsi="Arial" w:cs="Arial"/>
              </w:rPr>
              <w:t>0.999</w:t>
            </w:r>
          </w:p>
        </w:tc>
      </w:tr>
    </w:tbl>
    <w:p w14:paraId="0E208E41" w14:textId="26556361" w:rsidR="00E14845" w:rsidRPr="00C21F5D" w:rsidRDefault="00E14845">
      <w:pPr>
        <w:rPr>
          <w:rFonts w:ascii="Arial" w:hAnsi="Arial" w:cs="Arial"/>
        </w:rPr>
      </w:pPr>
      <w:bookmarkStart w:id="0" w:name="_GoBack"/>
      <w:bookmarkEnd w:id="0"/>
    </w:p>
    <w:sectPr w:rsidR="00E14845" w:rsidRPr="00C21F5D" w:rsidSect="0090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09FAD" w14:textId="77777777" w:rsidR="005C53AC" w:rsidRDefault="005C53AC">
      <w:pPr>
        <w:spacing w:after="0" w:line="240" w:lineRule="auto"/>
      </w:pPr>
      <w:r>
        <w:separator/>
      </w:r>
    </w:p>
  </w:endnote>
  <w:endnote w:type="continuationSeparator" w:id="0">
    <w:p w14:paraId="33372414" w14:textId="77777777" w:rsidR="005C53AC" w:rsidRDefault="005C53AC">
      <w:pPr>
        <w:spacing w:after="0" w:line="240" w:lineRule="auto"/>
      </w:pPr>
      <w:r>
        <w:continuationSeparator/>
      </w:r>
    </w:p>
  </w:endnote>
  <w:endnote w:type="continuationNotice" w:id="1">
    <w:p w14:paraId="0E13C295" w14:textId="77777777" w:rsidR="005C53AC" w:rsidRDefault="005C5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A3E9" w14:textId="77777777" w:rsidR="00C21F5D" w:rsidRDefault="00C21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5F66" w14:textId="77777777" w:rsidR="00C21F5D" w:rsidRPr="007C524D" w:rsidRDefault="00C21F5D" w:rsidP="00C21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B814" w14:textId="77777777" w:rsidR="005C53AC" w:rsidRDefault="005C53AC">
      <w:pPr>
        <w:spacing w:after="0" w:line="240" w:lineRule="auto"/>
      </w:pPr>
      <w:r>
        <w:separator/>
      </w:r>
    </w:p>
  </w:footnote>
  <w:footnote w:type="continuationSeparator" w:id="0">
    <w:p w14:paraId="6DA6EB33" w14:textId="77777777" w:rsidR="005C53AC" w:rsidRDefault="005C53AC">
      <w:pPr>
        <w:spacing w:after="0" w:line="240" w:lineRule="auto"/>
      </w:pPr>
      <w:r>
        <w:continuationSeparator/>
      </w:r>
    </w:p>
  </w:footnote>
  <w:footnote w:type="continuationNotice" w:id="1">
    <w:p w14:paraId="25C285D4" w14:textId="77777777" w:rsidR="005C53AC" w:rsidRDefault="005C53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60F5" w14:textId="77777777" w:rsidR="00C21F5D" w:rsidRDefault="00C21F5D" w:rsidP="00743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54"/>
    <w:rsid w:val="00000BB1"/>
    <w:rsid w:val="000906EA"/>
    <w:rsid w:val="000C2163"/>
    <w:rsid w:val="000D7D72"/>
    <w:rsid w:val="000F6222"/>
    <w:rsid w:val="001171CC"/>
    <w:rsid w:val="001D537D"/>
    <w:rsid w:val="001F3052"/>
    <w:rsid w:val="00207021"/>
    <w:rsid w:val="0023582E"/>
    <w:rsid w:val="00244242"/>
    <w:rsid w:val="002A032C"/>
    <w:rsid w:val="002F23DC"/>
    <w:rsid w:val="00321656"/>
    <w:rsid w:val="00340EE4"/>
    <w:rsid w:val="00451D4C"/>
    <w:rsid w:val="004835D1"/>
    <w:rsid w:val="00494EC0"/>
    <w:rsid w:val="004E0E68"/>
    <w:rsid w:val="004E6AB7"/>
    <w:rsid w:val="00500D46"/>
    <w:rsid w:val="0052781E"/>
    <w:rsid w:val="005A2379"/>
    <w:rsid w:val="005B7777"/>
    <w:rsid w:val="005C53AC"/>
    <w:rsid w:val="006234D1"/>
    <w:rsid w:val="006675D2"/>
    <w:rsid w:val="006736D2"/>
    <w:rsid w:val="00691064"/>
    <w:rsid w:val="006C02A0"/>
    <w:rsid w:val="006E2322"/>
    <w:rsid w:val="006E56D7"/>
    <w:rsid w:val="00723A01"/>
    <w:rsid w:val="00743D1A"/>
    <w:rsid w:val="008E13C4"/>
    <w:rsid w:val="00907249"/>
    <w:rsid w:val="00924BD8"/>
    <w:rsid w:val="00931280"/>
    <w:rsid w:val="009A3F1D"/>
    <w:rsid w:val="009C2DCD"/>
    <w:rsid w:val="009D2DC1"/>
    <w:rsid w:val="009E3BE4"/>
    <w:rsid w:val="009F3BEF"/>
    <w:rsid w:val="00A43FCD"/>
    <w:rsid w:val="00AB5C17"/>
    <w:rsid w:val="00AC05CE"/>
    <w:rsid w:val="00AC3503"/>
    <w:rsid w:val="00B469B9"/>
    <w:rsid w:val="00B64F98"/>
    <w:rsid w:val="00C13DBC"/>
    <w:rsid w:val="00C20054"/>
    <w:rsid w:val="00C21F5D"/>
    <w:rsid w:val="00C43B0F"/>
    <w:rsid w:val="00C465D7"/>
    <w:rsid w:val="00C65EA3"/>
    <w:rsid w:val="00C813B4"/>
    <w:rsid w:val="00CB57B7"/>
    <w:rsid w:val="00CE7860"/>
    <w:rsid w:val="00D00031"/>
    <w:rsid w:val="00D314E4"/>
    <w:rsid w:val="00D4603A"/>
    <w:rsid w:val="00D61D7F"/>
    <w:rsid w:val="00DE5E9B"/>
    <w:rsid w:val="00DE62E8"/>
    <w:rsid w:val="00E14845"/>
    <w:rsid w:val="00EC1918"/>
    <w:rsid w:val="00EF085D"/>
    <w:rsid w:val="00F035A3"/>
    <w:rsid w:val="00F32B4C"/>
    <w:rsid w:val="00F70CFE"/>
    <w:rsid w:val="00FA210A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12C3"/>
  <w15:chartTrackingRefBased/>
  <w15:docId w15:val="{B73D5B85-9C57-4AEE-915D-AFC4EFAE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C0"/>
    <w:pPr>
      <w:ind w:left="720"/>
      <w:contextualSpacing/>
    </w:pPr>
  </w:style>
  <w:style w:type="table" w:styleId="TableGrid">
    <w:name w:val="Table Grid"/>
    <w:basedOn w:val="TableNormal"/>
    <w:uiPriority w:val="39"/>
    <w:rsid w:val="00494EC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4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C0"/>
  </w:style>
  <w:style w:type="character" w:styleId="CommentReference">
    <w:name w:val="annotation reference"/>
    <w:basedOn w:val="DefaultParagraphFont"/>
    <w:uiPriority w:val="99"/>
    <w:semiHidden/>
    <w:unhideWhenUsed/>
    <w:rsid w:val="009A3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10" Type="http://schemas.openxmlformats.org/officeDocument/2006/relationships/theme" Target="theme/theme1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otnotes" Target="footnotes.xml"/>
   <Relationship Id="rId5" Type="http://schemas.openxmlformats.org/officeDocument/2006/relationships/endnotes" Target="endnotes.xml"/>
   <Relationship Id="rId6" Type="http://schemas.openxmlformats.org/officeDocument/2006/relationships/header" Target="header1.xml"/>
   <Relationship Id="rId7" Type="http://schemas.openxmlformats.org/officeDocument/2006/relationships/footer" Target="footer1.xml"/>
   <Relationship Id="rId8" Type="http://schemas.openxmlformats.org/officeDocument/2006/relationships/footer" Target="footer2.xml"/>
   <Relationship Id="rId9" Type="http://schemas.openxmlformats.org/officeDocument/2006/relationships/fontTable" Target="fontTable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