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83D39" w14:textId="77777777" w:rsidR="00FA1481" w:rsidRDefault="00664A12" w:rsidP="00E40896">
      <w:pPr>
        <w:jc w:val="center"/>
        <w:rPr>
          <w:sz w:val="36"/>
          <w:szCs w:val="36"/>
        </w:rPr>
      </w:pPr>
      <w:bookmarkStart w:id="0" w:name="_GoBack"/>
      <w:bookmarkEnd w:id="0"/>
      <w:r>
        <w:rPr>
          <w:noProof/>
          <w:sz w:val="36"/>
          <w:szCs w:val="36"/>
          <w:lang w:val="en-PH" w:eastAsia="en-PH"/>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7EE184DA" w14:textId="49885799" w:rsidR="00CE6EAA" w:rsidRPr="00BF1BF9" w:rsidRDefault="00DA5239" w:rsidP="00FF3503">
      <w:pPr>
        <w:spacing w:before="100" w:beforeAutospacing="1" w:after="100" w:afterAutospacing="1"/>
        <w:jc w:val="center"/>
        <w:rPr>
          <w:rFonts w:ascii="Myriad Pro" w:hAnsi="Myriad Pro"/>
          <w:i/>
          <w:sz w:val="22"/>
          <w:szCs w:val="22"/>
        </w:rPr>
      </w:pPr>
      <w:r>
        <w:rPr>
          <w:rFonts w:ascii="Myriad Pro" w:hAnsi="Myriad Pro"/>
          <w:i/>
          <w:sz w:val="22"/>
          <w:szCs w:val="22"/>
        </w:rPr>
        <w:t>Geophysical Research Letters</w:t>
      </w:r>
    </w:p>
    <w:p w14:paraId="2CB29489" w14:textId="77777777" w:rsidR="00FF3503" w:rsidRPr="00CE6EAA" w:rsidRDefault="00FF3503" w:rsidP="00FF3503">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14:paraId="59F910A1" w14:textId="29899949" w:rsidR="00FF3503" w:rsidRPr="00B77E40" w:rsidRDefault="00DA5239" w:rsidP="00FF3503">
      <w:pPr>
        <w:spacing w:before="100" w:beforeAutospacing="1" w:after="100" w:afterAutospacing="1"/>
        <w:jc w:val="center"/>
        <w:rPr>
          <w:rFonts w:ascii="Myriad Pro" w:hAnsi="Myriad Pro"/>
          <w:b/>
          <w:sz w:val="22"/>
          <w:szCs w:val="22"/>
        </w:rPr>
      </w:pPr>
      <w:r>
        <w:rPr>
          <w:rFonts w:ascii="Myriad Pro" w:hAnsi="Myriad Pro"/>
          <w:b/>
          <w:sz w:val="22"/>
          <w:szCs w:val="22"/>
        </w:rPr>
        <w:t>Surface Wetness as an Unexpected Control on Forest Exchange of Volatile Organic Acids</w:t>
      </w:r>
    </w:p>
    <w:p w14:paraId="42FFC78E" w14:textId="4E4D9343" w:rsidR="00FF3503" w:rsidRPr="00DA5239" w:rsidRDefault="00DA5239" w:rsidP="00FF3503">
      <w:pPr>
        <w:spacing w:before="100" w:beforeAutospacing="1" w:after="100" w:afterAutospacing="1"/>
        <w:jc w:val="center"/>
        <w:rPr>
          <w:rFonts w:ascii="Myriad Pro" w:hAnsi="Myriad Pro"/>
          <w:sz w:val="22"/>
          <w:szCs w:val="22"/>
        </w:rPr>
      </w:pPr>
      <w:r>
        <w:rPr>
          <w:rFonts w:ascii="Myriad Pro" w:hAnsi="Myriad Pro"/>
          <w:sz w:val="22"/>
          <w:szCs w:val="22"/>
        </w:rPr>
        <w:t>S.R. Fulgham</w:t>
      </w:r>
      <w:r>
        <w:rPr>
          <w:rFonts w:ascii="Myriad Pro" w:hAnsi="Myriad Pro"/>
          <w:sz w:val="22"/>
          <w:szCs w:val="22"/>
          <w:vertAlign w:val="superscript"/>
        </w:rPr>
        <w:t>1</w:t>
      </w:r>
      <w:r>
        <w:rPr>
          <w:rFonts w:ascii="Myriad Pro" w:hAnsi="Myriad Pro"/>
          <w:sz w:val="22"/>
          <w:szCs w:val="22"/>
        </w:rPr>
        <w:t>, D.B. Millet</w:t>
      </w:r>
      <w:r>
        <w:rPr>
          <w:rFonts w:ascii="Myriad Pro" w:hAnsi="Myriad Pro"/>
          <w:sz w:val="22"/>
          <w:szCs w:val="22"/>
          <w:vertAlign w:val="superscript"/>
        </w:rPr>
        <w:t>2</w:t>
      </w:r>
      <w:r>
        <w:rPr>
          <w:rFonts w:ascii="Myriad Pro" w:hAnsi="Myriad Pro"/>
          <w:sz w:val="22"/>
          <w:szCs w:val="22"/>
        </w:rPr>
        <w:t>, H.D. Alwe</w:t>
      </w:r>
      <w:r>
        <w:rPr>
          <w:rFonts w:ascii="Myriad Pro" w:hAnsi="Myriad Pro"/>
          <w:sz w:val="22"/>
          <w:szCs w:val="22"/>
          <w:vertAlign w:val="superscript"/>
        </w:rPr>
        <w:t>2</w:t>
      </w:r>
      <w:r>
        <w:rPr>
          <w:rFonts w:ascii="Myriad Pro" w:hAnsi="Myriad Pro"/>
          <w:sz w:val="22"/>
          <w:szCs w:val="22"/>
        </w:rPr>
        <w:t>, A.H. Goldstein</w:t>
      </w:r>
      <w:r>
        <w:rPr>
          <w:rFonts w:ascii="Myriad Pro" w:hAnsi="Myriad Pro"/>
          <w:sz w:val="22"/>
          <w:szCs w:val="22"/>
          <w:vertAlign w:val="superscript"/>
        </w:rPr>
        <w:t>3</w:t>
      </w:r>
      <w:r>
        <w:rPr>
          <w:rFonts w:ascii="Myriad Pro" w:hAnsi="Myriad Pro"/>
          <w:sz w:val="22"/>
          <w:szCs w:val="22"/>
        </w:rPr>
        <w:t>, S. Schobesberger</w:t>
      </w:r>
      <w:r>
        <w:rPr>
          <w:rFonts w:ascii="Myriad Pro" w:hAnsi="Myriad Pro"/>
          <w:sz w:val="22"/>
          <w:szCs w:val="22"/>
          <w:vertAlign w:val="superscript"/>
        </w:rPr>
        <w:t>4</w:t>
      </w:r>
      <w:r>
        <w:rPr>
          <w:rFonts w:ascii="Myriad Pro" w:hAnsi="Myriad Pro"/>
          <w:sz w:val="22"/>
          <w:szCs w:val="22"/>
        </w:rPr>
        <w:t>, and D.K. Farmer</w:t>
      </w:r>
      <w:r>
        <w:rPr>
          <w:rFonts w:ascii="Myriad Pro" w:hAnsi="Myriad Pro"/>
          <w:sz w:val="22"/>
          <w:szCs w:val="22"/>
          <w:vertAlign w:val="superscript"/>
        </w:rPr>
        <w:t>1</w:t>
      </w:r>
    </w:p>
    <w:p w14:paraId="69976EF8" w14:textId="618E4064" w:rsidR="00B77E40" w:rsidRDefault="00DA5239" w:rsidP="00FF3503">
      <w:pPr>
        <w:spacing w:before="100" w:beforeAutospacing="1" w:after="100" w:afterAutospacing="1"/>
        <w:jc w:val="center"/>
        <w:rPr>
          <w:rFonts w:ascii="Myriad Pro" w:hAnsi="Myriad Pro"/>
          <w:sz w:val="18"/>
          <w:szCs w:val="18"/>
        </w:rPr>
      </w:pPr>
      <w:r w:rsidRPr="00DA5239">
        <w:rPr>
          <w:rFonts w:ascii="Myriad Pro" w:hAnsi="Myriad Pro"/>
          <w:sz w:val="18"/>
          <w:szCs w:val="18"/>
          <w:vertAlign w:val="superscript"/>
        </w:rPr>
        <w:t>1</w:t>
      </w:r>
      <w:r>
        <w:rPr>
          <w:rFonts w:ascii="Myriad Pro" w:hAnsi="Myriad Pro"/>
          <w:sz w:val="18"/>
          <w:szCs w:val="18"/>
        </w:rPr>
        <w:t xml:space="preserve"> Department of Chemistry, Colorado State University, Fort Collins, Colorado 80523, United States.</w:t>
      </w:r>
    </w:p>
    <w:p w14:paraId="29491532" w14:textId="3F915137" w:rsidR="00DA5239" w:rsidRDefault="00DA5239" w:rsidP="00FF3503">
      <w:pPr>
        <w:spacing w:before="100" w:beforeAutospacing="1" w:after="100" w:afterAutospacing="1"/>
        <w:jc w:val="center"/>
        <w:rPr>
          <w:rFonts w:ascii="Myriad Pro" w:hAnsi="Myriad Pro"/>
          <w:sz w:val="18"/>
          <w:szCs w:val="18"/>
        </w:rPr>
      </w:pPr>
      <w:r>
        <w:rPr>
          <w:rFonts w:ascii="Myriad Pro" w:hAnsi="Myriad Pro"/>
          <w:sz w:val="18"/>
          <w:szCs w:val="18"/>
          <w:vertAlign w:val="superscript"/>
        </w:rPr>
        <w:t>2</w:t>
      </w:r>
      <w:r>
        <w:rPr>
          <w:rFonts w:ascii="Myriad Pro" w:hAnsi="Myriad Pro"/>
          <w:sz w:val="18"/>
          <w:szCs w:val="18"/>
        </w:rPr>
        <w:t xml:space="preserve"> Department of Soil, Water, and Climate, University of Minnesota, Minneapolis-Saint Paul, Minnesota 55108, United States.</w:t>
      </w:r>
    </w:p>
    <w:p w14:paraId="44E587BE" w14:textId="59312D15" w:rsidR="00DA5239" w:rsidRDefault="00DA5239" w:rsidP="00FF3503">
      <w:pPr>
        <w:spacing w:before="100" w:beforeAutospacing="1" w:after="100" w:afterAutospacing="1"/>
        <w:jc w:val="center"/>
        <w:rPr>
          <w:rFonts w:ascii="Myriad Pro" w:hAnsi="Myriad Pro"/>
          <w:sz w:val="18"/>
          <w:szCs w:val="18"/>
        </w:rPr>
      </w:pPr>
      <w:r>
        <w:rPr>
          <w:rFonts w:ascii="Myriad Pro" w:hAnsi="Myriad Pro"/>
          <w:sz w:val="18"/>
          <w:szCs w:val="18"/>
          <w:vertAlign w:val="superscript"/>
        </w:rPr>
        <w:t>3</w:t>
      </w:r>
      <w:r>
        <w:rPr>
          <w:rFonts w:ascii="Myriad Pro" w:hAnsi="Myriad Pro"/>
          <w:sz w:val="18"/>
          <w:szCs w:val="18"/>
        </w:rPr>
        <w:t xml:space="preserve"> Department of Environmental Science, Policy, and Management, University of California Berkeley, Berkeley, California 94720, United States.</w:t>
      </w:r>
    </w:p>
    <w:p w14:paraId="4E9B6F2C" w14:textId="3A109B54" w:rsidR="00DA5239" w:rsidRPr="00DA5239" w:rsidRDefault="00DA5239" w:rsidP="00FF3503">
      <w:pPr>
        <w:spacing w:before="100" w:beforeAutospacing="1" w:after="100" w:afterAutospacing="1"/>
        <w:jc w:val="center"/>
        <w:rPr>
          <w:rFonts w:ascii="Myriad Pro" w:hAnsi="Myriad Pro"/>
          <w:sz w:val="18"/>
          <w:szCs w:val="18"/>
        </w:rPr>
      </w:pPr>
      <w:r>
        <w:rPr>
          <w:rFonts w:ascii="Myriad Pro" w:hAnsi="Myriad Pro"/>
          <w:sz w:val="18"/>
          <w:szCs w:val="18"/>
          <w:vertAlign w:val="superscript"/>
        </w:rPr>
        <w:t>4</w:t>
      </w:r>
      <w:r>
        <w:rPr>
          <w:rFonts w:ascii="Myriad Pro" w:hAnsi="Myriad Pro"/>
          <w:sz w:val="18"/>
          <w:szCs w:val="18"/>
        </w:rPr>
        <w:t xml:space="preserve"> Department of Applied Physics, University of Eastern Finland, Kuopio, 70211, Finland.</w:t>
      </w:r>
    </w:p>
    <w:p w14:paraId="71891EDF" w14:textId="77777777" w:rsidR="00094365" w:rsidRPr="00CE6EAA" w:rsidRDefault="00A50033" w:rsidP="00825950">
      <w:pPr>
        <w:spacing w:before="100" w:beforeAutospacing="1" w:after="100" w:afterAutospacing="1"/>
        <w:jc w:val="center"/>
        <w:rPr>
          <w:rFonts w:ascii="Myriad Pro" w:hAnsi="Myriad Pro"/>
          <w:sz w:val="22"/>
          <w:szCs w:val="22"/>
        </w:rPr>
      </w:pPr>
      <w:r w:rsidRPr="00CE6EAA" w:rsidDel="00A50033">
        <w:rPr>
          <w:rFonts w:ascii="Myriad Pro" w:hAnsi="Myriad Pro"/>
          <w:sz w:val="22"/>
          <w:szCs w:val="22"/>
        </w:rPr>
        <w:t xml:space="preserve"> </w:t>
      </w:r>
    </w:p>
    <w:p w14:paraId="347237BD" w14:textId="77777777" w:rsidR="00094365" w:rsidRPr="00CE6EAA" w:rsidRDefault="00094365" w:rsidP="000B2E64">
      <w:pPr>
        <w:spacing w:before="100" w:beforeAutospacing="1" w:after="100" w:afterAutospacing="1"/>
        <w:jc w:val="center"/>
        <w:rPr>
          <w:rFonts w:ascii="Myriad Pro" w:hAnsi="Myriad Pro"/>
          <w:sz w:val="22"/>
          <w:szCs w:val="22"/>
        </w:rPr>
      </w:pPr>
    </w:p>
    <w:p w14:paraId="1CD128B3" w14:textId="77777777" w:rsidR="00111843" w:rsidRDefault="00111843" w:rsidP="00111843">
      <w:pPr>
        <w:rPr>
          <w:rFonts w:ascii="Myriad Pro" w:hAnsi="Myriad Pro"/>
          <w:b/>
        </w:rPr>
      </w:pPr>
      <w:r w:rsidRPr="00CE6EAA">
        <w:rPr>
          <w:rFonts w:ascii="Myriad Pro" w:hAnsi="Myriad Pro"/>
          <w:b/>
        </w:rPr>
        <w:t>Contents of this file</w:t>
      </w:r>
      <w:r w:rsidR="00E43D2D">
        <w:rPr>
          <w:rFonts w:ascii="Myriad Pro" w:hAnsi="Myriad Pro"/>
          <w:b/>
        </w:rPr>
        <w:t xml:space="preserve"> </w:t>
      </w:r>
    </w:p>
    <w:p w14:paraId="1F13291B" w14:textId="77777777" w:rsidR="00E43D2D" w:rsidRPr="00E40896" w:rsidRDefault="00E43D2D" w:rsidP="00111843">
      <w:pPr>
        <w:rPr>
          <w:rFonts w:ascii="Myriad Pro" w:hAnsi="Myriad Pro"/>
        </w:rPr>
      </w:pPr>
    </w:p>
    <w:p w14:paraId="3D1CAEA0" w14:textId="34F2DFF4" w:rsidR="00111843" w:rsidRPr="00CE6EAA" w:rsidRDefault="00111843" w:rsidP="00111843">
      <w:pPr>
        <w:ind w:left="720"/>
        <w:rPr>
          <w:rFonts w:ascii="Myriad Pro" w:hAnsi="Myriad Pro"/>
          <w:sz w:val="22"/>
          <w:szCs w:val="22"/>
        </w:rPr>
      </w:pPr>
      <w:r w:rsidRPr="00CE6EAA">
        <w:rPr>
          <w:rFonts w:ascii="Myriad Pro" w:hAnsi="Myriad Pro"/>
          <w:sz w:val="22"/>
          <w:szCs w:val="22"/>
        </w:rPr>
        <w:t>Text S1 to S</w:t>
      </w:r>
      <w:r w:rsidR="00DA5239">
        <w:rPr>
          <w:rFonts w:ascii="Myriad Pro" w:hAnsi="Myriad Pro"/>
          <w:sz w:val="22"/>
          <w:szCs w:val="22"/>
        </w:rPr>
        <w:t>2</w:t>
      </w:r>
    </w:p>
    <w:p w14:paraId="10640459" w14:textId="30BFCD8F" w:rsidR="00111843" w:rsidRPr="00CE6EAA" w:rsidRDefault="00111843" w:rsidP="00111843">
      <w:pPr>
        <w:ind w:left="720"/>
        <w:rPr>
          <w:rFonts w:ascii="Myriad Pro" w:hAnsi="Myriad Pro"/>
          <w:sz w:val="22"/>
          <w:szCs w:val="22"/>
        </w:rPr>
      </w:pPr>
      <w:r w:rsidRPr="00CE6EAA">
        <w:rPr>
          <w:rFonts w:ascii="Myriad Pro" w:hAnsi="Myriad Pro"/>
          <w:sz w:val="22"/>
          <w:szCs w:val="22"/>
        </w:rPr>
        <w:t>Figures S1 to S</w:t>
      </w:r>
      <w:r w:rsidR="00DA5239">
        <w:rPr>
          <w:rFonts w:ascii="Myriad Pro" w:hAnsi="Myriad Pro"/>
          <w:sz w:val="22"/>
          <w:szCs w:val="22"/>
        </w:rPr>
        <w:t>1</w:t>
      </w:r>
      <w:r w:rsidR="002C6F7E">
        <w:rPr>
          <w:rFonts w:ascii="Myriad Pro" w:hAnsi="Myriad Pro"/>
          <w:sz w:val="22"/>
          <w:szCs w:val="22"/>
        </w:rPr>
        <w:t>1</w:t>
      </w:r>
    </w:p>
    <w:p w14:paraId="6807841A" w14:textId="3CDC382C" w:rsidR="00111843" w:rsidRPr="00CE6EAA" w:rsidRDefault="00111843" w:rsidP="00111843">
      <w:pPr>
        <w:ind w:left="720"/>
        <w:rPr>
          <w:rFonts w:ascii="Myriad Pro" w:hAnsi="Myriad Pro"/>
          <w:sz w:val="22"/>
          <w:szCs w:val="22"/>
        </w:rPr>
      </w:pPr>
      <w:r w:rsidRPr="00CE6EAA">
        <w:rPr>
          <w:rFonts w:ascii="Myriad Pro" w:hAnsi="Myriad Pro"/>
          <w:sz w:val="22"/>
          <w:szCs w:val="22"/>
        </w:rPr>
        <w:t>Tables S1 to S</w:t>
      </w:r>
      <w:r w:rsidR="00DA5239">
        <w:rPr>
          <w:rFonts w:ascii="Myriad Pro" w:hAnsi="Myriad Pro"/>
          <w:sz w:val="22"/>
          <w:szCs w:val="22"/>
        </w:rPr>
        <w:t>2</w:t>
      </w:r>
      <w:r w:rsidR="00AA76F3">
        <w:rPr>
          <w:rFonts w:ascii="Myriad Pro" w:hAnsi="Myriad Pro"/>
          <w:sz w:val="22"/>
          <w:szCs w:val="22"/>
        </w:rPr>
        <w:t xml:space="preserve"> </w:t>
      </w:r>
    </w:p>
    <w:p w14:paraId="0363B503" w14:textId="77777777" w:rsidR="00111843" w:rsidRPr="00E40896" w:rsidRDefault="00111843" w:rsidP="00111843">
      <w:pPr>
        <w:ind w:left="720"/>
        <w:rPr>
          <w:rFonts w:ascii="Myriad Pro" w:hAnsi="Myriad Pro"/>
        </w:rPr>
      </w:pPr>
    </w:p>
    <w:p w14:paraId="79042C92" w14:textId="77777777" w:rsidR="00FF3503" w:rsidRPr="00CE6EAA" w:rsidRDefault="00FF3503" w:rsidP="00FF3503">
      <w:pPr>
        <w:spacing w:before="100" w:beforeAutospacing="1" w:after="100" w:afterAutospacing="1"/>
        <w:rPr>
          <w:rFonts w:ascii="Myriad Pro" w:hAnsi="Myriad Pro"/>
          <w:b/>
          <w:szCs w:val="24"/>
        </w:rPr>
      </w:pPr>
      <w:r w:rsidRPr="00CE6EAA">
        <w:rPr>
          <w:rFonts w:ascii="Myriad Pro" w:hAnsi="Myriad Pro"/>
          <w:b/>
          <w:bCs/>
          <w:szCs w:val="24"/>
        </w:rPr>
        <w:t>Introduction</w:t>
      </w:r>
      <w:r w:rsidRPr="00CE6EAA">
        <w:rPr>
          <w:rFonts w:ascii="Myriad Pro" w:hAnsi="Myriad Pro"/>
          <w:b/>
          <w:szCs w:val="24"/>
        </w:rPr>
        <w:t xml:space="preserve"> </w:t>
      </w:r>
    </w:p>
    <w:p w14:paraId="19886F0B" w14:textId="544BF6FB" w:rsidR="002C030F" w:rsidRPr="00EF2A10" w:rsidRDefault="00DA5239" w:rsidP="00EF2A10">
      <w:pPr>
        <w:ind w:firstLine="720"/>
        <w:rPr>
          <w:rFonts w:ascii="Myriad Pro" w:hAnsi="Myriad Pro"/>
          <w:sz w:val="22"/>
          <w:szCs w:val="22"/>
        </w:rPr>
      </w:pPr>
      <w:r w:rsidRPr="00EF2A10">
        <w:rPr>
          <w:rFonts w:ascii="Myriad Pro" w:hAnsi="Myriad Pro"/>
          <w:sz w:val="22"/>
          <w:szCs w:val="22"/>
        </w:rPr>
        <w:t>This supporting information presents brief discussions of eddy covariance flux measurements and filtering used at Manitou Experimental Forest Observatory (MEFO) (Section S1) and the calculation of volumetric phase ratios for phase distribution analysis (Section S2). Supporting figures include seasonal isocyanic acid (HNCO) exchange velocity (V</w:t>
      </w:r>
      <w:r w:rsidRPr="00EF2A10">
        <w:rPr>
          <w:rFonts w:ascii="Myriad Pro" w:hAnsi="Myriad Pro"/>
          <w:sz w:val="22"/>
          <w:szCs w:val="22"/>
          <w:vertAlign w:val="subscript"/>
        </w:rPr>
        <w:t>ex</w:t>
      </w:r>
      <w:r w:rsidRPr="00EF2A10">
        <w:rPr>
          <w:rFonts w:ascii="Myriad Pro" w:hAnsi="Myriad Pro"/>
          <w:sz w:val="22"/>
          <w:szCs w:val="22"/>
        </w:rPr>
        <w:t>) plotted as a function of dew point depression (T-T</w:t>
      </w:r>
      <w:r w:rsidRPr="00EF2A10">
        <w:rPr>
          <w:rFonts w:ascii="Myriad Pro" w:hAnsi="Myriad Pro"/>
          <w:sz w:val="22"/>
          <w:szCs w:val="22"/>
          <w:vertAlign w:val="subscript"/>
        </w:rPr>
        <w:t>d</w:t>
      </w:r>
      <w:r w:rsidRPr="00EF2A10">
        <w:rPr>
          <w:rFonts w:ascii="Myriad Pro" w:hAnsi="Myriad Pro"/>
          <w:sz w:val="22"/>
          <w:szCs w:val="22"/>
        </w:rPr>
        <w:t xml:space="preserve">) at MEFO in Figure S1, an </w:t>
      </w:r>
      <w:proofErr w:type="spellStart"/>
      <w:r w:rsidRPr="00EF2A10">
        <w:rPr>
          <w:rFonts w:ascii="Myriad Pro" w:hAnsi="Myriad Pro"/>
          <w:sz w:val="22"/>
          <w:szCs w:val="22"/>
        </w:rPr>
        <w:t>intercomparison</w:t>
      </w:r>
      <w:proofErr w:type="spellEnd"/>
      <w:r w:rsidRPr="00EF2A10">
        <w:rPr>
          <w:rFonts w:ascii="Myriad Pro" w:hAnsi="Myriad Pro"/>
          <w:sz w:val="22"/>
          <w:szCs w:val="22"/>
        </w:rPr>
        <w:t xml:space="preserve"> of V</w:t>
      </w:r>
      <w:r w:rsidRPr="00EF2A10">
        <w:rPr>
          <w:rFonts w:ascii="Myriad Pro" w:hAnsi="Myriad Pro"/>
          <w:sz w:val="22"/>
          <w:szCs w:val="22"/>
          <w:vertAlign w:val="subscript"/>
        </w:rPr>
        <w:t>ex</w:t>
      </w:r>
      <w:r w:rsidRPr="00EF2A10">
        <w:rPr>
          <w:rFonts w:ascii="Myriad Pro" w:hAnsi="Myriad Pro"/>
          <w:sz w:val="22"/>
          <w:szCs w:val="22"/>
        </w:rPr>
        <w:t xml:space="preserve"> versus T-T</w:t>
      </w:r>
      <w:r w:rsidRPr="00EF2A10">
        <w:rPr>
          <w:rFonts w:ascii="Myriad Pro" w:hAnsi="Myriad Pro"/>
          <w:sz w:val="22"/>
          <w:szCs w:val="22"/>
          <w:vertAlign w:val="subscript"/>
        </w:rPr>
        <w:t>d</w:t>
      </w:r>
      <w:r w:rsidRPr="00EF2A10">
        <w:rPr>
          <w:rFonts w:ascii="Myriad Pro" w:hAnsi="Myriad Pro"/>
          <w:sz w:val="22"/>
          <w:szCs w:val="22"/>
        </w:rPr>
        <w:t xml:space="preserve"> for several volatile organic acids at three different measurement sites in Figures S2-S4, dew point depression histograms from three different flux measurement sites in Figure S5, HNCO temperature-dependent </w:t>
      </w:r>
      <w:r w:rsidRPr="00EF2A10">
        <w:rPr>
          <w:rFonts w:ascii="Myriad Pro" w:hAnsi="Myriad Pro"/>
          <w:sz w:val="22"/>
          <w:szCs w:val="22"/>
        </w:rPr>
        <w:lastRenderedPageBreak/>
        <w:t xml:space="preserve">partitioning space plot in Figure S6, exponential temperature dependence of HNCO mixing ratio in Figure S7, modified </w:t>
      </w:r>
      <w:proofErr w:type="spellStart"/>
      <w:r w:rsidRPr="00EF2A10">
        <w:rPr>
          <w:rFonts w:ascii="Myriad Pro" w:hAnsi="Myriad Pro"/>
          <w:sz w:val="22"/>
          <w:szCs w:val="22"/>
        </w:rPr>
        <w:t>van’t</w:t>
      </w:r>
      <w:proofErr w:type="spellEnd"/>
      <w:r w:rsidRPr="00EF2A10">
        <w:rPr>
          <w:rFonts w:ascii="Myriad Pro" w:hAnsi="Myriad Pro"/>
          <w:sz w:val="22"/>
          <w:szCs w:val="22"/>
        </w:rPr>
        <w:t xml:space="preserve"> Hoff plots for HNCO sorted by wet and dry conditions at MEFO in Figure S8, </w:t>
      </w:r>
      <w:proofErr w:type="spellStart"/>
      <w:r w:rsidR="00521D1D">
        <w:rPr>
          <w:rFonts w:ascii="Arial" w:hAnsi="Arial" w:cs="Arial"/>
          <w:sz w:val="22"/>
          <w:szCs w:val="22"/>
        </w:rPr>
        <w:t>Δ</w:t>
      </w:r>
      <w:r w:rsidR="00521D1D">
        <w:rPr>
          <w:rFonts w:ascii="Myriad Pro" w:hAnsi="Myriad Pro"/>
          <w:sz w:val="22"/>
          <w:szCs w:val="22"/>
        </w:rPr>
        <w:t>H</w:t>
      </w:r>
      <w:r w:rsidR="00521D1D">
        <w:rPr>
          <w:rFonts w:ascii="Myriad Pro" w:hAnsi="Myriad Pro"/>
          <w:sz w:val="22"/>
          <w:szCs w:val="22"/>
          <w:vertAlign w:val="subscript"/>
        </w:rPr>
        <w:t>obs</w:t>
      </w:r>
      <w:proofErr w:type="spellEnd"/>
      <w:r w:rsidR="00521D1D">
        <w:rPr>
          <w:rFonts w:ascii="Myriad Pro" w:hAnsi="Myriad Pro"/>
          <w:sz w:val="22"/>
          <w:szCs w:val="22"/>
        </w:rPr>
        <w:t xml:space="preserve"> derived from slopes of modified </w:t>
      </w:r>
      <w:proofErr w:type="spellStart"/>
      <w:r w:rsidR="00521D1D">
        <w:rPr>
          <w:rFonts w:ascii="Myriad Pro" w:hAnsi="Myriad Pro"/>
          <w:sz w:val="22"/>
          <w:szCs w:val="22"/>
        </w:rPr>
        <w:t>van’t</w:t>
      </w:r>
      <w:proofErr w:type="spellEnd"/>
      <w:r w:rsidR="00521D1D">
        <w:rPr>
          <w:rFonts w:ascii="Myriad Pro" w:hAnsi="Myriad Pro"/>
          <w:sz w:val="22"/>
          <w:szCs w:val="22"/>
        </w:rPr>
        <w:t xml:space="preserve"> Hoff plots displayed as a function of </w:t>
      </w:r>
      <w:proofErr w:type="spellStart"/>
      <w:r w:rsidR="00521D1D">
        <w:rPr>
          <w:rFonts w:ascii="Arial" w:hAnsi="Arial" w:cs="Arial"/>
          <w:sz w:val="22"/>
          <w:szCs w:val="22"/>
        </w:rPr>
        <w:t>Δ</w:t>
      </w:r>
      <w:r w:rsidR="00521D1D">
        <w:rPr>
          <w:rFonts w:ascii="Myriad Pro" w:hAnsi="Myriad Pro"/>
          <w:sz w:val="22"/>
          <w:szCs w:val="22"/>
        </w:rPr>
        <w:t>H</w:t>
      </w:r>
      <w:r w:rsidR="00521D1D">
        <w:rPr>
          <w:rFonts w:ascii="Myriad Pro" w:hAnsi="Myriad Pro"/>
          <w:sz w:val="22"/>
          <w:szCs w:val="22"/>
          <w:vertAlign w:val="subscript"/>
        </w:rPr>
        <w:t>solvation</w:t>
      </w:r>
      <w:proofErr w:type="spellEnd"/>
      <w:r w:rsidR="00521D1D">
        <w:rPr>
          <w:rFonts w:ascii="Myriad Pro" w:hAnsi="Myriad Pro"/>
          <w:sz w:val="22"/>
          <w:szCs w:val="22"/>
        </w:rPr>
        <w:t xml:space="preserve"> from the literature for five acids under wet and dry conditions</w:t>
      </w:r>
      <w:r w:rsidR="002C6F7E">
        <w:rPr>
          <w:rFonts w:ascii="Myriad Pro" w:hAnsi="Myriad Pro"/>
          <w:sz w:val="22"/>
          <w:szCs w:val="22"/>
        </w:rPr>
        <w:t xml:space="preserve"> in Figure S9</w:t>
      </w:r>
      <w:r w:rsidR="00521D1D">
        <w:rPr>
          <w:rFonts w:ascii="Myriad Pro" w:hAnsi="Myriad Pro"/>
          <w:sz w:val="22"/>
          <w:szCs w:val="22"/>
        </w:rPr>
        <w:t xml:space="preserve">, </w:t>
      </w:r>
      <w:r w:rsidR="00521D1D" w:rsidRPr="00EF2A10">
        <w:rPr>
          <w:rFonts w:ascii="Myriad Pro" w:hAnsi="Myriad Pro"/>
          <w:sz w:val="22"/>
          <w:szCs w:val="22"/>
        </w:rPr>
        <w:t xml:space="preserve"> </w:t>
      </w:r>
      <w:r w:rsidRPr="00EF2A10">
        <w:rPr>
          <w:rFonts w:ascii="Myriad Pro" w:hAnsi="Myriad Pro"/>
          <w:sz w:val="22"/>
          <w:szCs w:val="22"/>
        </w:rPr>
        <w:t xml:space="preserve">modified </w:t>
      </w:r>
      <w:proofErr w:type="spellStart"/>
      <w:r w:rsidRPr="00EF2A10">
        <w:rPr>
          <w:rFonts w:ascii="Myriad Pro" w:hAnsi="Myriad Pro"/>
          <w:sz w:val="22"/>
          <w:szCs w:val="22"/>
        </w:rPr>
        <w:t>van’t</w:t>
      </w:r>
      <w:proofErr w:type="spellEnd"/>
      <w:r w:rsidRPr="00EF2A10">
        <w:rPr>
          <w:rFonts w:ascii="Myriad Pro" w:hAnsi="Myriad Pro"/>
          <w:sz w:val="22"/>
          <w:szCs w:val="22"/>
        </w:rPr>
        <w:t xml:space="preserve"> Hoff plots for isoprene sorted by wet and dry conditions at University of Michigan Biological Station (UMBS) in Figure S</w:t>
      </w:r>
      <w:r w:rsidR="00521D1D">
        <w:rPr>
          <w:rFonts w:ascii="Myriad Pro" w:hAnsi="Myriad Pro"/>
          <w:sz w:val="22"/>
          <w:szCs w:val="22"/>
        </w:rPr>
        <w:t>10</w:t>
      </w:r>
      <w:r w:rsidRPr="00EF2A10">
        <w:rPr>
          <w:rFonts w:ascii="Myriad Pro" w:hAnsi="Myriad Pro"/>
          <w:sz w:val="22"/>
          <w:szCs w:val="22"/>
        </w:rPr>
        <w:t xml:space="preserve">, and formic acid dependence upon latent heat flux at SMEAR 2 in </w:t>
      </w:r>
      <w:proofErr w:type="spellStart"/>
      <w:r w:rsidRPr="00EF2A10">
        <w:rPr>
          <w:rFonts w:ascii="Myriad Pro" w:hAnsi="Myriad Pro"/>
          <w:sz w:val="22"/>
          <w:szCs w:val="22"/>
        </w:rPr>
        <w:t>Hyytiälä</w:t>
      </w:r>
      <w:proofErr w:type="spellEnd"/>
      <w:r w:rsidRPr="00EF2A10">
        <w:rPr>
          <w:rFonts w:ascii="Myriad Pro" w:hAnsi="Myriad Pro"/>
          <w:sz w:val="22"/>
          <w:szCs w:val="22"/>
        </w:rPr>
        <w:t>, Finland, in Figure S1</w:t>
      </w:r>
      <w:r w:rsidR="002C6F7E">
        <w:rPr>
          <w:rFonts w:ascii="Myriad Pro" w:hAnsi="Myriad Pro"/>
          <w:sz w:val="22"/>
          <w:szCs w:val="22"/>
        </w:rPr>
        <w:t>1</w:t>
      </w:r>
      <w:r w:rsidRPr="00EF2A10">
        <w:rPr>
          <w:rFonts w:ascii="Myriad Pro" w:hAnsi="Myriad Pro"/>
          <w:sz w:val="22"/>
          <w:szCs w:val="22"/>
        </w:rPr>
        <w:t>. Average acetate CIMS organic acid sensitivities are listed in Table S1, and linear best fits and correlation coefficients for Figure 3 are listed in Table S2.</w:t>
      </w:r>
    </w:p>
    <w:p w14:paraId="667D8CA8" w14:textId="6AB66BCD" w:rsidR="00015F74" w:rsidRPr="005314B5" w:rsidRDefault="00D60BB0" w:rsidP="00B9440A">
      <w:pPr>
        <w:pStyle w:val="SMHeading"/>
        <w:rPr>
          <w:rFonts w:ascii="Myriad Pro" w:hAnsi="Myriad Pro"/>
          <w:sz w:val="22"/>
          <w:szCs w:val="22"/>
        </w:rPr>
      </w:pPr>
      <w:r>
        <w:rPr>
          <w:rFonts w:ascii="Myriad Pro" w:hAnsi="Myriad Pro"/>
          <w:sz w:val="22"/>
          <w:szCs w:val="22"/>
        </w:rPr>
        <w:t>S1.</w:t>
      </w:r>
      <w:r w:rsidR="00DA5239">
        <w:rPr>
          <w:rFonts w:ascii="Myriad Pro" w:hAnsi="Myriad Pro"/>
          <w:sz w:val="22"/>
          <w:szCs w:val="22"/>
        </w:rPr>
        <w:t xml:space="preserve"> Eddy flux</w:t>
      </w:r>
    </w:p>
    <w:p w14:paraId="0F723DFA" w14:textId="77777777" w:rsidR="00DA5239" w:rsidRPr="00EF2A10" w:rsidRDefault="00DA5239" w:rsidP="00DA5239">
      <w:pPr>
        <w:pStyle w:val="Heading-Main"/>
        <w:ind w:firstLine="360"/>
        <w:rPr>
          <w:rFonts w:ascii="Myriad Pro" w:hAnsi="Myriad Pro"/>
          <w:b w:val="0"/>
          <w:bCs w:val="0"/>
          <w:sz w:val="22"/>
          <w:szCs w:val="22"/>
        </w:rPr>
      </w:pPr>
      <w:r w:rsidRPr="00EF2A10">
        <w:rPr>
          <w:rFonts w:ascii="Myriad Pro" w:hAnsi="Myriad Pro"/>
          <w:b w:val="0"/>
          <w:bCs w:val="0"/>
          <w:sz w:val="22"/>
          <w:szCs w:val="22"/>
        </w:rPr>
        <w:t>We calculate the quasi-continuous flux (</w:t>
      </w:r>
      <w:r w:rsidRPr="00EF2A10">
        <w:rPr>
          <w:rFonts w:ascii="Myriad Pro" w:hAnsi="Myriad Pro"/>
          <w:b w:val="0"/>
          <w:bCs w:val="0"/>
          <w:i/>
          <w:iCs/>
          <w:sz w:val="22"/>
          <w:szCs w:val="22"/>
        </w:rPr>
        <w:t>F</w:t>
      </w:r>
      <w:r w:rsidRPr="00EF2A10">
        <w:rPr>
          <w:rFonts w:ascii="Myriad Pro" w:hAnsi="Myriad Pro"/>
          <w:b w:val="0"/>
          <w:bCs w:val="0"/>
          <w:sz w:val="22"/>
          <w:szCs w:val="22"/>
        </w:rPr>
        <w:t>) as the averaged product of the instantaneous deviations of the vertical wind speed (</w:t>
      </w:r>
      <w:r w:rsidRPr="00EF2A10">
        <w:rPr>
          <w:rFonts w:ascii="Myriad Pro" w:hAnsi="Myriad Pro"/>
          <w:b w:val="0"/>
          <w:bCs w:val="0"/>
          <w:i/>
          <w:iCs/>
          <w:sz w:val="22"/>
          <w:szCs w:val="22"/>
        </w:rPr>
        <w:t>w’</w:t>
      </w:r>
      <w:r w:rsidRPr="00EF2A10">
        <w:rPr>
          <w:rFonts w:ascii="Myriad Pro" w:hAnsi="Myriad Pro"/>
          <w:b w:val="0"/>
          <w:bCs w:val="0"/>
          <w:sz w:val="22"/>
          <w:szCs w:val="22"/>
        </w:rPr>
        <w:t>)</w:t>
      </w:r>
      <w:r w:rsidRPr="00EF2A10">
        <w:rPr>
          <w:rFonts w:ascii="Myriad Pro" w:hAnsi="Myriad Pro"/>
          <w:b w:val="0"/>
          <w:bCs w:val="0"/>
          <w:i/>
          <w:iCs/>
          <w:sz w:val="22"/>
          <w:szCs w:val="22"/>
        </w:rPr>
        <w:t xml:space="preserve"> </w:t>
      </w:r>
      <w:r w:rsidRPr="00EF2A10">
        <w:rPr>
          <w:rFonts w:ascii="Myriad Pro" w:hAnsi="Myriad Pro"/>
          <w:b w:val="0"/>
          <w:bCs w:val="0"/>
          <w:sz w:val="22"/>
          <w:szCs w:val="22"/>
        </w:rPr>
        <w:t>and the acid mixing ratio (</w:t>
      </w:r>
      <w:r w:rsidRPr="00EF2A10">
        <w:rPr>
          <w:rFonts w:ascii="Myriad Pro" w:hAnsi="Myriad Pro"/>
          <w:b w:val="0"/>
          <w:bCs w:val="0"/>
          <w:i/>
          <w:iCs/>
          <w:sz w:val="22"/>
          <w:szCs w:val="22"/>
        </w:rPr>
        <w:t>C’</w:t>
      </w:r>
      <w:r w:rsidRPr="00EF2A10">
        <w:rPr>
          <w:rFonts w:ascii="Myriad Pro" w:hAnsi="Myriad Pro"/>
          <w:b w:val="0"/>
          <w:bCs w:val="0"/>
          <w:sz w:val="22"/>
          <w:szCs w:val="22"/>
        </w:rPr>
        <w:t>) from their 30-minute means.</w:t>
      </w:r>
    </w:p>
    <w:p w14:paraId="2CC05C37" w14:textId="51606DC1" w:rsidR="00DA5239" w:rsidRPr="00EF2A10" w:rsidRDefault="00DA5239" w:rsidP="00DA5239">
      <w:pPr>
        <w:pStyle w:val="Heading-Main"/>
        <w:tabs>
          <w:tab w:val="right" w:pos="9000"/>
        </w:tabs>
        <w:rPr>
          <w:rFonts w:ascii="Myriad Pro" w:hAnsi="Myriad Pro"/>
          <w:b w:val="0"/>
          <w:bCs w:val="0"/>
          <w:sz w:val="22"/>
          <w:szCs w:val="22"/>
        </w:rPr>
      </w:pPr>
      <m:oMath>
        <m:r>
          <m:rPr>
            <m:sty m:val="bi"/>
          </m:rPr>
          <w:rPr>
            <w:rFonts w:ascii="Cambria Math" w:hAnsi="Cambria Math"/>
            <w:sz w:val="22"/>
            <w:szCs w:val="22"/>
          </w:rPr>
          <m:t xml:space="preserve">F= </m:t>
        </m:r>
        <m:acc>
          <m:accPr>
            <m:chr m:val="̅"/>
            <m:ctrlPr>
              <w:rPr>
                <w:rFonts w:ascii="Cambria Math" w:hAnsi="Cambria Math"/>
                <w:b w:val="0"/>
                <w:bCs w:val="0"/>
                <w:i/>
                <w:sz w:val="22"/>
                <w:szCs w:val="22"/>
              </w:rPr>
            </m:ctrlPr>
          </m:accPr>
          <m:e>
            <m:r>
              <m:rPr>
                <m:sty m:val="bi"/>
              </m:rPr>
              <w:rPr>
                <w:rFonts w:ascii="Cambria Math" w:hAnsi="Cambria Math"/>
                <w:sz w:val="22"/>
                <w:szCs w:val="22"/>
              </w:rPr>
              <m:t>w'C'</m:t>
            </m:r>
          </m:e>
        </m:acc>
      </m:oMath>
      <w:r w:rsidRPr="00EF2A10">
        <w:rPr>
          <w:rFonts w:ascii="Myriad Pro" w:hAnsi="Myriad Pro"/>
          <w:b w:val="0"/>
          <w:bCs w:val="0"/>
          <w:sz w:val="22"/>
          <w:szCs w:val="22"/>
        </w:rPr>
        <w:tab/>
        <w:t>(</w:t>
      </w:r>
      <w:r w:rsidR="00A8217C">
        <w:rPr>
          <w:rFonts w:ascii="Myriad Pro" w:hAnsi="Myriad Pro"/>
          <w:b w:val="0"/>
          <w:bCs w:val="0"/>
          <w:sz w:val="22"/>
          <w:szCs w:val="22"/>
        </w:rPr>
        <w:t>S1</w:t>
      </w:r>
      <w:r w:rsidRPr="00EF2A10">
        <w:rPr>
          <w:rFonts w:ascii="Myriad Pro" w:hAnsi="Myriad Pro"/>
          <w:b w:val="0"/>
          <w:bCs w:val="0"/>
          <w:sz w:val="22"/>
          <w:szCs w:val="22"/>
        </w:rPr>
        <w:t>)</w:t>
      </w:r>
    </w:p>
    <w:p w14:paraId="6A9E6CE4" w14:textId="77777777" w:rsidR="00DA5239" w:rsidRPr="00EF2A10" w:rsidRDefault="00DA5239" w:rsidP="00DA5239">
      <w:pPr>
        <w:pStyle w:val="Heading-Main"/>
        <w:ind w:firstLine="360"/>
        <w:rPr>
          <w:rFonts w:ascii="Myriad Pro" w:hAnsi="Myriad Pro"/>
          <w:b w:val="0"/>
          <w:bCs w:val="0"/>
          <w:sz w:val="22"/>
          <w:szCs w:val="22"/>
        </w:rPr>
      </w:pPr>
      <w:r w:rsidRPr="00EF2A10">
        <w:rPr>
          <w:rFonts w:ascii="Myriad Pro" w:hAnsi="Myriad Pro"/>
          <w:b w:val="0"/>
          <w:bCs w:val="0"/>
          <w:sz w:val="22"/>
          <w:szCs w:val="22"/>
        </w:rPr>
        <w:t>The exchange velocity (</w:t>
      </w:r>
      <w:r w:rsidRPr="00EF2A10">
        <w:rPr>
          <w:rFonts w:ascii="Myriad Pro" w:hAnsi="Myriad Pro"/>
          <w:b w:val="0"/>
          <w:bCs w:val="0"/>
          <w:i/>
          <w:iCs/>
          <w:sz w:val="22"/>
          <w:szCs w:val="22"/>
        </w:rPr>
        <w:t>V</w:t>
      </w:r>
      <w:r w:rsidRPr="00EF2A10">
        <w:rPr>
          <w:rFonts w:ascii="Myriad Pro" w:hAnsi="Myriad Pro"/>
          <w:b w:val="0"/>
          <w:bCs w:val="0"/>
          <w:i/>
          <w:iCs/>
          <w:sz w:val="22"/>
          <w:szCs w:val="22"/>
          <w:vertAlign w:val="subscript"/>
        </w:rPr>
        <w:t>ex</w:t>
      </w:r>
      <w:r w:rsidRPr="00EF2A10">
        <w:rPr>
          <w:rFonts w:ascii="Myriad Pro" w:hAnsi="Myriad Pro"/>
          <w:b w:val="0"/>
          <w:bCs w:val="0"/>
          <w:sz w:val="22"/>
          <w:szCs w:val="22"/>
        </w:rPr>
        <w:t>) is the flux normalized by the mean mixing ratio (</w:t>
      </w:r>
      <m:oMath>
        <m:acc>
          <m:accPr>
            <m:chr m:val="̅"/>
            <m:ctrlPr>
              <w:rPr>
                <w:rFonts w:ascii="Cambria Math" w:hAnsi="Cambria Math"/>
                <w:b w:val="0"/>
                <w:bCs w:val="0"/>
                <w:i/>
                <w:iCs/>
                <w:sz w:val="22"/>
                <w:szCs w:val="22"/>
              </w:rPr>
            </m:ctrlPr>
          </m:accPr>
          <m:e>
            <m:r>
              <m:rPr>
                <m:sty m:val="bi"/>
              </m:rPr>
              <w:rPr>
                <w:rFonts w:ascii="Cambria Math" w:hAnsi="Cambria Math"/>
                <w:sz w:val="22"/>
                <w:szCs w:val="22"/>
              </w:rPr>
              <m:t>C</m:t>
            </m:r>
          </m:e>
        </m:acc>
      </m:oMath>
      <w:r w:rsidRPr="00EF2A10">
        <w:rPr>
          <w:rFonts w:ascii="Myriad Pro" w:hAnsi="Myriad Pro"/>
          <w:b w:val="0"/>
          <w:bCs w:val="0"/>
          <w:sz w:val="22"/>
          <w:szCs w:val="22"/>
        </w:rPr>
        <w:t xml:space="preserve">) and represents the rate at which trace gases move between the biosphere and atmosphere: </w:t>
      </w:r>
    </w:p>
    <w:p w14:paraId="5AC44889" w14:textId="38DC3E9A" w:rsidR="00DA5239" w:rsidRPr="00EF2A10" w:rsidRDefault="00543729" w:rsidP="00DA5239">
      <w:pPr>
        <w:pStyle w:val="Heading-Main"/>
        <w:tabs>
          <w:tab w:val="right" w:pos="9000"/>
        </w:tabs>
        <w:rPr>
          <w:rFonts w:ascii="Myriad Pro" w:hAnsi="Myriad Pro"/>
          <w:b w:val="0"/>
          <w:bCs w:val="0"/>
          <w:sz w:val="22"/>
          <w:szCs w:val="22"/>
        </w:rPr>
      </w:pPr>
      <m:oMath>
        <m:sSub>
          <m:sSubPr>
            <m:ctrlPr>
              <w:rPr>
                <w:rFonts w:ascii="Cambria Math" w:hAnsi="Cambria Math"/>
                <w:b w:val="0"/>
                <w:bCs w:val="0"/>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ex</m:t>
            </m:r>
          </m:sub>
        </m:sSub>
        <m:r>
          <m:rPr>
            <m:sty m:val="bi"/>
          </m:rPr>
          <w:rPr>
            <w:rFonts w:ascii="Cambria Math" w:hAnsi="Cambria Math"/>
            <w:sz w:val="22"/>
            <w:szCs w:val="22"/>
          </w:rPr>
          <m:t>=</m:t>
        </m:r>
        <m:f>
          <m:fPr>
            <m:ctrlPr>
              <w:rPr>
                <w:rFonts w:ascii="Cambria Math" w:hAnsi="Cambria Math"/>
                <w:b w:val="0"/>
                <w:bCs w:val="0"/>
                <w:i/>
                <w:sz w:val="22"/>
                <w:szCs w:val="22"/>
              </w:rPr>
            </m:ctrlPr>
          </m:fPr>
          <m:num>
            <m:r>
              <m:rPr>
                <m:sty m:val="bi"/>
              </m:rPr>
              <w:rPr>
                <w:rFonts w:ascii="Cambria Math" w:hAnsi="Cambria Math"/>
                <w:sz w:val="22"/>
                <w:szCs w:val="22"/>
              </w:rPr>
              <m:t>F</m:t>
            </m:r>
          </m:num>
          <m:den>
            <m:acc>
              <m:accPr>
                <m:chr m:val="̅"/>
                <m:ctrlPr>
                  <w:rPr>
                    <w:rFonts w:ascii="Cambria Math" w:hAnsi="Cambria Math"/>
                    <w:b w:val="0"/>
                    <w:bCs w:val="0"/>
                    <w:i/>
                    <w:sz w:val="22"/>
                    <w:szCs w:val="22"/>
                  </w:rPr>
                </m:ctrlPr>
              </m:accPr>
              <m:e>
                <m:r>
                  <m:rPr>
                    <m:sty m:val="bi"/>
                  </m:rPr>
                  <w:rPr>
                    <w:rFonts w:ascii="Cambria Math" w:hAnsi="Cambria Math"/>
                    <w:sz w:val="22"/>
                    <w:szCs w:val="22"/>
                  </w:rPr>
                  <m:t>C</m:t>
                </m:r>
              </m:e>
            </m:acc>
          </m:den>
        </m:f>
      </m:oMath>
      <w:r w:rsidR="00DA5239" w:rsidRPr="00EF2A10">
        <w:rPr>
          <w:rFonts w:ascii="Myriad Pro" w:hAnsi="Myriad Pro"/>
          <w:b w:val="0"/>
          <w:bCs w:val="0"/>
          <w:sz w:val="22"/>
          <w:szCs w:val="22"/>
        </w:rPr>
        <w:tab/>
        <w:t>(</w:t>
      </w:r>
      <w:r w:rsidR="00A8217C">
        <w:rPr>
          <w:rFonts w:ascii="Myriad Pro" w:hAnsi="Myriad Pro"/>
          <w:b w:val="0"/>
          <w:bCs w:val="0"/>
          <w:sz w:val="22"/>
          <w:szCs w:val="22"/>
        </w:rPr>
        <w:t>S2</w:t>
      </w:r>
      <w:r w:rsidR="00DA5239" w:rsidRPr="00EF2A10">
        <w:rPr>
          <w:rFonts w:ascii="Myriad Pro" w:hAnsi="Myriad Pro"/>
          <w:b w:val="0"/>
          <w:bCs w:val="0"/>
          <w:sz w:val="22"/>
          <w:szCs w:val="22"/>
        </w:rPr>
        <w:t>)</w:t>
      </w:r>
    </w:p>
    <w:p w14:paraId="371F8437" w14:textId="77777777" w:rsidR="00DA5239" w:rsidRPr="00EF2A10" w:rsidRDefault="00DA5239" w:rsidP="00DA5239">
      <w:pPr>
        <w:pStyle w:val="Heading-Main"/>
        <w:keepNext w:val="0"/>
        <w:rPr>
          <w:rFonts w:ascii="Myriad Pro" w:hAnsi="Myriad Pro"/>
          <w:b w:val="0"/>
          <w:bCs w:val="0"/>
          <w:sz w:val="22"/>
          <w:szCs w:val="22"/>
        </w:rPr>
      </w:pPr>
      <w:r w:rsidRPr="00EF2A10">
        <w:rPr>
          <w:rFonts w:ascii="Myriad Pro" w:hAnsi="Myriad Pro"/>
          <w:b w:val="0"/>
          <w:bCs w:val="0"/>
          <w:i/>
          <w:iCs/>
          <w:sz w:val="22"/>
          <w:szCs w:val="22"/>
        </w:rPr>
        <w:t>V</w:t>
      </w:r>
      <w:r w:rsidRPr="00EF2A10">
        <w:rPr>
          <w:rFonts w:ascii="Myriad Pro" w:hAnsi="Myriad Pro"/>
          <w:b w:val="0"/>
          <w:bCs w:val="0"/>
          <w:i/>
          <w:iCs/>
          <w:sz w:val="22"/>
          <w:szCs w:val="22"/>
          <w:vertAlign w:val="subscript"/>
        </w:rPr>
        <w:t>ex</w:t>
      </w:r>
      <w:r w:rsidRPr="00EF2A10">
        <w:rPr>
          <w:rFonts w:ascii="Myriad Pro" w:hAnsi="Myriad Pro"/>
          <w:b w:val="0"/>
          <w:bCs w:val="0"/>
          <w:i/>
          <w:iCs/>
          <w:sz w:val="22"/>
          <w:szCs w:val="22"/>
        </w:rPr>
        <w:t xml:space="preserve"> </w:t>
      </w:r>
      <w:r w:rsidRPr="00EF2A10">
        <w:rPr>
          <w:rFonts w:ascii="Myriad Pro" w:hAnsi="Myriad Pro"/>
          <w:b w:val="0"/>
          <w:bCs w:val="0"/>
          <w:iCs/>
          <w:sz w:val="22"/>
          <w:szCs w:val="22"/>
        </w:rPr>
        <w:t>enables us</w:t>
      </w:r>
      <w:r w:rsidRPr="00EF2A10">
        <w:rPr>
          <w:rFonts w:ascii="Myriad Pro" w:hAnsi="Myriad Pro"/>
          <w:b w:val="0"/>
          <w:bCs w:val="0"/>
          <w:sz w:val="22"/>
          <w:szCs w:val="22"/>
        </w:rPr>
        <w:t xml:space="preserve"> to compare fluxes across different measurement sites where ambient mixing ratios vary and accounts for the bidirectionality of organic acid fluxes. Positive exchanges (+</w:t>
      </w:r>
      <w:r w:rsidRPr="00EF2A10">
        <w:rPr>
          <w:rFonts w:ascii="Myriad Pro" w:hAnsi="Myriad Pro"/>
          <w:b w:val="0"/>
          <w:bCs w:val="0"/>
          <w:i/>
          <w:iCs/>
          <w:sz w:val="22"/>
          <w:szCs w:val="22"/>
        </w:rPr>
        <w:t>F</w:t>
      </w:r>
      <w:r w:rsidRPr="00EF2A10">
        <w:rPr>
          <w:rFonts w:ascii="Myriad Pro" w:hAnsi="Myriad Pro"/>
          <w:b w:val="0"/>
          <w:bCs w:val="0"/>
          <w:sz w:val="22"/>
          <w:szCs w:val="22"/>
        </w:rPr>
        <w:t xml:space="preserve"> and +</w:t>
      </w:r>
      <w:r w:rsidRPr="00EF2A10">
        <w:rPr>
          <w:rFonts w:ascii="Myriad Pro" w:hAnsi="Myriad Pro"/>
          <w:b w:val="0"/>
          <w:bCs w:val="0"/>
          <w:i/>
          <w:iCs/>
          <w:sz w:val="22"/>
          <w:szCs w:val="22"/>
        </w:rPr>
        <w:t>V</w:t>
      </w:r>
      <w:r w:rsidRPr="00EF2A10">
        <w:rPr>
          <w:rFonts w:ascii="Myriad Pro" w:hAnsi="Myriad Pro"/>
          <w:b w:val="0"/>
          <w:bCs w:val="0"/>
          <w:i/>
          <w:iCs/>
          <w:sz w:val="22"/>
          <w:szCs w:val="22"/>
          <w:vertAlign w:val="subscript"/>
        </w:rPr>
        <w:t>ex</w:t>
      </w:r>
      <w:r w:rsidRPr="00EF2A10">
        <w:rPr>
          <w:rFonts w:ascii="Myriad Pro" w:hAnsi="Myriad Pro"/>
          <w:b w:val="0"/>
          <w:bCs w:val="0"/>
          <w:sz w:val="22"/>
          <w:szCs w:val="22"/>
        </w:rPr>
        <w:t>) are upwards, away from ecosystem surfaces. Negative exchanges (-</w:t>
      </w:r>
      <w:r w:rsidRPr="00EF2A10">
        <w:rPr>
          <w:rFonts w:ascii="Myriad Pro" w:hAnsi="Myriad Pro"/>
          <w:b w:val="0"/>
          <w:bCs w:val="0"/>
          <w:i/>
          <w:iCs/>
          <w:sz w:val="22"/>
          <w:szCs w:val="22"/>
        </w:rPr>
        <w:t>F</w:t>
      </w:r>
      <w:r w:rsidRPr="00EF2A10">
        <w:rPr>
          <w:rFonts w:ascii="Myriad Pro" w:hAnsi="Myriad Pro"/>
          <w:b w:val="0"/>
          <w:bCs w:val="0"/>
          <w:sz w:val="22"/>
          <w:szCs w:val="22"/>
        </w:rPr>
        <w:t xml:space="preserve"> and -</w:t>
      </w:r>
      <w:r w:rsidRPr="00EF2A10">
        <w:rPr>
          <w:rFonts w:ascii="Myriad Pro" w:hAnsi="Myriad Pro"/>
          <w:b w:val="0"/>
          <w:bCs w:val="0"/>
          <w:i/>
          <w:iCs/>
          <w:sz w:val="22"/>
          <w:szCs w:val="22"/>
        </w:rPr>
        <w:t>V</w:t>
      </w:r>
      <w:r w:rsidRPr="00EF2A10">
        <w:rPr>
          <w:rFonts w:ascii="Myriad Pro" w:hAnsi="Myriad Pro"/>
          <w:b w:val="0"/>
          <w:bCs w:val="0"/>
          <w:i/>
          <w:iCs/>
          <w:sz w:val="22"/>
          <w:szCs w:val="22"/>
          <w:vertAlign w:val="subscript"/>
        </w:rPr>
        <w:t>ex</w:t>
      </w:r>
      <w:r w:rsidRPr="00EF2A10">
        <w:rPr>
          <w:rFonts w:ascii="Myriad Pro" w:hAnsi="Myriad Pro"/>
          <w:b w:val="0"/>
          <w:bCs w:val="0"/>
          <w:sz w:val="22"/>
          <w:szCs w:val="22"/>
        </w:rPr>
        <w:t>) represent downward fluxes from the atmosphere towards ecosystem surfaces.</w:t>
      </w:r>
    </w:p>
    <w:p w14:paraId="4F2000A8" w14:textId="77777777" w:rsidR="00DA5239" w:rsidRPr="00EF2A10" w:rsidRDefault="00DA5239" w:rsidP="00DA5239">
      <w:pPr>
        <w:pStyle w:val="Heading-Main"/>
        <w:ind w:firstLine="360"/>
        <w:rPr>
          <w:rFonts w:ascii="Myriad Pro" w:hAnsi="Myriad Pro"/>
          <w:b w:val="0"/>
          <w:bCs w:val="0"/>
          <w:sz w:val="22"/>
          <w:szCs w:val="22"/>
        </w:rPr>
      </w:pPr>
      <w:r w:rsidRPr="00EF2A10">
        <w:rPr>
          <w:rFonts w:ascii="Myriad Pro" w:hAnsi="Myriad Pro"/>
          <w:b w:val="0"/>
          <w:bCs w:val="0"/>
          <w:sz w:val="22"/>
          <w:szCs w:val="22"/>
        </w:rPr>
        <w:t>We filter the data to ensure that the vertical exchange is limited to local sources and sinks within the forest (~0.8 – 1.6 km</w:t>
      </w:r>
      <w:r w:rsidRPr="00EF2A10">
        <w:rPr>
          <w:rFonts w:ascii="Myriad Pro" w:hAnsi="Myriad Pro"/>
          <w:b w:val="0"/>
          <w:bCs w:val="0"/>
          <w:sz w:val="22"/>
          <w:szCs w:val="22"/>
          <w:vertAlign w:val="superscript"/>
        </w:rPr>
        <w:t xml:space="preserve">2 </w:t>
      </w:r>
      <w:r w:rsidRPr="00EF2A10">
        <w:rPr>
          <w:rFonts w:ascii="Myriad Pro" w:hAnsi="Myriad Pro"/>
          <w:b w:val="0"/>
          <w:bCs w:val="0"/>
          <w:sz w:val="22"/>
          <w:szCs w:val="22"/>
        </w:rPr>
        <w:t xml:space="preserve">fetch) and that assumptions of the eddy covariance technique are met </w:t>
      </w:r>
      <w:r w:rsidRPr="00EF2A10">
        <w:rPr>
          <w:rFonts w:ascii="Myriad Pro" w:hAnsi="Myriad Pro"/>
          <w:b w:val="0"/>
          <w:bCs w:val="0"/>
          <w:sz w:val="22"/>
          <w:szCs w:val="22"/>
        </w:rPr>
        <w:fldChar w:fldCharType="begin"/>
      </w:r>
      <w:r w:rsidRPr="00EF2A10">
        <w:rPr>
          <w:rFonts w:ascii="Myriad Pro" w:hAnsi="Myriad Pro"/>
          <w:b w:val="0"/>
          <w:bCs w:val="0"/>
          <w:sz w:val="22"/>
          <w:szCs w:val="22"/>
        </w:rPr>
        <w:instrText xml:space="preserve"> ADDIN ZOTERO_ITEM CSL_CITATION {"citationID":"EmIhLaLy","properties":{"formattedCitation":"(Fulgham et al., 2019)","plainCitation":"(Fulgham et al., 2019)","noteIndex":0},"citationItems":[{"id":1293,"uris":["http://zotero.org/users/2769015/items/YUWFC5VR"],"uri":["http://zotero.org/users/2769015/items/YUWFC5VR"],"itemData":{"id":1293,"type":"article-journal","abstract":"Forests can be both sources and sinks of volatile organic compounds to the atmosphere. The role that forests play in controlling organic acid concentrations remains poorly understood with multiple model-measurement comparisons reporting missing sources of formic acid. We conducted seasonal measurements of concentrations and eddy covariance fluxes of oxidized volatile organic compounds over a ponderosa pine forest in Colorado in 2016. Diel concentration profiles show mid-day maxima, consistent with previous studies. We observed persistent but variable upward fluxes of formic, propionic, methacrylic, and butyric acids from the pine forest during all seasons. Formic acid concentrations and fluxes were </w:instrText>
      </w:r>
      <w:r w:rsidRPr="00EF2A10">
        <w:rPr>
          <w:rFonts w:ascii="Cambria Math" w:hAnsi="Cambria Math" w:cs="Cambria Math"/>
          <w:b w:val="0"/>
          <w:bCs w:val="0"/>
          <w:sz w:val="22"/>
          <w:szCs w:val="22"/>
        </w:rPr>
        <w:instrText>∼</w:instrText>
      </w:r>
      <w:r w:rsidRPr="00EF2A10">
        <w:rPr>
          <w:rFonts w:ascii="Myriad Pro" w:hAnsi="Myriad Pro"/>
          <w:b w:val="0"/>
          <w:bCs w:val="0"/>
          <w:sz w:val="22"/>
          <w:szCs w:val="22"/>
        </w:rPr>
        <w:instrText xml:space="preserve">10 times higher than the other organic acids with daytime exchange velocities on the order of 4–6 cm s–1. The other organic acids had similar exchange velocities as formic acid in the warmer seasons and much smaller exchange velocities in the colder seasons. The upward fluxes for all organic acids increased exponentially with temperature. The observed net upward flux demonstrated that dry deposition was smaller than ecosystem sources of the organic acids. Primary emissions from soil and pine trees were small, in contrast to estimates of in-canopy chemistry. Our study points to an underestimated ecosystem source of organic acids (e.g., in-canopy chemistry of large or multifunctional terpenoids), an overestimated dry deposition sink (potentially due to the arid environment), and/or an unresolved sink of organic acids in the upper boundary layer. Forests are potentially large sources of atmospheric organic acids in warmer seasons but further investigation into dry deposition mechanisms and in-canopy chemistry is warranted.","container-title":"ACS Earth and Space Chemistry","DOI":"10.1021/acsearthspacechem.9b00182","journalAbbreviation":"ACS Earth Space Chem.","source":"ACS Publications","title":"Seasonal Flux Measurements over a Colorado Pine Forest Demonstrate a Persistent Source of Organic Acids","URL":"https://doi.org/10.1021/acsearthspacechem.9b00182","author":[{"family":"Fulgham","given":"S. Ryan"},{"family":"Brophy","given":"Patrick"},{"family":"Link","given":"Michael"},{"family":"Ortega","given":"John"},{"family":"Pollack","given":"Ilana"},{"family":"Farmer","given":"Delphine K."}],"accessed":{"date-parts":[["2019",9,4]]},"issued":{"date-parts":[["2019",7,29]]}}}],"schema":"https://github.com/citation-style-language/schema/raw/master/csl-citation.json"} </w:instrText>
      </w:r>
      <w:r w:rsidRPr="00EF2A10">
        <w:rPr>
          <w:rFonts w:ascii="Myriad Pro" w:hAnsi="Myriad Pro"/>
          <w:b w:val="0"/>
          <w:bCs w:val="0"/>
          <w:sz w:val="22"/>
          <w:szCs w:val="22"/>
        </w:rPr>
        <w:fldChar w:fldCharType="separate"/>
      </w:r>
      <w:r w:rsidRPr="00EF2A10">
        <w:rPr>
          <w:rFonts w:ascii="Myriad Pro" w:hAnsi="Myriad Pro"/>
          <w:b w:val="0"/>
          <w:bCs w:val="0"/>
          <w:sz w:val="22"/>
          <w:szCs w:val="22"/>
        </w:rPr>
        <w:t>(Fulgham et al., 2019)</w:t>
      </w:r>
      <w:r w:rsidRPr="00EF2A10">
        <w:rPr>
          <w:rFonts w:ascii="Myriad Pro" w:hAnsi="Myriad Pro"/>
          <w:b w:val="0"/>
          <w:bCs w:val="0"/>
          <w:sz w:val="22"/>
          <w:szCs w:val="22"/>
        </w:rPr>
        <w:fldChar w:fldCharType="end"/>
      </w:r>
      <w:r w:rsidRPr="00EF2A10">
        <w:rPr>
          <w:rFonts w:ascii="Myriad Pro" w:hAnsi="Myriad Pro"/>
          <w:b w:val="0"/>
          <w:bCs w:val="0"/>
          <w:sz w:val="22"/>
          <w:szCs w:val="22"/>
        </w:rPr>
        <w:t>.</w:t>
      </w:r>
    </w:p>
    <w:p w14:paraId="19C5FC3C" w14:textId="77777777" w:rsidR="00DA5239" w:rsidRPr="00EF2A10" w:rsidRDefault="00DA5239" w:rsidP="00DA5239">
      <w:pPr>
        <w:ind w:firstLine="360"/>
        <w:rPr>
          <w:rFonts w:ascii="Myriad Pro" w:hAnsi="Myriad Pro"/>
          <w:sz w:val="22"/>
          <w:szCs w:val="22"/>
        </w:rPr>
      </w:pPr>
      <w:r w:rsidRPr="00EF2A10">
        <w:rPr>
          <w:rFonts w:ascii="Myriad Pro" w:hAnsi="Myriad Pro"/>
          <w:sz w:val="22"/>
          <w:szCs w:val="22"/>
        </w:rPr>
        <w:t xml:space="preserve">We distinguish flux periods that are “wet” versus “dry” following </w:t>
      </w:r>
      <w:proofErr w:type="spellStart"/>
      <w:r w:rsidRPr="00EF2A10">
        <w:rPr>
          <w:rFonts w:ascii="Myriad Pro" w:hAnsi="Myriad Pro"/>
          <w:sz w:val="22"/>
          <w:szCs w:val="22"/>
        </w:rPr>
        <w:t>Altimir</w:t>
      </w:r>
      <w:proofErr w:type="spellEnd"/>
      <w:r w:rsidRPr="00EF2A10">
        <w:rPr>
          <w:rFonts w:ascii="Myriad Pro" w:hAnsi="Myriad Pro"/>
          <w:sz w:val="22"/>
          <w:szCs w:val="22"/>
        </w:rPr>
        <w:t xml:space="preserve"> et al. </w:t>
      </w:r>
      <w:r w:rsidRPr="00EF2A10">
        <w:rPr>
          <w:rFonts w:ascii="Myriad Pro" w:hAnsi="Myriad Pro"/>
          <w:sz w:val="22"/>
          <w:szCs w:val="22"/>
        </w:rPr>
        <w:fldChar w:fldCharType="begin"/>
      </w:r>
      <w:r w:rsidRPr="00EF2A10">
        <w:rPr>
          <w:rFonts w:ascii="Myriad Pro" w:hAnsi="Myriad Pro"/>
          <w:sz w:val="22"/>
          <w:szCs w:val="22"/>
        </w:rPr>
        <w:instrText xml:space="preserve"> ADDIN ZOTERO_ITEM CSL_CITATION {"citationID":"n9uFLbjj","properties":{"formattedCitation":"(Altimir et al., 2006)","plainCitation":"(Altimir et al., 2006)","dontUpdate":true,"noteIndex":0},"citationItems":[{"id":1263,"uris":["http://zotero.org/users/2769015/items/JJLXTG8Z"],"uri":["http://zotero.org/users/2769015/items/JJLXTG8Z"],"itemData":{"id":1263,"type":"article-journal","abstract":"&lt;p&gt;&lt;strong&gt;Abstract.&lt;/strong&gt; This paper addresses the potential role of surface wetness in ozone deposition to plant foliage. We studied Scots pine foliage in field conditions at the SMEARII field measurement station in Finland. We used a combination of data from flux measurement at the shoot (enclosure) and canopy scale (eddy covariance), information from foliage surface wetness sensors, and a broad array of ancillary measurements such as radiation, precipitation, temperature, and relative humidity. Environmental conditions were defined as moist during rain or high relative humidity and during the subsequent twelve hours from such events, circumstances that were frequent at this boreal site. From the measured fluxes we estimated the ozone conductance using it as the expression of the strength of ozone removal surface sink or total deposition. Further, we estimated the stomatal contribution and the remaining deposition was interpreted and analysed as the non-stomatal sink. &lt;P style=\"line-height: 20px;\"&gt; The combined time series of measurements showed that both shoot and canopy-scale ozone total deposition were enhanced when moist conditions occurred. On average, the estimated stomatal deposition accounted for half of the measured removal at the shoot scale and one third at the canopy scale. However, during dry conditions the estimated stomatal uptake predicted the behaviour of the measured deposition, but during moist conditions there was disagreement. The estimated non-stomatal sink was analysed against several environmental factors and the clearest connection was found with ambient relative humidity. The relationship disappeared under 70% relative humidity, a threshold that coincides with the value at which surface moisture gathers at the foliage surface according to the leaf surface wetness measurements. This suggests the non-stomatal ozone sink on the foliage to be modulated by the surface films. We attempted to extract such potential modulation with the estimated film formation via the theoretical expression of adsorption. Whereas this procedure could predict the behaviour of the non-stomatal sink, it implied a chemical sink that was not accountable as simple ozone decomposition. We discuss the existence of other mechanisms whose relevance in the removal of ozone needs to be clarified, in particular: a significant nocturnal stomatal aperture neglected in the estimations, and a potentially large chemical sink offered by reactive biogenic organic volatile compounds.&lt;/p&gt;","container-title":"Biogeosciences","DOI":"https://doi.org/10.5194/bg-3-209-2006","ISSN":"1726-4170","issue":"2","language":"English","page":"209-228","source":"www.biogeosciences.net","title":"Foliage surface ozone deposition: a role for surface moisture?","title-short":"Foliage surface ozone deposition","volume":"3","author":[{"family":"Altimir","given":"N."},{"family":"Kolari","given":"P."},{"family":"Tuovinen","given":"J.-P."},{"family":"Vesala","given":"T."},{"family":"Bäck","given":"J."},{"family":"Suni","given":"T."},{"family":"Kulmala","given":"M."},{"family":"Hari","given":"P."}],"issued":{"date-parts":[["2006",5,15]]}}}],"schema":"https://github.com/citation-style-language/schema/raw/master/csl-citation.json"} </w:instrText>
      </w:r>
      <w:r w:rsidRPr="00EF2A10">
        <w:rPr>
          <w:rFonts w:ascii="Myriad Pro" w:hAnsi="Myriad Pro"/>
          <w:sz w:val="22"/>
          <w:szCs w:val="22"/>
        </w:rPr>
        <w:fldChar w:fldCharType="separate"/>
      </w:r>
      <w:r w:rsidRPr="00EF2A10">
        <w:rPr>
          <w:rFonts w:ascii="Myriad Pro" w:hAnsi="Myriad Pro"/>
          <w:sz w:val="22"/>
          <w:szCs w:val="22"/>
        </w:rPr>
        <w:t>(2006)</w:t>
      </w:r>
      <w:r w:rsidRPr="00EF2A10">
        <w:rPr>
          <w:rFonts w:ascii="Myriad Pro" w:hAnsi="Myriad Pro"/>
          <w:sz w:val="22"/>
          <w:szCs w:val="22"/>
        </w:rPr>
        <w:fldChar w:fldCharType="end"/>
      </w:r>
      <w:r w:rsidRPr="00EF2A10">
        <w:rPr>
          <w:rFonts w:ascii="Myriad Pro" w:hAnsi="Myriad Pro"/>
          <w:sz w:val="22"/>
          <w:szCs w:val="22"/>
        </w:rPr>
        <w:t>. A flux period is considered “wet” if: (1) precipitation exceeds 0 cm hr</w:t>
      </w:r>
      <w:r w:rsidRPr="00EF2A10">
        <w:rPr>
          <w:rFonts w:ascii="Myriad Pro" w:hAnsi="Myriad Pro"/>
          <w:sz w:val="22"/>
          <w:szCs w:val="22"/>
          <w:vertAlign w:val="superscript"/>
        </w:rPr>
        <w:t>-1</w:t>
      </w:r>
      <w:r w:rsidRPr="00EF2A10">
        <w:rPr>
          <w:rFonts w:ascii="Myriad Pro" w:hAnsi="Myriad Pro"/>
          <w:sz w:val="22"/>
          <w:szCs w:val="22"/>
        </w:rPr>
        <w:t xml:space="preserve">, (2) relative humidity (RH) exceeds 70%, or (3) either condition 1 or 2 was met within the previous 12 hours. All other flux periods are “dry”. We exclude flux periods with temperatures at or below 10°C, in which condensed water could occur as ice or snow. We account for differences in air temperature and leaf surface temperature by choosing a freezing temperature threshold higher than 0°C. Of 1073 flux periods above freezing temperatures during </w:t>
      </w:r>
      <w:proofErr w:type="spellStart"/>
      <w:r w:rsidRPr="00EF2A10">
        <w:rPr>
          <w:rFonts w:ascii="Myriad Pro" w:hAnsi="Myriad Pro"/>
          <w:sz w:val="22"/>
          <w:szCs w:val="22"/>
        </w:rPr>
        <w:t>SPiFFY</w:t>
      </w:r>
      <w:proofErr w:type="spellEnd"/>
      <w:r w:rsidRPr="00EF2A10">
        <w:rPr>
          <w:rFonts w:ascii="Myriad Pro" w:hAnsi="Myriad Pro"/>
          <w:sz w:val="22"/>
          <w:szCs w:val="22"/>
        </w:rPr>
        <w:t>, 329 (31%) were wet and 744 (69%) were dry.</w:t>
      </w:r>
    </w:p>
    <w:p w14:paraId="3BDF5F04" w14:textId="77777777" w:rsidR="00B3147F" w:rsidRPr="00CE6EAA" w:rsidRDefault="00B3147F" w:rsidP="00EF25A3">
      <w:pPr>
        <w:pStyle w:val="SMText"/>
        <w:ind w:firstLine="0"/>
        <w:rPr>
          <w:rFonts w:ascii="Myriad Pro" w:hAnsi="Myriad Pro"/>
          <w:sz w:val="22"/>
          <w:szCs w:val="22"/>
        </w:rPr>
      </w:pPr>
    </w:p>
    <w:p w14:paraId="61606618" w14:textId="4A399550" w:rsidR="00DA5239" w:rsidRPr="00DA5239" w:rsidRDefault="00DA5239" w:rsidP="00EF25A3">
      <w:pPr>
        <w:pStyle w:val="SMText"/>
        <w:ind w:firstLine="0"/>
        <w:rPr>
          <w:rFonts w:ascii="Myriad Pro" w:hAnsi="Myriad Pro"/>
          <w:b/>
          <w:iCs/>
          <w:sz w:val="22"/>
          <w:szCs w:val="22"/>
        </w:rPr>
      </w:pPr>
      <w:r w:rsidRPr="00DA5239">
        <w:rPr>
          <w:rFonts w:ascii="Myriad Pro" w:hAnsi="Myriad Pro"/>
          <w:b/>
          <w:iCs/>
          <w:sz w:val="22"/>
          <w:szCs w:val="22"/>
        </w:rPr>
        <w:t>S</w:t>
      </w:r>
      <w:r>
        <w:rPr>
          <w:rFonts w:ascii="Myriad Pro" w:hAnsi="Myriad Pro"/>
          <w:b/>
          <w:iCs/>
          <w:sz w:val="22"/>
          <w:szCs w:val="22"/>
        </w:rPr>
        <w:t>2. Volumetric phase ratios</w:t>
      </w:r>
    </w:p>
    <w:p w14:paraId="55D96279" w14:textId="6F64AE39" w:rsidR="00DA5239" w:rsidRPr="00EF2A10" w:rsidRDefault="00DA5239" w:rsidP="00DA5239">
      <w:pPr>
        <w:pStyle w:val="Heading-Main"/>
        <w:keepNext w:val="0"/>
        <w:tabs>
          <w:tab w:val="right" w:pos="9000"/>
        </w:tabs>
        <w:ind w:firstLine="360"/>
        <w:rPr>
          <w:rFonts w:ascii="Myriad Pro" w:hAnsi="Myriad Pro"/>
          <w:b w:val="0"/>
          <w:bCs w:val="0"/>
          <w:i/>
          <w:iCs/>
          <w:sz w:val="22"/>
          <w:szCs w:val="22"/>
        </w:rPr>
      </w:pPr>
      <w:r w:rsidRPr="00EF2A10">
        <w:rPr>
          <w:rFonts w:ascii="Myriad Pro" w:hAnsi="Myriad Pro"/>
          <w:b w:val="0"/>
          <w:bCs w:val="0"/>
          <w:sz w:val="22"/>
          <w:szCs w:val="22"/>
        </w:rPr>
        <w:t>Volumetric phase ratios are calculated assuming evenly distributed, 50 nm thick organic (</w:t>
      </w:r>
      <w:proofErr w:type="spellStart"/>
      <w:r w:rsidRPr="00EF2A10">
        <w:rPr>
          <w:rFonts w:ascii="Myriad Pro" w:hAnsi="Myriad Pro"/>
          <w:b w:val="0"/>
          <w:bCs w:val="0"/>
          <w:i/>
          <w:iCs/>
          <w:sz w:val="22"/>
          <w:szCs w:val="22"/>
        </w:rPr>
        <w:t>X</w:t>
      </w:r>
      <w:r w:rsidRPr="00EF2A10">
        <w:rPr>
          <w:rFonts w:ascii="Myriad Pro" w:hAnsi="Myriad Pro"/>
          <w:b w:val="0"/>
          <w:bCs w:val="0"/>
          <w:i/>
          <w:iCs/>
          <w:sz w:val="22"/>
          <w:szCs w:val="22"/>
          <w:vertAlign w:val="subscript"/>
        </w:rPr>
        <w:t>org</w:t>
      </w:r>
      <w:proofErr w:type="spellEnd"/>
      <w:r w:rsidRPr="00EF2A10">
        <w:rPr>
          <w:rFonts w:ascii="Myriad Pro" w:hAnsi="Myriad Pro"/>
          <w:b w:val="0"/>
          <w:bCs w:val="0"/>
          <w:sz w:val="22"/>
          <w:szCs w:val="22"/>
        </w:rPr>
        <w:t>) and water (</w:t>
      </w:r>
      <w:proofErr w:type="spellStart"/>
      <w:r w:rsidRPr="00EF2A10">
        <w:rPr>
          <w:rFonts w:ascii="Myriad Pro" w:hAnsi="Myriad Pro"/>
          <w:b w:val="0"/>
          <w:bCs w:val="0"/>
          <w:i/>
          <w:iCs/>
          <w:sz w:val="22"/>
          <w:szCs w:val="22"/>
        </w:rPr>
        <w:t>X</w:t>
      </w:r>
      <w:r w:rsidRPr="00EF2A10">
        <w:rPr>
          <w:rFonts w:ascii="Myriad Pro" w:hAnsi="Myriad Pro"/>
          <w:b w:val="0"/>
          <w:bCs w:val="0"/>
          <w:i/>
          <w:iCs/>
          <w:sz w:val="22"/>
          <w:szCs w:val="22"/>
          <w:vertAlign w:val="subscript"/>
        </w:rPr>
        <w:t>w</w:t>
      </w:r>
      <w:proofErr w:type="spellEnd"/>
      <w:r w:rsidRPr="00EF2A10">
        <w:rPr>
          <w:rFonts w:ascii="Myriad Pro" w:hAnsi="Myriad Pro"/>
          <w:b w:val="0"/>
          <w:bCs w:val="0"/>
          <w:sz w:val="22"/>
          <w:szCs w:val="22"/>
        </w:rPr>
        <w:t xml:space="preserve">) films on canopy surfaces. We assume a surface to volume </w:t>
      </w:r>
      <w:r w:rsidRPr="00EF2A10">
        <w:rPr>
          <w:rFonts w:ascii="Myriad Pro" w:hAnsi="Myriad Pro"/>
          <w:b w:val="0"/>
          <w:bCs w:val="0"/>
          <w:sz w:val="22"/>
          <w:szCs w:val="22"/>
        </w:rPr>
        <w:lastRenderedPageBreak/>
        <w:t>ratio (</w:t>
      </w:r>
      <m:oMath>
        <m:f>
          <m:fPr>
            <m:ctrlPr>
              <w:rPr>
                <w:rFonts w:ascii="Cambria Math" w:hAnsi="Cambria Math"/>
                <w:b w:val="0"/>
                <w:bCs w:val="0"/>
                <w:i/>
                <w:iCs/>
                <w:sz w:val="22"/>
                <w:szCs w:val="22"/>
              </w:rPr>
            </m:ctrlPr>
          </m:fPr>
          <m:num>
            <m:r>
              <m:rPr>
                <m:sty m:val="bi"/>
              </m:rPr>
              <w:rPr>
                <w:rFonts w:ascii="Cambria Math" w:hAnsi="Cambria Math"/>
                <w:sz w:val="22"/>
                <w:szCs w:val="22"/>
              </w:rPr>
              <m:t>S</m:t>
            </m:r>
          </m:num>
          <m:den>
            <m:r>
              <m:rPr>
                <m:sty m:val="bi"/>
              </m:rPr>
              <w:rPr>
                <w:rFonts w:ascii="Cambria Math" w:hAnsi="Cambria Math"/>
                <w:sz w:val="22"/>
                <w:szCs w:val="22"/>
              </w:rPr>
              <m:t>V</m:t>
            </m:r>
          </m:den>
        </m:f>
      </m:oMath>
      <w:r w:rsidRPr="00EF2A10">
        <w:rPr>
          <w:rFonts w:ascii="Myriad Pro" w:hAnsi="Myriad Pro"/>
          <w:b w:val="0"/>
          <w:bCs w:val="0"/>
          <w:iCs/>
          <w:sz w:val="22"/>
          <w:szCs w:val="22"/>
        </w:rPr>
        <w:t>) of 0.0713 m</w:t>
      </w:r>
      <w:r w:rsidRPr="00EF2A10">
        <w:rPr>
          <w:rFonts w:ascii="Myriad Pro" w:hAnsi="Myriad Pro"/>
          <w:b w:val="0"/>
          <w:bCs w:val="0"/>
          <w:iCs/>
          <w:sz w:val="22"/>
          <w:szCs w:val="22"/>
          <w:vertAlign w:val="superscript"/>
        </w:rPr>
        <w:t>-1</w:t>
      </w:r>
      <w:r w:rsidRPr="00EF2A10">
        <w:rPr>
          <w:rFonts w:ascii="Myriad Pro" w:hAnsi="Myriad Pro"/>
          <w:b w:val="0"/>
          <w:bCs w:val="0"/>
          <w:iCs/>
          <w:sz w:val="22"/>
          <w:szCs w:val="22"/>
        </w:rPr>
        <w:t xml:space="preserve">. Fractional phase ratios of 99:1, 90:10, 50:50, 10:90, and 1:99 are calculated for the interface of each phase on the plot using the appropriate ratios of equations </w:t>
      </w:r>
      <w:r w:rsidR="00F16D4B">
        <w:rPr>
          <w:rFonts w:ascii="Myriad Pro" w:hAnsi="Myriad Pro"/>
          <w:b w:val="0"/>
          <w:bCs w:val="0"/>
          <w:iCs/>
          <w:sz w:val="22"/>
          <w:szCs w:val="22"/>
        </w:rPr>
        <w:t>1</w:t>
      </w:r>
      <w:r w:rsidRPr="00EF2A10">
        <w:rPr>
          <w:rFonts w:ascii="Myriad Pro" w:hAnsi="Myriad Pro"/>
          <w:b w:val="0"/>
          <w:bCs w:val="0"/>
          <w:iCs/>
          <w:sz w:val="22"/>
          <w:szCs w:val="22"/>
        </w:rPr>
        <w:t xml:space="preserve"> – </w:t>
      </w:r>
      <w:r w:rsidR="00F16D4B">
        <w:rPr>
          <w:rFonts w:ascii="Myriad Pro" w:hAnsi="Myriad Pro"/>
          <w:b w:val="0"/>
          <w:bCs w:val="0"/>
          <w:iCs/>
          <w:sz w:val="22"/>
          <w:szCs w:val="22"/>
        </w:rPr>
        <w:t>3</w:t>
      </w:r>
      <w:r w:rsidR="00EF2A10">
        <w:rPr>
          <w:rFonts w:ascii="Myriad Pro" w:hAnsi="Myriad Pro"/>
          <w:b w:val="0"/>
          <w:bCs w:val="0"/>
          <w:iCs/>
          <w:sz w:val="22"/>
          <w:szCs w:val="22"/>
        </w:rPr>
        <w:t xml:space="preserve"> in the main text</w:t>
      </w:r>
      <w:r w:rsidRPr="00EF2A10">
        <w:rPr>
          <w:rFonts w:ascii="Myriad Pro" w:hAnsi="Myriad Pro"/>
          <w:b w:val="0"/>
          <w:bCs w:val="0"/>
          <w:iCs/>
          <w:sz w:val="22"/>
          <w:szCs w:val="22"/>
        </w:rPr>
        <w:t>.</w:t>
      </w:r>
    </w:p>
    <w:p w14:paraId="0FA3B100" w14:textId="4D71D3AF" w:rsidR="00DA5239" w:rsidRPr="00EF2A10" w:rsidRDefault="00543729" w:rsidP="00DA5239">
      <w:pPr>
        <w:pStyle w:val="Heading-Main"/>
        <w:keepNext w:val="0"/>
        <w:tabs>
          <w:tab w:val="right" w:pos="9000"/>
        </w:tabs>
        <w:rPr>
          <w:rFonts w:ascii="Myriad Pro" w:hAnsi="Myriad Pro"/>
          <w:b w:val="0"/>
          <w:bCs w:val="0"/>
          <w:sz w:val="22"/>
          <w:szCs w:val="22"/>
        </w:rPr>
      </w:pPr>
      <m:oMath>
        <m:f>
          <m:fPr>
            <m:ctrlPr>
              <w:rPr>
                <w:rFonts w:ascii="Cambria Math" w:hAnsi="Cambria Math"/>
                <w:b w:val="0"/>
                <w:bCs w:val="0"/>
                <w:i/>
                <w:iCs/>
                <w:sz w:val="22"/>
                <w:szCs w:val="22"/>
              </w:rPr>
            </m:ctrlPr>
          </m:fPr>
          <m:num>
            <m:sSub>
              <m:sSubPr>
                <m:ctrlPr>
                  <w:rPr>
                    <w:rFonts w:ascii="Cambria Math" w:hAnsi="Cambria Math"/>
                    <w:b w:val="0"/>
                    <w:bCs w:val="0"/>
                    <w:i/>
                    <w:iCs/>
                    <w:sz w:val="22"/>
                    <w:szCs w:val="22"/>
                  </w:rPr>
                </m:ctrlPr>
              </m:sSubPr>
              <m:e>
                <m:r>
                  <m:rPr>
                    <m:sty m:val="bi"/>
                  </m:rPr>
                  <w:rPr>
                    <w:rFonts w:ascii="Cambria Math" w:hAnsi="Cambria Math"/>
                    <w:sz w:val="22"/>
                    <w:szCs w:val="22"/>
                  </w:rPr>
                  <m:t>V</m:t>
                </m:r>
              </m:e>
              <m:sub>
                <m:r>
                  <m:rPr>
                    <m:sty m:val="bi"/>
                  </m:rPr>
                  <w:rPr>
                    <w:rFonts w:ascii="Cambria Math" w:hAnsi="Cambria Math"/>
                    <w:sz w:val="22"/>
                    <w:szCs w:val="22"/>
                  </w:rPr>
                  <m:t>org</m:t>
                </m:r>
              </m:sub>
            </m:sSub>
          </m:num>
          <m:den>
            <m:sSub>
              <m:sSubPr>
                <m:ctrlPr>
                  <w:rPr>
                    <w:rFonts w:ascii="Cambria Math" w:hAnsi="Cambria Math"/>
                    <w:b w:val="0"/>
                    <w:bCs w:val="0"/>
                    <w:i/>
                    <w:iCs/>
                    <w:sz w:val="22"/>
                    <w:szCs w:val="22"/>
                  </w:rPr>
                </m:ctrlPr>
              </m:sSubPr>
              <m:e>
                <m:r>
                  <m:rPr>
                    <m:sty m:val="bi"/>
                  </m:rPr>
                  <w:rPr>
                    <w:rFonts w:ascii="Cambria Math" w:hAnsi="Cambria Math"/>
                    <w:sz w:val="22"/>
                    <w:szCs w:val="22"/>
                  </w:rPr>
                  <m:t>V</m:t>
                </m:r>
              </m:e>
              <m:sub>
                <m:r>
                  <m:rPr>
                    <m:sty m:val="bi"/>
                  </m:rPr>
                  <w:rPr>
                    <w:rFonts w:ascii="Cambria Math" w:hAnsi="Cambria Math"/>
                    <w:sz w:val="22"/>
                    <w:szCs w:val="22"/>
                  </w:rPr>
                  <m:t>gas</m:t>
                </m:r>
              </m:sub>
            </m:sSub>
          </m:den>
        </m:f>
        <m:r>
          <m:rPr>
            <m:sty m:val="bi"/>
          </m:rPr>
          <w:rPr>
            <w:rFonts w:ascii="Cambria Math" w:hAnsi="Cambria Math"/>
            <w:sz w:val="22"/>
            <w:szCs w:val="22"/>
          </w:rPr>
          <m:t>=</m:t>
        </m:r>
        <m:sSub>
          <m:sSubPr>
            <m:ctrlPr>
              <w:rPr>
                <w:rFonts w:ascii="Cambria Math" w:hAnsi="Cambria Math"/>
                <w:b w:val="0"/>
                <w:bCs w:val="0"/>
                <w:i/>
                <w:iCs/>
                <w:sz w:val="22"/>
                <w:szCs w:val="22"/>
              </w:rPr>
            </m:ctrlPr>
          </m:sSubPr>
          <m:e>
            <m:r>
              <m:rPr>
                <m:sty m:val="bi"/>
              </m:rPr>
              <w:rPr>
                <w:rFonts w:ascii="Cambria Math" w:hAnsi="Cambria Math"/>
                <w:sz w:val="22"/>
                <w:szCs w:val="22"/>
              </w:rPr>
              <m:t>X</m:t>
            </m:r>
          </m:e>
          <m:sub>
            <m:r>
              <m:rPr>
                <m:sty m:val="bi"/>
              </m:rPr>
              <w:rPr>
                <w:rFonts w:ascii="Cambria Math" w:hAnsi="Cambria Math"/>
                <w:sz w:val="22"/>
                <w:szCs w:val="22"/>
              </w:rPr>
              <m:t>org</m:t>
            </m:r>
          </m:sub>
        </m:sSub>
        <m:r>
          <m:rPr>
            <m:sty m:val="bi"/>
          </m:rPr>
          <w:rPr>
            <w:rFonts w:ascii="Cambria Math" w:hAnsi="Cambria Math"/>
            <w:sz w:val="22"/>
            <w:szCs w:val="22"/>
          </w:rPr>
          <m:t>×</m:t>
        </m:r>
        <m:f>
          <m:fPr>
            <m:ctrlPr>
              <w:rPr>
                <w:rFonts w:ascii="Cambria Math" w:hAnsi="Cambria Math"/>
                <w:b w:val="0"/>
                <w:bCs w:val="0"/>
                <w:i/>
                <w:iCs/>
                <w:sz w:val="22"/>
                <w:szCs w:val="22"/>
              </w:rPr>
            </m:ctrlPr>
          </m:fPr>
          <m:num>
            <m:r>
              <m:rPr>
                <m:sty m:val="bi"/>
              </m:rPr>
              <w:rPr>
                <w:rFonts w:ascii="Cambria Math" w:hAnsi="Cambria Math"/>
                <w:sz w:val="22"/>
                <w:szCs w:val="22"/>
              </w:rPr>
              <m:t>S</m:t>
            </m:r>
          </m:num>
          <m:den>
            <m:r>
              <m:rPr>
                <m:sty m:val="bi"/>
              </m:rPr>
              <w:rPr>
                <w:rFonts w:ascii="Cambria Math" w:hAnsi="Cambria Math"/>
                <w:sz w:val="22"/>
                <w:szCs w:val="22"/>
              </w:rPr>
              <m:t>V</m:t>
            </m:r>
          </m:den>
        </m:f>
      </m:oMath>
      <w:r w:rsidR="00DA5239" w:rsidRPr="00EF2A10">
        <w:rPr>
          <w:rFonts w:ascii="Myriad Pro" w:hAnsi="Myriad Pro"/>
          <w:b w:val="0"/>
          <w:bCs w:val="0"/>
          <w:sz w:val="22"/>
          <w:szCs w:val="22"/>
        </w:rPr>
        <w:tab/>
        <w:t>(</w:t>
      </w:r>
      <w:r w:rsidR="00EF2A10">
        <w:rPr>
          <w:rFonts w:ascii="Myriad Pro" w:hAnsi="Myriad Pro"/>
          <w:b w:val="0"/>
          <w:bCs w:val="0"/>
          <w:sz w:val="22"/>
          <w:szCs w:val="22"/>
        </w:rPr>
        <w:t>S</w:t>
      </w:r>
      <w:r w:rsidR="00A8217C">
        <w:rPr>
          <w:rFonts w:ascii="Myriad Pro" w:hAnsi="Myriad Pro"/>
          <w:b w:val="0"/>
          <w:bCs w:val="0"/>
          <w:sz w:val="22"/>
          <w:szCs w:val="22"/>
        </w:rPr>
        <w:t>3</w:t>
      </w:r>
      <w:r w:rsidR="00DA5239" w:rsidRPr="00EF2A10">
        <w:rPr>
          <w:rFonts w:ascii="Myriad Pro" w:hAnsi="Myriad Pro"/>
          <w:b w:val="0"/>
          <w:bCs w:val="0"/>
          <w:sz w:val="22"/>
          <w:szCs w:val="22"/>
        </w:rPr>
        <w:t>)</w:t>
      </w:r>
    </w:p>
    <w:p w14:paraId="15C9F5D7" w14:textId="07521CB0" w:rsidR="00DA5239" w:rsidRPr="00EF2A10" w:rsidRDefault="00543729" w:rsidP="00DA5239">
      <w:pPr>
        <w:pStyle w:val="Heading-Main"/>
        <w:keepNext w:val="0"/>
        <w:tabs>
          <w:tab w:val="right" w:pos="9000"/>
        </w:tabs>
        <w:rPr>
          <w:rFonts w:ascii="Myriad Pro" w:hAnsi="Myriad Pro"/>
          <w:b w:val="0"/>
          <w:bCs w:val="0"/>
          <w:sz w:val="22"/>
          <w:szCs w:val="22"/>
        </w:rPr>
      </w:pPr>
      <m:oMath>
        <m:f>
          <m:fPr>
            <m:ctrlPr>
              <w:rPr>
                <w:rFonts w:ascii="Cambria Math" w:hAnsi="Cambria Math"/>
                <w:b w:val="0"/>
                <w:bCs w:val="0"/>
                <w:i/>
                <w:sz w:val="22"/>
                <w:szCs w:val="22"/>
              </w:rPr>
            </m:ctrlPr>
          </m:fPr>
          <m:num>
            <m:sSub>
              <m:sSubPr>
                <m:ctrlPr>
                  <w:rPr>
                    <w:rFonts w:ascii="Cambria Math" w:hAnsi="Cambria Math"/>
                    <w:b w:val="0"/>
                    <w:bCs w:val="0"/>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w</m:t>
                </m:r>
              </m:sub>
            </m:sSub>
          </m:num>
          <m:den>
            <m:sSub>
              <m:sSubPr>
                <m:ctrlPr>
                  <w:rPr>
                    <w:rFonts w:ascii="Cambria Math" w:hAnsi="Cambria Math"/>
                    <w:b w:val="0"/>
                    <w:bCs w:val="0"/>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gas</m:t>
                </m:r>
              </m:sub>
            </m:sSub>
          </m:den>
        </m:f>
        <m:r>
          <m:rPr>
            <m:sty m:val="bi"/>
          </m:rPr>
          <w:rPr>
            <w:rFonts w:ascii="Cambria Math" w:hAnsi="Cambria Math"/>
            <w:sz w:val="22"/>
            <w:szCs w:val="22"/>
          </w:rPr>
          <m:t>=</m:t>
        </m:r>
        <m:sSub>
          <m:sSubPr>
            <m:ctrlPr>
              <w:rPr>
                <w:rFonts w:ascii="Cambria Math" w:hAnsi="Cambria Math"/>
                <w:b w:val="0"/>
                <w:bCs w:val="0"/>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w</m:t>
            </m:r>
          </m:sub>
        </m:sSub>
        <m:r>
          <m:rPr>
            <m:sty m:val="bi"/>
          </m:rPr>
          <w:rPr>
            <w:rFonts w:ascii="Cambria Math" w:hAnsi="Cambria Math"/>
            <w:sz w:val="22"/>
            <w:szCs w:val="22"/>
          </w:rPr>
          <m:t>×</m:t>
        </m:r>
        <m:f>
          <m:fPr>
            <m:ctrlPr>
              <w:rPr>
                <w:rFonts w:ascii="Cambria Math" w:hAnsi="Cambria Math"/>
                <w:b w:val="0"/>
                <w:bCs w:val="0"/>
                <w:i/>
                <w:sz w:val="22"/>
                <w:szCs w:val="22"/>
              </w:rPr>
            </m:ctrlPr>
          </m:fPr>
          <m:num>
            <m:r>
              <m:rPr>
                <m:sty m:val="bi"/>
              </m:rPr>
              <w:rPr>
                <w:rFonts w:ascii="Cambria Math" w:hAnsi="Cambria Math"/>
                <w:sz w:val="22"/>
                <w:szCs w:val="22"/>
              </w:rPr>
              <m:t>S</m:t>
            </m:r>
          </m:num>
          <m:den>
            <m:r>
              <m:rPr>
                <m:sty m:val="bi"/>
              </m:rPr>
              <w:rPr>
                <w:rFonts w:ascii="Cambria Math" w:hAnsi="Cambria Math"/>
                <w:sz w:val="22"/>
                <w:szCs w:val="22"/>
              </w:rPr>
              <m:t>V</m:t>
            </m:r>
          </m:den>
        </m:f>
      </m:oMath>
      <w:r w:rsidR="00DA5239" w:rsidRPr="00EF2A10">
        <w:rPr>
          <w:rFonts w:ascii="Myriad Pro" w:hAnsi="Myriad Pro"/>
          <w:b w:val="0"/>
          <w:bCs w:val="0"/>
          <w:sz w:val="22"/>
          <w:szCs w:val="22"/>
        </w:rPr>
        <w:tab/>
        <w:t>(</w:t>
      </w:r>
      <w:r w:rsidR="00EF2A10">
        <w:rPr>
          <w:rFonts w:ascii="Myriad Pro" w:hAnsi="Myriad Pro"/>
          <w:b w:val="0"/>
          <w:bCs w:val="0"/>
          <w:sz w:val="22"/>
          <w:szCs w:val="22"/>
        </w:rPr>
        <w:t>S</w:t>
      </w:r>
      <w:r w:rsidR="00A8217C">
        <w:rPr>
          <w:rFonts w:ascii="Myriad Pro" w:hAnsi="Myriad Pro"/>
          <w:b w:val="0"/>
          <w:bCs w:val="0"/>
          <w:sz w:val="22"/>
          <w:szCs w:val="22"/>
        </w:rPr>
        <w:t>4</w:t>
      </w:r>
      <w:r w:rsidR="00DA5239" w:rsidRPr="00EF2A10">
        <w:rPr>
          <w:rFonts w:ascii="Myriad Pro" w:hAnsi="Myriad Pro"/>
          <w:b w:val="0"/>
          <w:bCs w:val="0"/>
          <w:sz w:val="22"/>
          <w:szCs w:val="22"/>
        </w:rPr>
        <w:t>)</w:t>
      </w:r>
    </w:p>
    <w:p w14:paraId="7FE8EC5A" w14:textId="056D2C65" w:rsidR="00DA5239" w:rsidRPr="00EF2A10" w:rsidRDefault="00543729" w:rsidP="00DA5239">
      <w:pPr>
        <w:pStyle w:val="Heading-Main"/>
        <w:keepNext w:val="0"/>
        <w:tabs>
          <w:tab w:val="right" w:pos="9000"/>
        </w:tabs>
        <w:rPr>
          <w:rFonts w:ascii="Myriad Pro" w:hAnsi="Myriad Pro"/>
          <w:b w:val="0"/>
          <w:bCs w:val="0"/>
          <w:sz w:val="22"/>
          <w:szCs w:val="22"/>
        </w:rPr>
      </w:pPr>
      <m:oMath>
        <m:f>
          <m:fPr>
            <m:ctrlPr>
              <w:rPr>
                <w:rFonts w:ascii="Cambria Math" w:hAnsi="Cambria Math"/>
                <w:b w:val="0"/>
                <w:bCs w:val="0"/>
                <w:i/>
                <w:sz w:val="22"/>
                <w:szCs w:val="22"/>
              </w:rPr>
            </m:ctrlPr>
          </m:fPr>
          <m:num>
            <m:sSub>
              <m:sSubPr>
                <m:ctrlPr>
                  <w:rPr>
                    <w:rFonts w:ascii="Cambria Math" w:hAnsi="Cambria Math"/>
                    <w:b w:val="0"/>
                    <w:bCs w:val="0"/>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org</m:t>
                </m:r>
              </m:sub>
            </m:sSub>
          </m:num>
          <m:den>
            <m:sSub>
              <m:sSubPr>
                <m:ctrlPr>
                  <w:rPr>
                    <w:rFonts w:ascii="Cambria Math" w:hAnsi="Cambria Math"/>
                    <w:b w:val="0"/>
                    <w:bCs w:val="0"/>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w</m:t>
                </m:r>
              </m:sub>
            </m:sSub>
          </m:den>
        </m:f>
        <m:r>
          <m:rPr>
            <m:sty m:val="bi"/>
          </m:rPr>
          <w:rPr>
            <w:rFonts w:ascii="Cambria Math" w:hAnsi="Cambria Math"/>
            <w:sz w:val="22"/>
            <w:szCs w:val="22"/>
          </w:rPr>
          <m:t>=</m:t>
        </m:r>
        <m:f>
          <m:fPr>
            <m:ctrlPr>
              <w:rPr>
                <w:rFonts w:ascii="Cambria Math" w:hAnsi="Cambria Math"/>
                <w:b w:val="0"/>
                <w:bCs w:val="0"/>
                <w:i/>
                <w:sz w:val="22"/>
                <w:szCs w:val="22"/>
              </w:rPr>
            </m:ctrlPr>
          </m:fPr>
          <m:num>
            <m:sSub>
              <m:sSubPr>
                <m:ctrlPr>
                  <w:rPr>
                    <w:rFonts w:ascii="Cambria Math" w:hAnsi="Cambria Math"/>
                    <w:b w:val="0"/>
                    <w:bCs w:val="0"/>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org</m:t>
                </m:r>
              </m:sub>
            </m:sSub>
          </m:num>
          <m:den>
            <m:sSub>
              <m:sSubPr>
                <m:ctrlPr>
                  <w:rPr>
                    <w:rFonts w:ascii="Cambria Math" w:hAnsi="Cambria Math"/>
                    <w:b w:val="0"/>
                    <w:bCs w:val="0"/>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w</m:t>
                </m:r>
              </m:sub>
            </m:sSub>
          </m:den>
        </m:f>
      </m:oMath>
      <w:r w:rsidR="00DA5239" w:rsidRPr="00EF2A10">
        <w:rPr>
          <w:rFonts w:ascii="Myriad Pro" w:hAnsi="Myriad Pro"/>
          <w:b w:val="0"/>
          <w:bCs w:val="0"/>
          <w:sz w:val="22"/>
          <w:szCs w:val="22"/>
        </w:rPr>
        <w:tab/>
        <w:t>(</w:t>
      </w:r>
      <w:r w:rsidR="00EF2A10">
        <w:rPr>
          <w:rFonts w:ascii="Myriad Pro" w:hAnsi="Myriad Pro"/>
          <w:b w:val="0"/>
          <w:bCs w:val="0"/>
          <w:sz w:val="22"/>
          <w:szCs w:val="22"/>
        </w:rPr>
        <w:t>S</w:t>
      </w:r>
      <w:r w:rsidR="00A8217C">
        <w:rPr>
          <w:rFonts w:ascii="Myriad Pro" w:hAnsi="Myriad Pro"/>
          <w:b w:val="0"/>
          <w:bCs w:val="0"/>
          <w:sz w:val="22"/>
          <w:szCs w:val="22"/>
        </w:rPr>
        <w:t>5</w:t>
      </w:r>
      <w:r w:rsidR="00DA5239" w:rsidRPr="00EF2A10">
        <w:rPr>
          <w:rFonts w:ascii="Myriad Pro" w:hAnsi="Myriad Pro"/>
          <w:b w:val="0"/>
          <w:bCs w:val="0"/>
          <w:sz w:val="22"/>
          <w:szCs w:val="22"/>
        </w:rPr>
        <w:t>)</w:t>
      </w:r>
    </w:p>
    <w:p w14:paraId="2A630BF5" w14:textId="0B3926A6" w:rsidR="003E1980" w:rsidRDefault="002C1276" w:rsidP="003E1980">
      <w:pPr>
        <w:pStyle w:val="SMHeading"/>
        <w:rPr>
          <w:rFonts w:ascii="Myriad Pro" w:hAnsi="Myriad Pro"/>
          <w:b w:val="0"/>
          <w:sz w:val="22"/>
          <w:szCs w:val="22"/>
        </w:rPr>
      </w:pPr>
      <w:r>
        <w:rPr>
          <w:noProof/>
          <w:lang w:val="en-PH" w:eastAsia="en-PH"/>
        </w:rPr>
        <w:lastRenderedPageBreak/>
        <w:drawing>
          <wp:inline distT="0" distB="0" distL="0" distR="0" wp14:anchorId="5B8657F3" wp14:editId="4FB2D8CA">
            <wp:extent cx="5486400" cy="45456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545623"/>
                    </a:xfrm>
                    <a:prstGeom prst="rect">
                      <a:avLst/>
                    </a:prstGeom>
                    <a:noFill/>
                    <a:ln>
                      <a:noFill/>
                    </a:ln>
                  </pic:spPr>
                </pic:pic>
              </a:graphicData>
            </a:graphic>
          </wp:inline>
        </w:drawing>
      </w:r>
      <w:r w:rsidR="00227D86" w:rsidRPr="005314B5">
        <w:rPr>
          <w:rFonts w:ascii="Myriad Pro" w:hAnsi="Myriad Pro"/>
          <w:sz w:val="22"/>
          <w:szCs w:val="22"/>
        </w:rPr>
        <w:t>Figure S1</w:t>
      </w:r>
      <w:r w:rsidR="003E1980" w:rsidRPr="005314B5">
        <w:rPr>
          <w:rFonts w:ascii="Myriad Pro" w:hAnsi="Myriad Pro"/>
          <w:sz w:val="22"/>
          <w:szCs w:val="22"/>
        </w:rPr>
        <w:t xml:space="preserve">. </w:t>
      </w:r>
      <w:r w:rsidRPr="00EF2A10">
        <w:rPr>
          <w:rFonts w:ascii="Myriad Pro" w:hAnsi="Myriad Pro"/>
          <w:b w:val="0"/>
          <w:bCs w:val="0"/>
          <w:sz w:val="22"/>
          <w:szCs w:val="22"/>
        </w:rPr>
        <w:t>HNCO V</w:t>
      </w:r>
      <w:r w:rsidRPr="00EF2A10">
        <w:rPr>
          <w:rFonts w:ascii="Myriad Pro" w:hAnsi="Myriad Pro"/>
          <w:b w:val="0"/>
          <w:bCs w:val="0"/>
          <w:sz w:val="22"/>
          <w:szCs w:val="22"/>
          <w:vertAlign w:val="subscript"/>
        </w:rPr>
        <w:t>ex</w:t>
      </w:r>
      <w:r w:rsidRPr="00EF2A10">
        <w:rPr>
          <w:rFonts w:ascii="Myriad Pro" w:hAnsi="Myriad Pro"/>
          <w:b w:val="0"/>
          <w:bCs w:val="0"/>
          <w:sz w:val="22"/>
          <w:szCs w:val="22"/>
        </w:rPr>
        <w:t xml:space="preserve"> exhibit strong linear correlations with T-T</w:t>
      </w:r>
      <w:r w:rsidRPr="00EF2A10">
        <w:rPr>
          <w:rFonts w:ascii="Myriad Pro" w:hAnsi="Myriad Pro"/>
          <w:b w:val="0"/>
          <w:bCs w:val="0"/>
          <w:sz w:val="22"/>
          <w:szCs w:val="22"/>
          <w:vertAlign w:val="subscript"/>
        </w:rPr>
        <w:t>d</w:t>
      </w:r>
      <w:r w:rsidRPr="00EF2A10">
        <w:rPr>
          <w:rFonts w:ascii="Myriad Pro" w:hAnsi="Myriad Pro"/>
          <w:b w:val="0"/>
          <w:bCs w:val="0"/>
          <w:sz w:val="22"/>
          <w:szCs w:val="22"/>
        </w:rPr>
        <w:t xml:space="preserve"> at MEFO during all seasons except for winter. Data (small squares) are averaged into 20 evenly spaced T-</w:t>
      </w:r>
      <w:proofErr w:type="spellStart"/>
      <w:r w:rsidRPr="00EF2A10">
        <w:rPr>
          <w:rFonts w:ascii="Myriad Pro" w:hAnsi="Myriad Pro"/>
          <w:b w:val="0"/>
          <w:bCs w:val="0"/>
          <w:sz w:val="22"/>
          <w:szCs w:val="22"/>
        </w:rPr>
        <w:t>T</w:t>
      </w:r>
      <w:r w:rsidRPr="00EF2A10">
        <w:rPr>
          <w:rFonts w:ascii="Myriad Pro" w:hAnsi="Myriad Pro"/>
          <w:b w:val="0"/>
          <w:bCs w:val="0"/>
          <w:sz w:val="22"/>
          <w:szCs w:val="22"/>
          <w:vertAlign w:val="subscript"/>
        </w:rPr>
        <w:t>d</w:t>
      </w:r>
      <w:r w:rsidRPr="00EF2A10">
        <w:rPr>
          <w:rFonts w:ascii="Myriad Pro" w:hAnsi="Myriad Pro"/>
          <w:b w:val="0"/>
          <w:bCs w:val="0"/>
          <w:sz w:val="22"/>
          <w:szCs w:val="22"/>
        </w:rPr>
        <w:t>bins</w:t>
      </w:r>
      <w:proofErr w:type="spellEnd"/>
      <w:r w:rsidRPr="00EF2A10">
        <w:rPr>
          <w:rFonts w:ascii="Myriad Pro" w:hAnsi="Myriad Pro"/>
          <w:b w:val="0"/>
          <w:bCs w:val="0"/>
          <w:sz w:val="22"/>
          <w:szCs w:val="22"/>
        </w:rPr>
        <w:t xml:space="preserve"> (large hollow shapes) based on the range of T-T</w:t>
      </w:r>
      <w:r w:rsidRPr="00EF2A10">
        <w:rPr>
          <w:rFonts w:ascii="Myriad Pro" w:hAnsi="Myriad Pro"/>
          <w:b w:val="0"/>
          <w:bCs w:val="0"/>
          <w:sz w:val="22"/>
          <w:szCs w:val="22"/>
          <w:vertAlign w:val="subscript"/>
        </w:rPr>
        <w:t>d</w:t>
      </w:r>
      <w:r w:rsidRPr="00EF2A10">
        <w:rPr>
          <w:rFonts w:ascii="Myriad Pro" w:hAnsi="Myriad Pro"/>
          <w:b w:val="0"/>
          <w:bCs w:val="0"/>
          <w:sz w:val="22"/>
          <w:szCs w:val="22"/>
        </w:rPr>
        <w:t xml:space="preserve"> values. Whiskers represent standard deviations.</w:t>
      </w:r>
    </w:p>
    <w:p w14:paraId="7A4073C2" w14:textId="72EC1445" w:rsidR="002C1276" w:rsidRDefault="002C1276" w:rsidP="003E1980">
      <w:pPr>
        <w:pStyle w:val="SMHeading"/>
        <w:rPr>
          <w:rFonts w:ascii="Myriad Pro" w:hAnsi="Myriad Pro"/>
          <w:sz w:val="22"/>
          <w:szCs w:val="22"/>
        </w:rPr>
      </w:pPr>
      <w:r>
        <w:rPr>
          <w:noProof/>
          <w:lang w:val="en-PH" w:eastAsia="en-PH"/>
        </w:rPr>
        <w:lastRenderedPageBreak/>
        <w:drawing>
          <wp:inline distT="0" distB="0" distL="0" distR="0" wp14:anchorId="28C9C3DA" wp14:editId="3394A8F3">
            <wp:extent cx="5486400" cy="368692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86926"/>
                    </a:xfrm>
                    <a:prstGeom prst="rect">
                      <a:avLst/>
                    </a:prstGeom>
                    <a:noFill/>
                    <a:ln>
                      <a:noFill/>
                    </a:ln>
                  </pic:spPr>
                </pic:pic>
              </a:graphicData>
            </a:graphic>
          </wp:inline>
        </w:drawing>
      </w:r>
    </w:p>
    <w:p w14:paraId="64345D92" w14:textId="6B05309B" w:rsidR="002C1276" w:rsidRDefault="002C1276" w:rsidP="002C1276">
      <w:pPr>
        <w:pStyle w:val="SMHeading"/>
        <w:rPr>
          <w:rFonts w:ascii="Myriad Pro" w:hAnsi="Myriad Pro"/>
          <w:b w:val="0"/>
          <w:sz w:val="22"/>
          <w:szCs w:val="22"/>
        </w:rPr>
      </w:pPr>
      <w:r w:rsidRPr="005314B5">
        <w:rPr>
          <w:rFonts w:ascii="Myriad Pro" w:hAnsi="Myriad Pro"/>
          <w:sz w:val="22"/>
          <w:szCs w:val="22"/>
        </w:rPr>
        <w:t>Figure S</w:t>
      </w:r>
      <w:r>
        <w:rPr>
          <w:rFonts w:ascii="Myriad Pro" w:hAnsi="Myriad Pro"/>
          <w:sz w:val="22"/>
          <w:szCs w:val="22"/>
        </w:rPr>
        <w:t>2</w:t>
      </w:r>
      <w:r w:rsidRPr="005314B5">
        <w:rPr>
          <w:rFonts w:ascii="Myriad Pro" w:hAnsi="Myriad Pro"/>
          <w:sz w:val="22"/>
          <w:szCs w:val="22"/>
        </w:rPr>
        <w:t xml:space="preserve">. </w:t>
      </w:r>
      <w:r w:rsidRPr="00EF2A10">
        <w:rPr>
          <w:rFonts w:ascii="Myriad Pro" w:hAnsi="Myriad Pro"/>
          <w:b w:val="0"/>
          <w:bCs w:val="0"/>
          <w:sz w:val="22"/>
          <w:szCs w:val="22"/>
        </w:rPr>
        <w:t>Exchange velocities (V</w:t>
      </w:r>
      <w:r w:rsidRPr="00EF2A10">
        <w:rPr>
          <w:rFonts w:ascii="Myriad Pro" w:hAnsi="Myriad Pro"/>
          <w:b w:val="0"/>
          <w:bCs w:val="0"/>
          <w:sz w:val="22"/>
          <w:szCs w:val="22"/>
          <w:vertAlign w:val="subscript"/>
        </w:rPr>
        <w:t>ex</w:t>
      </w:r>
      <w:r w:rsidRPr="00EF2A10">
        <w:rPr>
          <w:rFonts w:ascii="Myriad Pro" w:hAnsi="Myriad Pro"/>
          <w:b w:val="0"/>
          <w:bCs w:val="0"/>
          <w:sz w:val="22"/>
          <w:szCs w:val="22"/>
        </w:rPr>
        <w:t>) of six volatile organic acids increase linearly with dew point depression (T-T</w:t>
      </w:r>
      <w:r w:rsidRPr="00EF2A10">
        <w:rPr>
          <w:rFonts w:ascii="Myriad Pro" w:hAnsi="Myriad Pro"/>
          <w:b w:val="0"/>
          <w:bCs w:val="0"/>
          <w:sz w:val="22"/>
          <w:szCs w:val="22"/>
          <w:vertAlign w:val="subscript"/>
        </w:rPr>
        <w:t>d</w:t>
      </w:r>
      <w:r w:rsidRPr="00EF2A10">
        <w:rPr>
          <w:rFonts w:ascii="Myriad Pro" w:hAnsi="Myriad Pro"/>
          <w:b w:val="0"/>
          <w:bCs w:val="0"/>
          <w:sz w:val="22"/>
          <w:szCs w:val="22"/>
        </w:rPr>
        <w:t>) at the Manitou Experimental Forest Observatory (MEFO) pine forest site. Dots represent all data, and open circles are the averages of 20 evenly spaced T-T</w:t>
      </w:r>
      <w:r w:rsidRPr="00EF2A10">
        <w:rPr>
          <w:rFonts w:ascii="Myriad Pro" w:hAnsi="Myriad Pro"/>
          <w:b w:val="0"/>
          <w:bCs w:val="0"/>
          <w:sz w:val="22"/>
          <w:szCs w:val="22"/>
          <w:vertAlign w:val="subscript"/>
        </w:rPr>
        <w:t>d</w:t>
      </w:r>
      <w:r w:rsidRPr="00EF2A10">
        <w:rPr>
          <w:rFonts w:ascii="Myriad Pro" w:hAnsi="Myriad Pro"/>
          <w:b w:val="0"/>
          <w:bCs w:val="0"/>
          <w:sz w:val="22"/>
          <w:szCs w:val="22"/>
        </w:rPr>
        <w:t xml:space="preserve"> bins with corresponding standard deviations. All the data (pink lines) and binned data (black lines) are each fit with linear least squares regressions. Correlation coefficients are shown for binned data.</w:t>
      </w:r>
    </w:p>
    <w:p w14:paraId="65D290C7" w14:textId="59E1E501" w:rsidR="002C1276" w:rsidRDefault="002C1276" w:rsidP="003E1980">
      <w:pPr>
        <w:pStyle w:val="SMHeading"/>
        <w:rPr>
          <w:rFonts w:ascii="Myriad Pro" w:hAnsi="Myriad Pro"/>
          <w:sz w:val="22"/>
          <w:szCs w:val="22"/>
        </w:rPr>
      </w:pPr>
      <w:r>
        <w:rPr>
          <w:noProof/>
          <w:lang w:val="en-PH" w:eastAsia="en-PH"/>
        </w:rPr>
        <w:lastRenderedPageBreak/>
        <w:drawing>
          <wp:inline distT="0" distB="0" distL="0" distR="0" wp14:anchorId="28FACFA3" wp14:editId="0C9C0E6B">
            <wp:extent cx="5486400" cy="369396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693965"/>
                    </a:xfrm>
                    <a:prstGeom prst="rect">
                      <a:avLst/>
                    </a:prstGeom>
                    <a:noFill/>
                    <a:ln>
                      <a:noFill/>
                    </a:ln>
                  </pic:spPr>
                </pic:pic>
              </a:graphicData>
            </a:graphic>
          </wp:inline>
        </w:drawing>
      </w:r>
    </w:p>
    <w:p w14:paraId="591F178F" w14:textId="5C111667" w:rsidR="002C1276" w:rsidRDefault="002C1276" w:rsidP="002C1276">
      <w:pPr>
        <w:pStyle w:val="SMHeading"/>
        <w:rPr>
          <w:rFonts w:ascii="Myriad Pro" w:hAnsi="Myriad Pro"/>
          <w:b w:val="0"/>
          <w:sz w:val="22"/>
          <w:szCs w:val="22"/>
        </w:rPr>
      </w:pPr>
      <w:r w:rsidRPr="005314B5">
        <w:rPr>
          <w:rFonts w:ascii="Myriad Pro" w:hAnsi="Myriad Pro"/>
          <w:sz w:val="22"/>
          <w:szCs w:val="22"/>
        </w:rPr>
        <w:t>Figure S</w:t>
      </w:r>
      <w:r>
        <w:rPr>
          <w:rFonts w:ascii="Myriad Pro" w:hAnsi="Myriad Pro"/>
          <w:sz w:val="22"/>
          <w:szCs w:val="22"/>
        </w:rPr>
        <w:t>3</w:t>
      </w:r>
      <w:r w:rsidRPr="005314B5">
        <w:rPr>
          <w:rFonts w:ascii="Myriad Pro" w:hAnsi="Myriad Pro"/>
          <w:sz w:val="22"/>
          <w:szCs w:val="22"/>
        </w:rPr>
        <w:t xml:space="preserve">. </w:t>
      </w:r>
      <w:r w:rsidRPr="00EF2A10">
        <w:rPr>
          <w:rFonts w:ascii="Myriad Pro" w:hAnsi="Myriad Pro"/>
          <w:b w:val="0"/>
          <w:bCs w:val="0"/>
          <w:sz w:val="22"/>
          <w:szCs w:val="22"/>
        </w:rPr>
        <w:t>Exchange velocities (V</w:t>
      </w:r>
      <w:r w:rsidRPr="00EF2A10">
        <w:rPr>
          <w:rFonts w:ascii="Myriad Pro" w:hAnsi="Myriad Pro"/>
          <w:b w:val="0"/>
          <w:bCs w:val="0"/>
          <w:sz w:val="22"/>
          <w:szCs w:val="22"/>
          <w:vertAlign w:val="subscript"/>
        </w:rPr>
        <w:t>ex</w:t>
      </w:r>
      <w:r w:rsidRPr="00EF2A10">
        <w:rPr>
          <w:rFonts w:ascii="Myriad Pro" w:hAnsi="Myriad Pro"/>
          <w:b w:val="0"/>
          <w:bCs w:val="0"/>
          <w:sz w:val="22"/>
          <w:szCs w:val="22"/>
        </w:rPr>
        <w:t>) of six volatile organic acids increase linearly with dew point depression (T-T</w:t>
      </w:r>
      <w:r w:rsidRPr="00EF2A10">
        <w:rPr>
          <w:rFonts w:ascii="Myriad Pro" w:hAnsi="Myriad Pro"/>
          <w:b w:val="0"/>
          <w:bCs w:val="0"/>
          <w:sz w:val="22"/>
          <w:szCs w:val="22"/>
          <w:vertAlign w:val="subscript"/>
        </w:rPr>
        <w:t>d</w:t>
      </w:r>
      <w:r w:rsidRPr="00EF2A10">
        <w:rPr>
          <w:rFonts w:ascii="Myriad Pro" w:hAnsi="Myriad Pro"/>
          <w:b w:val="0"/>
          <w:bCs w:val="0"/>
          <w:sz w:val="22"/>
          <w:szCs w:val="22"/>
        </w:rPr>
        <w:t>) at the California orange orchard site. Dots represent all data, and open circles are the averages of 20 evenly spaced T-T</w:t>
      </w:r>
      <w:r w:rsidRPr="00EF2A10">
        <w:rPr>
          <w:rFonts w:ascii="Myriad Pro" w:hAnsi="Myriad Pro"/>
          <w:b w:val="0"/>
          <w:bCs w:val="0"/>
          <w:sz w:val="22"/>
          <w:szCs w:val="22"/>
          <w:vertAlign w:val="subscript"/>
        </w:rPr>
        <w:t>d</w:t>
      </w:r>
      <w:r w:rsidRPr="00EF2A10">
        <w:rPr>
          <w:rFonts w:ascii="Myriad Pro" w:hAnsi="Myriad Pro"/>
          <w:b w:val="0"/>
          <w:bCs w:val="0"/>
          <w:sz w:val="22"/>
          <w:szCs w:val="22"/>
        </w:rPr>
        <w:t xml:space="preserve"> bins with corresponding standard deviations. All the data (pink lines) and binned data (black lines) are each fit with linear least squares regressions. Correlation coefficients are shown for binned data.</w:t>
      </w:r>
    </w:p>
    <w:p w14:paraId="4A1B31CD" w14:textId="5AD41E4F" w:rsidR="002C1276" w:rsidRDefault="002C1276" w:rsidP="003E1980">
      <w:pPr>
        <w:pStyle w:val="SMHeading"/>
        <w:rPr>
          <w:rFonts w:ascii="Myriad Pro" w:hAnsi="Myriad Pro"/>
          <w:sz w:val="22"/>
          <w:szCs w:val="22"/>
        </w:rPr>
      </w:pPr>
      <w:r>
        <w:rPr>
          <w:noProof/>
          <w:lang w:val="en-PH" w:eastAsia="en-PH"/>
        </w:rPr>
        <w:lastRenderedPageBreak/>
        <w:drawing>
          <wp:inline distT="0" distB="0" distL="0" distR="0" wp14:anchorId="025F8EEE" wp14:editId="79700DF3">
            <wp:extent cx="5486400" cy="359132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3591322"/>
                    </a:xfrm>
                    <a:prstGeom prst="rect">
                      <a:avLst/>
                    </a:prstGeom>
                    <a:noFill/>
                    <a:ln>
                      <a:noFill/>
                    </a:ln>
                  </pic:spPr>
                </pic:pic>
              </a:graphicData>
            </a:graphic>
          </wp:inline>
        </w:drawing>
      </w:r>
    </w:p>
    <w:p w14:paraId="169BA06E" w14:textId="7A85219E" w:rsidR="002C1276" w:rsidRDefault="002C1276" w:rsidP="003E1980">
      <w:pPr>
        <w:pStyle w:val="SMHeading"/>
        <w:rPr>
          <w:b w:val="0"/>
          <w:bCs w:val="0"/>
        </w:rPr>
      </w:pPr>
      <w:r w:rsidRPr="005314B5">
        <w:rPr>
          <w:rFonts w:ascii="Myriad Pro" w:hAnsi="Myriad Pro"/>
          <w:sz w:val="22"/>
          <w:szCs w:val="22"/>
        </w:rPr>
        <w:t>Figure S</w:t>
      </w:r>
      <w:r>
        <w:rPr>
          <w:rFonts w:ascii="Myriad Pro" w:hAnsi="Myriad Pro"/>
          <w:sz w:val="22"/>
          <w:szCs w:val="22"/>
        </w:rPr>
        <w:t>4</w:t>
      </w:r>
      <w:r w:rsidRPr="005314B5">
        <w:rPr>
          <w:rFonts w:ascii="Myriad Pro" w:hAnsi="Myriad Pro"/>
          <w:sz w:val="22"/>
          <w:szCs w:val="22"/>
        </w:rPr>
        <w:t xml:space="preserve">. </w:t>
      </w:r>
      <w:r w:rsidRPr="00EF2A10">
        <w:rPr>
          <w:rFonts w:ascii="Myriad Pro" w:hAnsi="Myriad Pro"/>
          <w:b w:val="0"/>
          <w:bCs w:val="0"/>
          <w:sz w:val="22"/>
          <w:szCs w:val="22"/>
        </w:rPr>
        <w:t>Exchange velocities (V</w:t>
      </w:r>
      <w:r w:rsidRPr="00EF2A10">
        <w:rPr>
          <w:rFonts w:ascii="Myriad Pro" w:hAnsi="Myriad Pro"/>
          <w:b w:val="0"/>
          <w:bCs w:val="0"/>
          <w:sz w:val="22"/>
          <w:szCs w:val="22"/>
          <w:vertAlign w:val="subscript"/>
        </w:rPr>
        <w:t>ex</w:t>
      </w:r>
      <w:r w:rsidRPr="00EF2A10">
        <w:rPr>
          <w:rFonts w:ascii="Myriad Pro" w:hAnsi="Myriad Pro"/>
          <w:b w:val="0"/>
          <w:bCs w:val="0"/>
          <w:sz w:val="22"/>
          <w:szCs w:val="22"/>
        </w:rPr>
        <w:t>) of six volatile organic acids increase linearly with dew point depression (T-T</w:t>
      </w:r>
      <w:r w:rsidRPr="00EF2A10">
        <w:rPr>
          <w:rFonts w:ascii="Myriad Pro" w:hAnsi="Myriad Pro"/>
          <w:b w:val="0"/>
          <w:bCs w:val="0"/>
          <w:sz w:val="22"/>
          <w:szCs w:val="22"/>
          <w:vertAlign w:val="subscript"/>
        </w:rPr>
        <w:t>d</w:t>
      </w:r>
      <w:r w:rsidRPr="00EF2A10">
        <w:rPr>
          <w:rFonts w:ascii="Myriad Pro" w:hAnsi="Myriad Pro"/>
          <w:b w:val="0"/>
          <w:bCs w:val="0"/>
          <w:sz w:val="22"/>
          <w:szCs w:val="22"/>
        </w:rPr>
        <w:t>) at the University of Michigan Biological Station (UMBS) mixed forest site. Dots represent all data, and open circles are the averages of 20 evenly spaced T-T</w:t>
      </w:r>
      <w:r w:rsidRPr="00EF2A10">
        <w:rPr>
          <w:rFonts w:ascii="Myriad Pro" w:hAnsi="Myriad Pro"/>
          <w:b w:val="0"/>
          <w:bCs w:val="0"/>
          <w:sz w:val="22"/>
          <w:szCs w:val="22"/>
          <w:vertAlign w:val="subscript"/>
        </w:rPr>
        <w:t>d</w:t>
      </w:r>
      <w:r w:rsidRPr="00EF2A10">
        <w:rPr>
          <w:rFonts w:ascii="Myriad Pro" w:hAnsi="Myriad Pro"/>
          <w:b w:val="0"/>
          <w:bCs w:val="0"/>
          <w:sz w:val="22"/>
          <w:szCs w:val="22"/>
        </w:rPr>
        <w:t xml:space="preserve"> bins with corresponding standard deviations. All the data (pink lines) and binned data (black lines) are each fit with linear least squares regressions. Correlation coefficients are shown for binned data.</w:t>
      </w:r>
    </w:p>
    <w:p w14:paraId="6067A5F4" w14:textId="227866B8" w:rsidR="002C1276" w:rsidRDefault="002C1276" w:rsidP="003E1980">
      <w:pPr>
        <w:pStyle w:val="SMHeading"/>
        <w:rPr>
          <w:rFonts w:ascii="Myriad Pro" w:hAnsi="Myriad Pro"/>
          <w:sz w:val="22"/>
          <w:szCs w:val="22"/>
        </w:rPr>
      </w:pPr>
      <w:r>
        <w:rPr>
          <w:noProof/>
          <w:lang w:val="en-PH" w:eastAsia="en-PH"/>
        </w:rPr>
        <w:lastRenderedPageBreak/>
        <w:drawing>
          <wp:inline distT="0" distB="0" distL="0" distR="0" wp14:anchorId="23F18A9E" wp14:editId="2EFC5C94">
            <wp:extent cx="5486400" cy="489107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891072"/>
                    </a:xfrm>
                    <a:prstGeom prst="rect">
                      <a:avLst/>
                    </a:prstGeom>
                    <a:noFill/>
                    <a:ln>
                      <a:noFill/>
                    </a:ln>
                  </pic:spPr>
                </pic:pic>
              </a:graphicData>
            </a:graphic>
          </wp:inline>
        </w:drawing>
      </w:r>
    </w:p>
    <w:p w14:paraId="0009693B" w14:textId="33A2E64F" w:rsidR="002C1276" w:rsidRDefault="002C1276" w:rsidP="003E1980">
      <w:pPr>
        <w:pStyle w:val="SMHeading"/>
        <w:rPr>
          <w:b w:val="0"/>
          <w:bCs w:val="0"/>
        </w:rPr>
      </w:pPr>
      <w:r w:rsidRPr="005314B5">
        <w:rPr>
          <w:rFonts w:ascii="Myriad Pro" w:hAnsi="Myriad Pro"/>
          <w:sz w:val="22"/>
          <w:szCs w:val="22"/>
        </w:rPr>
        <w:t>Figure S</w:t>
      </w:r>
      <w:r>
        <w:rPr>
          <w:rFonts w:ascii="Myriad Pro" w:hAnsi="Myriad Pro"/>
          <w:sz w:val="22"/>
          <w:szCs w:val="22"/>
        </w:rPr>
        <w:t>5</w:t>
      </w:r>
      <w:r w:rsidRPr="005314B5">
        <w:rPr>
          <w:rFonts w:ascii="Myriad Pro" w:hAnsi="Myriad Pro"/>
          <w:sz w:val="22"/>
          <w:szCs w:val="22"/>
        </w:rPr>
        <w:t xml:space="preserve">. </w:t>
      </w:r>
      <w:r w:rsidRPr="00EF2A10">
        <w:rPr>
          <w:rFonts w:ascii="Myriad Pro" w:hAnsi="Myriad Pro"/>
          <w:b w:val="0"/>
          <w:bCs w:val="0"/>
          <w:sz w:val="22"/>
          <w:szCs w:val="22"/>
        </w:rPr>
        <w:t>Pine forest at MEFO and mixed canopy forest at UMBS sites exhibit low T-T</w:t>
      </w:r>
      <w:r w:rsidRPr="00EF2A10">
        <w:rPr>
          <w:rFonts w:ascii="Myriad Pro" w:hAnsi="Myriad Pro"/>
          <w:b w:val="0"/>
          <w:bCs w:val="0"/>
          <w:sz w:val="22"/>
          <w:szCs w:val="22"/>
          <w:vertAlign w:val="subscript"/>
        </w:rPr>
        <w:t xml:space="preserve">d </w:t>
      </w:r>
      <w:r w:rsidRPr="00EF2A10">
        <w:rPr>
          <w:rFonts w:ascii="Myriad Pro" w:hAnsi="Myriad Pro"/>
          <w:b w:val="0"/>
          <w:bCs w:val="0"/>
          <w:sz w:val="22"/>
          <w:szCs w:val="22"/>
        </w:rPr>
        <w:t>(&lt; 5 ∆K) frequently, while California orange orchard flux periods rarely experience the wettest T-T</w:t>
      </w:r>
      <w:r w:rsidRPr="00EF2A10">
        <w:rPr>
          <w:rFonts w:ascii="Myriad Pro" w:hAnsi="Myriad Pro"/>
          <w:b w:val="0"/>
          <w:bCs w:val="0"/>
          <w:sz w:val="22"/>
          <w:szCs w:val="22"/>
          <w:vertAlign w:val="subscript"/>
        </w:rPr>
        <w:t>d</w:t>
      </w:r>
      <w:r w:rsidRPr="00EF2A10">
        <w:rPr>
          <w:rFonts w:ascii="Myriad Pro" w:hAnsi="Myriad Pro"/>
          <w:b w:val="0"/>
          <w:bCs w:val="0"/>
          <w:sz w:val="22"/>
          <w:szCs w:val="22"/>
        </w:rPr>
        <w:t xml:space="preserve"> values. Histograms are averaged to 35 evenly spaced bins.</w:t>
      </w:r>
    </w:p>
    <w:p w14:paraId="0B6A41FD" w14:textId="2A8C6AEC" w:rsidR="002C1276" w:rsidRDefault="002C1276" w:rsidP="003E1980">
      <w:pPr>
        <w:pStyle w:val="SMHeading"/>
        <w:rPr>
          <w:rFonts w:ascii="Myriad Pro" w:hAnsi="Myriad Pro"/>
          <w:sz w:val="22"/>
          <w:szCs w:val="22"/>
        </w:rPr>
      </w:pPr>
    </w:p>
    <w:p w14:paraId="3FF68B50" w14:textId="447D4B11" w:rsidR="004D5256" w:rsidRDefault="004D5256" w:rsidP="00081E99">
      <w:pPr>
        <w:pStyle w:val="SMHeading"/>
        <w:jc w:val="center"/>
        <w:rPr>
          <w:rFonts w:ascii="Myriad Pro" w:hAnsi="Myriad Pro"/>
          <w:sz w:val="22"/>
          <w:szCs w:val="22"/>
        </w:rPr>
      </w:pPr>
      <w:r>
        <w:rPr>
          <w:rFonts w:ascii="Myriad Pro" w:hAnsi="Myriad Pro"/>
          <w:noProof/>
          <w:sz w:val="22"/>
          <w:szCs w:val="22"/>
          <w:lang w:val="en-PH" w:eastAsia="en-PH"/>
        </w:rPr>
        <w:lastRenderedPageBreak/>
        <w:drawing>
          <wp:inline distT="0" distB="0" distL="0" distR="0" wp14:anchorId="600E076A" wp14:editId="756B71E8">
            <wp:extent cx="3928906" cy="30797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28256"/>
                    <a:stretch/>
                  </pic:blipFill>
                  <pic:spPr bwMode="auto">
                    <a:xfrm>
                      <a:off x="0" y="0"/>
                      <a:ext cx="3928906" cy="3079750"/>
                    </a:xfrm>
                    <a:prstGeom prst="rect">
                      <a:avLst/>
                    </a:prstGeom>
                    <a:noFill/>
                    <a:ln>
                      <a:noFill/>
                    </a:ln>
                    <a:extLst>
                      <a:ext uri="{53640926-AAD7-44D8-BBD7-CCE9431645EC}">
                        <a14:shadowObscured xmlns:a14="http://schemas.microsoft.com/office/drawing/2010/main"/>
                      </a:ext>
                    </a:extLst>
                  </pic:spPr>
                </pic:pic>
              </a:graphicData>
            </a:graphic>
          </wp:inline>
        </w:drawing>
      </w:r>
    </w:p>
    <w:p w14:paraId="63CCC60B" w14:textId="77104554" w:rsidR="002C1276" w:rsidRDefault="002C1276" w:rsidP="003E1980">
      <w:pPr>
        <w:pStyle w:val="SMHeading"/>
        <w:rPr>
          <w:rFonts w:ascii="Myriad Pro" w:hAnsi="Myriad Pro"/>
          <w:b w:val="0"/>
          <w:bCs w:val="0"/>
          <w:sz w:val="22"/>
          <w:szCs w:val="22"/>
        </w:rPr>
      </w:pPr>
      <w:r w:rsidRPr="005314B5">
        <w:rPr>
          <w:rFonts w:ascii="Myriad Pro" w:hAnsi="Myriad Pro"/>
          <w:sz w:val="22"/>
          <w:szCs w:val="22"/>
        </w:rPr>
        <w:t>Figure S</w:t>
      </w:r>
      <w:r>
        <w:rPr>
          <w:rFonts w:ascii="Myriad Pro" w:hAnsi="Myriad Pro"/>
          <w:sz w:val="22"/>
          <w:szCs w:val="22"/>
        </w:rPr>
        <w:t>6</w:t>
      </w:r>
      <w:r w:rsidRPr="005314B5">
        <w:rPr>
          <w:rFonts w:ascii="Myriad Pro" w:hAnsi="Myriad Pro"/>
          <w:sz w:val="22"/>
          <w:szCs w:val="22"/>
        </w:rPr>
        <w:t xml:space="preserve">. </w:t>
      </w:r>
      <w:r w:rsidRPr="00EF2A10">
        <w:rPr>
          <w:rFonts w:ascii="Myriad Pro" w:hAnsi="Myriad Pro"/>
          <w:b w:val="0"/>
          <w:bCs w:val="0"/>
          <w:sz w:val="22"/>
          <w:szCs w:val="22"/>
        </w:rPr>
        <w:t>Partitioning space plot represents the volatility distribution of isocyanic acid (HNCO) and different alkanoic organic acids (C1 for formic acid, C3 for propionic acid, etc.) at MEFO. Stars represent the aqueous solubility enhancement of HNCO at lower temperatures. Shown here are temperatures -10°C (white) to 30°C (dark gray) in 5°C increments. Temperature-dependent changes in organic phase solubility are not included. pH isopleths are connected to guide the eye. All data shown are at standard pressure.</w:t>
      </w:r>
    </w:p>
    <w:p w14:paraId="4640A89E" w14:textId="77777777" w:rsidR="00081E99" w:rsidRDefault="00081E99" w:rsidP="003E1980">
      <w:pPr>
        <w:pStyle w:val="SMHeading"/>
        <w:rPr>
          <w:b w:val="0"/>
          <w:bCs w:val="0"/>
        </w:rPr>
      </w:pPr>
    </w:p>
    <w:p w14:paraId="7FE6BB46" w14:textId="2ACA0D7B" w:rsidR="002C1276" w:rsidRDefault="002C1276" w:rsidP="003E1980">
      <w:pPr>
        <w:pStyle w:val="SMHeading"/>
        <w:rPr>
          <w:rFonts w:ascii="Myriad Pro" w:hAnsi="Myriad Pro"/>
          <w:sz w:val="22"/>
          <w:szCs w:val="22"/>
        </w:rPr>
      </w:pPr>
      <w:r>
        <w:rPr>
          <w:noProof/>
          <w:lang w:val="en-PH" w:eastAsia="en-PH"/>
        </w:rPr>
        <w:lastRenderedPageBreak/>
        <w:drawing>
          <wp:inline distT="0" distB="0" distL="0" distR="0" wp14:anchorId="2BBA288C" wp14:editId="790AB4E1">
            <wp:extent cx="5486400" cy="33598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359834"/>
                    </a:xfrm>
                    <a:prstGeom prst="rect">
                      <a:avLst/>
                    </a:prstGeom>
                    <a:noFill/>
                    <a:ln>
                      <a:noFill/>
                    </a:ln>
                  </pic:spPr>
                </pic:pic>
              </a:graphicData>
            </a:graphic>
          </wp:inline>
        </w:drawing>
      </w:r>
    </w:p>
    <w:p w14:paraId="2473F756" w14:textId="476393BA" w:rsidR="002C1276" w:rsidRDefault="002C1276" w:rsidP="003E1980">
      <w:pPr>
        <w:pStyle w:val="SMHeading"/>
        <w:rPr>
          <w:b w:val="0"/>
          <w:bCs w:val="0"/>
        </w:rPr>
      </w:pPr>
      <w:r w:rsidRPr="005314B5">
        <w:rPr>
          <w:rFonts w:ascii="Myriad Pro" w:hAnsi="Myriad Pro"/>
          <w:sz w:val="22"/>
          <w:szCs w:val="22"/>
        </w:rPr>
        <w:t>Figure S</w:t>
      </w:r>
      <w:r>
        <w:rPr>
          <w:rFonts w:ascii="Myriad Pro" w:hAnsi="Myriad Pro"/>
          <w:sz w:val="22"/>
          <w:szCs w:val="22"/>
        </w:rPr>
        <w:t>7</w:t>
      </w:r>
      <w:r w:rsidRPr="005314B5">
        <w:rPr>
          <w:rFonts w:ascii="Myriad Pro" w:hAnsi="Myriad Pro"/>
          <w:sz w:val="22"/>
          <w:szCs w:val="22"/>
        </w:rPr>
        <w:t xml:space="preserve">. </w:t>
      </w:r>
      <w:r w:rsidRPr="00EF2A10">
        <w:rPr>
          <w:rFonts w:ascii="Myriad Pro" w:hAnsi="Myriad Pro"/>
          <w:b w:val="0"/>
          <w:bCs w:val="0"/>
          <w:sz w:val="22"/>
          <w:szCs w:val="22"/>
        </w:rPr>
        <w:t>Ambient HNCO mixing ratios increase with increasing air temperature. Diamonds represent HNCO averages over 20-evenly-spaced temperature bins, and whiskers are standard deviation.</w:t>
      </w:r>
    </w:p>
    <w:p w14:paraId="522732D7" w14:textId="4479D3D9" w:rsidR="002C1276" w:rsidRDefault="002C1276" w:rsidP="003E1980">
      <w:pPr>
        <w:pStyle w:val="SMHeading"/>
        <w:rPr>
          <w:rFonts w:ascii="Myriad Pro" w:hAnsi="Myriad Pro"/>
          <w:sz w:val="22"/>
          <w:szCs w:val="22"/>
        </w:rPr>
      </w:pPr>
      <w:r>
        <w:rPr>
          <w:noProof/>
          <w:lang w:val="en-PH" w:eastAsia="en-PH"/>
        </w:rPr>
        <w:lastRenderedPageBreak/>
        <w:drawing>
          <wp:inline distT="0" distB="0" distL="0" distR="0" wp14:anchorId="2104FC48" wp14:editId="4D5156C0">
            <wp:extent cx="5486400" cy="4403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4403210"/>
                    </a:xfrm>
                    <a:prstGeom prst="rect">
                      <a:avLst/>
                    </a:prstGeom>
                    <a:noFill/>
                    <a:ln>
                      <a:noFill/>
                    </a:ln>
                  </pic:spPr>
                </pic:pic>
              </a:graphicData>
            </a:graphic>
          </wp:inline>
        </w:drawing>
      </w:r>
    </w:p>
    <w:p w14:paraId="10C10C58" w14:textId="125F6251" w:rsidR="002C1276" w:rsidRDefault="002C1276" w:rsidP="003E1980">
      <w:pPr>
        <w:pStyle w:val="SMHeading"/>
        <w:rPr>
          <w:rFonts w:ascii="Myriad Pro" w:hAnsi="Myriad Pro"/>
          <w:b w:val="0"/>
          <w:bCs w:val="0"/>
          <w:sz w:val="22"/>
          <w:szCs w:val="22"/>
        </w:rPr>
      </w:pPr>
      <w:r w:rsidRPr="005314B5">
        <w:rPr>
          <w:rFonts w:ascii="Myriad Pro" w:hAnsi="Myriad Pro"/>
          <w:sz w:val="22"/>
          <w:szCs w:val="22"/>
        </w:rPr>
        <w:t>Figure S</w:t>
      </w:r>
      <w:r>
        <w:rPr>
          <w:rFonts w:ascii="Myriad Pro" w:hAnsi="Myriad Pro"/>
          <w:sz w:val="22"/>
          <w:szCs w:val="22"/>
        </w:rPr>
        <w:t>8</w:t>
      </w:r>
      <w:r w:rsidRPr="005314B5">
        <w:rPr>
          <w:rFonts w:ascii="Myriad Pro" w:hAnsi="Myriad Pro"/>
          <w:sz w:val="22"/>
          <w:szCs w:val="22"/>
        </w:rPr>
        <w:t xml:space="preserve">. </w:t>
      </w:r>
      <w:r w:rsidRPr="00EF2A10">
        <w:rPr>
          <w:rFonts w:ascii="Myriad Pro" w:hAnsi="Myriad Pro"/>
          <w:b w:val="0"/>
          <w:bCs w:val="0"/>
          <w:sz w:val="22"/>
          <w:szCs w:val="22"/>
        </w:rPr>
        <w:t>Binned natural logarithms of HNCO mixing ratios linearly depend upon inverse temperatures measured at MEFO during both wet (blue) and dry (red) periods. Data (small squares) are averaged into 20 evenly spaced 1/T bins. Whiskers represent standard deviations associated with the bin averages. Wet and dry sorting follows the algorithm description in section 2.3.</w:t>
      </w:r>
    </w:p>
    <w:p w14:paraId="704B67E8" w14:textId="4C906FDC" w:rsidR="00521D1D" w:rsidRDefault="00521D1D" w:rsidP="003E1980">
      <w:pPr>
        <w:pStyle w:val="SMHeading"/>
        <w:rPr>
          <w:b w:val="0"/>
          <w:bCs w:val="0"/>
        </w:rPr>
      </w:pPr>
      <w:r>
        <w:rPr>
          <w:b w:val="0"/>
          <w:bCs w:val="0"/>
          <w:noProof/>
          <w:lang w:val="en-PH" w:eastAsia="en-PH"/>
        </w:rPr>
        <w:lastRenderedPageBreak/>
        <w:drawing>
          <wp:inline distT="0" distB="0" distL="0" distR="0" wp14:anchorId="04EBFC6C" wp14:editId="2AB37FA3">
            <wp:extent cx="5480050" cy="43243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0050" cy="4324350"/>
                    </a:xfrm>
                    <a:prstGeom prst="rect">
                      <a:avLst/>
                    </a:prstGeom>
                    <a:noFill/>
                    <a:ln>
                      <a:noFill/>
                    </a:ln>
                  </pic:spPr>
                </pic:pic>
              </a:graphicData>
            </a:graphic>
          </wp:inline>
        </w:drawing>
      </w:r>
    </w:p>
    <w:p w14:paraId="38BE8D80" w14:textId="37C6A79F" w:rsidR="00165AE1" w:rsidRDefault="00521D1D" w:rsidP="003E1980">
      <w:pPr>
        <w:pStyle w:val="SMHeading"/>
        <w:rPr>
          <w:rFonts w:ascii="Myriad Pro" w:hAnsi="Myriad Pro"/>
          <w:b w:val="0"/>
          <w:bCs w:val="0"/>
          <w:sz w:val="22"/>
          <w:szCs w:val="22"/>
        </w:rPr>
      </w:pPr>
      <w:r w:rsidRPr="005314B5">
        <w:rPr>
          <w:rFonts w:ascii="Myriad Pro" w:hAnsi="Myriad Pro"/>
          <w:sz w:val="22"/>
          <w:szCs w:val="22"/>
        </w:rPr>
        <w:t>Figure S</w:t>
      </w:r>
      <w:r>
        <w:rPr>
          <w:rFonts w:ascii="Myriad Pro" w:hAnsi="Myriad Pro"/>
          <w:sz w:val="22"/>
          <w:szCs w:val="22"/>
        </w:rPr>
        <w:t>9</w:t>
      </w:r>
      <w:r w:rsidRPr="005314B5">
        <w:rPr>
          <w:rFonts w:ascii="Myriad Pro" w:hAnsi="Myriad Pro"/>
          <w:sz w:val="22"/>
          <w:szCs w:val="22"/>
        </w:rPr>
        <w:t xml:space="preserve">. </w:t>
      </w:r>
      <w:r>
        <w:rPr>
          <w:rFonts w:ascii="Myriad Pro" w:hAnsi="Myriad Pro"/>
          <w:b w:val="0"/>
          <w:bCs w:val="0"/>
          <w:sz w:val="22"/>
          <w:szCs w:val="22"/>
        </w:rPr>
        <w:t>Observed enthalpies of solvation (</w:t>
      </w:r>
      <w:proofErr w:type="spellStart"/>
      <w:r w:rsidRPr="00521D1D">
        <w:rPr>
          <w:rFonts w:ascii="Arial" w:hAnsi="Arial" w:cs="Arial"/>
          <w:b w:val="0"/>
          <w:bCs w:val="0"/>
          <w:sz w:val="22"/>
          <w:szCs w:val="22"/>
        </w:rPr>
        <w:t>Δ</w:t>
      </w:r>
      <w:r w:rsidRPr="00521D1D">
        <w:rPr>
          <w:rFonts w:ascii="Myriad Pro" w:hAnsi="Myriad Pro"/>
          <w:b w:val="0"/>
          <w:bCs w:val="0"/>
          <w:sz w:val="22"/>
          <w:szCs w:val="22"/>
        </w:rPr>
        <w:t>H</w:t>
      </w:r>
      <w:r>
        <w:rPr>
          <w:rFonts w:ascii="Myriad Pro" w:hAnsi="Myriad Pro"/>
          <w:b w:val="0"/>
          <w:bCs w:val="0"/>
          <w:sz w:val="22"/>
          <w:szCs w:val="22"/>
          <w:vertAlign w:val="subscript"/>
        </w:rPr>
        <w:t>obs</w:t>
      </w:r>
      <w:proofErr w:type="spellEnd"/>
      <w:r>
        <w:rPr>
          <w:rFonts w:ascii="Myriad Pro" w:hAnsi="Myriad Pro"/>
          <w:b w:val="0"/>
          <w:bCs w:val="0"/>
          <w:sz w:val="22"/>
          <w:szCs w:val="22"/>
        </w:rPr>
        <w:t xml:space="preserve">) for five acids (HNCO, </w:t>
      </w:r>
      <w:r>
        <w:rPr>
          <w:rFonts w:ascii="Myriad Pro" w:hAnsi="Myriad Pro"/>
          <w:b w:val="0"/>
          <w:bCs w:val="0"/>
          <w:sz w:val="22"/>
          <w:szCs w:val="22"/>
          <w:u w:val="single"/>
        </w:rPr>
        <w:t>form</w:t>
      </w:r>
      <w:r>
        <w:rPr>
          <w:rFonts w:ascii="Myriad Pro" w:hAnsi="Myriad Pro"/>
          <w:b w:val="0"/>
          <w:bCs w:val="0"/>
          <w:sz w:val="22"/>
          <w:szCs w:val="22"/>
        </w:rPr>
        <w:t xml:space="preserve">ic, </w:t>
      </w:r>
      <w:r>
        <w:rPr>
          <w:rFonts w:ascii="Myriad Pro" w:hAnsi="Myriad Pro"/>
          <w:b w:val="0"/>
          <w:bCs w:val="0"/>
          <w:sz w:val="22"/>
          <w:szCs w:val="22"/>
          <w:u w:val="single"/>
        </w:rPr>
        <w:t>prop</w:t>
      </w:r>
      <w:r>
        <w:rPr>
          <w:rFonts w:ascii="Myriad Pro" w:hAnsi="Myriad Pro"/>
          <w:b w:val="0"/>
          <w:bCs w:val="0"/>
          <w:sz w:val="22"/>
          <w:szCs w:val="22"/>
        </w:rPr>
        <w:t xml:space="preserve">ionic, </w:t>
      </w:r>
      <w:r>
        <w:rPr>
          <w:rFonts w:ascii="Myriad Pro" w:hAnsi="Myriad Pro"/>
          <w:b w:val="0"/>
          <w:bCs w:val="0"/>
          <w:sz w:val="22"/>
          <w:szCs w:val="22"/>
          <w:u w:val="single"/>
        </w:rPr>
        <w:t>but</w:t>
      </w:r>
      <w:r>
        <w:rPr>
          <w:rFonts w:ascii="Myriad Pro" w:hAnsi="Myriad Pro"/>
          <w:b w:val="0"/>
          <w:bCs w:val="0"/>
          <w:sz w:val="22"/>
          <w:szCs w:val="22"/>
        </w:rPr>
        <w:t xml:space="preserve">yric, and </w:t>
      </w:r>
      <w:r>
        <w:rPr>
          <w:rFonts w:ascii="Myriad Pro" w:hAnsi="Myriad Pro"/>
          <w:b w:val="0"/>
          <w:bCs w:val="0"/>
          <w:sz w:val="22"/>
          <w:szCs w:val="22"/>
          <w:u w:val="single"/>
        </w:rPr>
        <w:t>meth</w:t>
      </w:r>
      <w:r>
        <w:rPr>
          <w:rFonts w:ascii="Myriad Pro" w:hAnsi="Myriad Pro"/>
          <w:b w:val="0"/>
          <w:bCs w:val="0"/>
          <w:sz w:val="22"/>
          <w:szCs w:val="22"/>
        </w:rPr>
        <w:t>acrylic acids) are similar to intrinsic literature values (</w:t>
      </w:r>
      <w:proofErr w:type="spellStart"/>
      <w:r>
        <w:rPr>
          <w:rFonts w:ascii="Arial" w:hAnsi="Arial" w:cs="Arial"/>
          <w:b w:val="0"/>
          <w:bCs w:val="0"/>
          <w:sz w:val="22"/>
          <w:szCs w:val="22"/>
        </w:rPr>
        <w:t>Δ</w:t>
      </w:r>
      <w:r>
        <w:rPr>
          <w:rFonts w:ascii="Myriad Pro" w:hAnsi="Myriad Pro"/>
          <w:b w:val="0"/>
          <w:bCs w:val="0"/>
          <w:sz w:val="22"/>
          <w:szCs w:val="22"/>
        </w:rPr>
        <w:t>H</w:t>
      </w:r>
      <w:r>
        <w:rPr>
          <w:rFonts w:ascii="Myriad Pro" w:hAnsi="Myriad Pro"/>
          <w:b w:val="0"/>
          <w:bCs w:val="0"/>
          <w:sz w:val="22"/>
          <w:szCs w:val="22"/>
          <w:vertAlign w:val="subscript"/>
        </w:rPr>
        <w:t>solvation</w:t>
      </w:r>
      <w:proofErr w:type="spellEnd"/>
      <w:r>
        <w:rPr>
          <w:rFonts w:ascii="Myriad Pro" w:hAnsi="Myriad Pro"/>
          <w:b w:val="0"/>
          <w:bCs w:val="0"/>
          <w:sz w:val="22"/>
          <w:szCs w:val="22"/>
        </w:rPr>
        <w:t xml:space="preserve">) when the forest is dry (red), but not when wet (blue). Under wet conditions, </w:t>
      </w:r>
      <w:proofErr w:type="spellStart"/>
      <w:r w:rsidRPr="00521D1D">
        <w:rPr>
          <w:rFonts w:ascii="Arial" w:hAnsi="Arial" w:cs="Arial"/>
          <w:b w:val="0"/>
          <w:bCs w:val="0"/>
          <w:sz w:val="22"/>
          <w:szCs w:val="22"/>
        </w:rPr>
        <w:t>Δ</w:t>
      </w:r>
      <w:r w:rsidRPr="00521D1D">
        <w:rPr>
          <w:rFonts w:ascii="Myriad Pro" w:hAnsi="Myriad Pro"/>
          <w:b w:val="0"/>
          <w:bCs w:val="0"/>
          <w:sz w:val="22"/>
          <w:szCs w:val="22"/>
        </w:rPr>
        <w:t>H</w:t>
      </w:r>
      <w:r>
        <w:rPr>
          <w:rFonts w:ascii="Myriad Pro" w:hAnsi="Myriad Pro"/>
          <w:b w:val="0"/>
          <w:bCs w:val="0"/>
          <w:sz w:val="22"/>
          <w:szCs w:val="22"/>
          <w:vertAlign w:val="subscript"/>
        </w:rPr>
        <w:t>obs</w:t>
      </w:r>
      <w:proofErr w:type="spellEnd"/>
      <w:r>
        <w:rPr>
          <w:rFonts w:ascii="Myriad Pro" w:hAnsi="Myriad Pro"/>
          <w:b w:val="0"/>
          <w:bCs w:val="0"/>
          <w:sz w:val="22"/>
          <w:szCs w:val="22"/>
        </w:rPr>
        <w:t xml:space="preserve"> is more exothermic and favors aqueous partitioning.</w:t>
      </w:r>
    </w:p>
    <w:p w14:paraId="151CB08A" w14:textId="4654A804" w:rsidR="002C1276" w:rsidRDefault="00521D1D" w:rsidP="003E1980">
      <w:pPr>
        <w:pStyle w:val="SMHeading"/>
        <w:rPr>
          <w:rFonts w:ascii="Myriad Pro" w:hAnsi="Myriad Pro"/>
          <w:sz w:val="22"/>
          <w:szCs w:val="22"/>
        </w:rPr>
      </w:pPr>
      <w:r>
        <w:rPr>
          <w:rFonts w:ascii="Myriad Pro" w:hAnsi="Myriad Pro"/>
          <w:b w:val="0"/>
          <w:bCs w:val="0"/>
          <w:sz w:val="22"/>
          <w:szCs w:val="22"/>
        </w:rPr>
        <w:lastRenderedPageBreak/>
        <w:t xml:space="preserve"> </w:t>
      </w:r>
      <w:r w:rsidR="002C1276">
        <w:rPr>
          <w:noProof/>
          <w:lang w:val="en-PH" w:eastAsia="en-PH"/>
        </w:rPr>
        <w:drawing>
          <wp:inline distT="0" distB="0" distL="0" distR="0" wp14:anchorId="74E3B6AD" wp14:editId="29F408B2">
            <wp:extent cx="5486400" cy="351692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516923"/>
                    </a:xfrm>
                    <a:prstGeom prst="rect">
                      <a:avLst/>
                    </a:prstGeom>
                    <a:noFill/>
                    <a:ln>
                      <a:noFill/>
                    </a:ln>
                  </pic:spPr>
                </pic:pic>
              </a:graphicData>
            </a:graphic>
          </wp:inline>
        </w:drawing>
      </w:r>
    </w:p>
    <w:p w14:paraId="66A33666" w14:textId="350565C8" w:rsidR="002C1276" w:rsidRDefault="002C1276" w:rsidP="003E1980">
      <w:pPr>
        <w:pStyle w:val="SMHeading"/>
        <w:rPr>
          <w:rFonts w:eastAsiaTheme="minorEastAsia"/>
          <w:b w:val="0"/>
          <w:bCs w:val="0"/>
        </w:rPr>
      </w:pPr>
      <w:r w:rsidRPr="005314B5">
        <w:rPr>
          <w:rFonts w:ascii="Myriad Pro" w:hAnsi="Myriad Pro"/>
          <w:sz w:val="22"/>
          <w:szCs w:val="22"/>
        </w:rPr>
        <w:t>Figure S</w:t>
      </w:r>
      <w:r w:rsidR="00521D1D">
        <w:rPr>
          <w:rFonts w:ascii="Myriad Pro" w:hAnsi="Myriad Pro"/>
          <w:sz w:val="22"/>
          <w:szCs w:val="22"/>
        </w:rPr>
        <w:t>10</w:t>
      </w:r>
      <w:r w:rsidRPr="005314B5">
        <w:rPr>
          <w:rFonts w:ascii="Myriad Pro" w:hAnsi="Myriad Pro"/>
          <w:sz w:val="22"/>
          <w:szCs w:val="22"/>
        </w:rPr>
        <w:t xml:space="preserve">. </w:t>
      </w:r>
      <w:r w:rsidRPr="00EF2A10">
        <w:rPr>
          <w:rFonts w:ascii="Myriad Pro" w:hAnsi="Myriad Pro"/>
          <w:b w:val="0"/>
          <w:bCs w:val="0"/>
          <w:sz w:val="22"/>
          <w:szCs w:val="22"/>
        </w:rPr>
        <w:t xml:space="preserve">Modified </w:t>
      </w:r>
      <w:proofErr w:type="spellStart"/>
      <w:r w:rsidRPr="00EF2A10">
        <w:rPr>
          <w:rFonts w:ascii="Myriad Pro" w:hAnsi="Myriad Pro"/>
          <w:b w:val="0"/>
          <w:bCs w:val="0"/>
          <w:sz w:val="22"/>
          <w:szCs w:val="22"/>
        </w:rPr>
        <w:t>van’t</w:t>
      </w:r>
      <w:proofErr w:type="spellEnd"/>
      <w:r w:rsidRPr="00EF2A10">
        <w:rPr>
          <w:rFonts w:ascii="Myriad Pro" w:hAnsi="Myriad Pro"/>
          <w:b w:val="0"/>
          <w:bCs w:val="0"/>
          <w:sz w:val="22"/>
          <w:szCs w:val="22"/>
        </w:rPr>
        <w:t xml:space="preserve"> Hoff plot for isoprene measured at University of Michigan Biological Station </w:t>
      </w:r>
      <w:r w:rsidRPr="00EF2A10">
        <w:rPr>
          <w:rFonts w:ascii="Myriad Pro" w:hAnsi="Myriad Pro"/>
          <w:b w:val="0"/>
          <w:bCs w:val="0"/>
          <w:sz w:val="22"/>
          <w:szCs w:val="22"/>
        </w:rPr>
        <w:fldChar w:fldCharType="begin"/>
      </w:r>
      <w:r w:rsidRPr="00EF2A10">
        <w:rPr>
          <w:rFonts w:ascii="Myriad Pro" w:hAnsi="Myriad Pro"/>
          <w:b w:val="0"/>
          <w:bCs w:val="0"/>
          <w:sz w:val="22"/>
          <w:szCs w:val="22"/>
        </w:rPr>
        <w:instrText xml:space="preserve"> ADDIN ZOTERO_ITEM CSL_CITATION {"citationID":"1Tgv92Eq","properties":{"formattedCitation":"(Alwe et al., 2019)","plainCitation":"(Alwe et al., 2019)","noteIndex":0},"citationItems":[{"id":1030,"uris":["http://zotero.org/users/2769015/items/SXFEN3IS"],"uri":["http://zotero.org/users/2769015/items/SXFEN3IS"],"itemData":{"id":1030,"type":"article-journal","abstract":"Formic acid (HCOOH) is among the most abundant carboxylic acids in the atmosphere, but its budget is poorly understood. We present eddy flux, vertical gradient, and soil chamber measurements from a mixed forest and apply the data to better constrain HCOOH source/sink pathways. While the cumulative above-canopy flux was downward, HCOOH exchange was bidirectional, with extended periods of net upward and downward flux. Net above-canopy fluxes were mostly upward during warmer/drier periods. The implied gross canopy HCOOH source corresponds to 3% and 38% of observed isoprene and monoterpene carbon emissions and is 15× underestimated in a state-of-science atmospheric model (GEOS-Chem). Gradient and soil chamber measurements identify the canopy layer as the controlling source of HCOOH or its precursors to the forest environment; below-canopy sources were minor. A correlation analysis using an ensemble of marker volatile organic compounds suggests that secondary formation, not direct emission, is the major source driving ambient HCOOH.","container-title":"Geophysical Research Letters","DOI":"10.1029/2018GL081526","ISSN":"1944-8007","issue":"5","language":"en","page":"2940-2948","source":"Wiley Online Library","title":"Oxidation of Volatile Organic Compounds as the Major Source of Formic Acid in a Mixed Forest Canopy","volume":"46","author":[{"family":"Alwe","given":"Hariprasad D."},{"family":"Millet","given":"Dylan B."},{"family":"Chen","given":"Xin"},{"family":"Raff","given":"Jonathan D."},{"family":"Payne","given":"Zachary C."},{"family":"Fledderman","given":"Kathryn"}],"issued":{"date-parts":[["2019"]]}}}],"schema":"https://github.com/citation-style-language/schema/raw/master/csl-citation.json"} </w:instrText>
      </w:r>
      <w:r w:rsidRPr="00EF2A10">
        <w:rPr>
          <w:rFonts w:ascii="Myriad Pro" w:hAnsi="Myriad Pro"/>
          <w:b w:val="0"/>
          <w:bCs w:val="0"/>
          <w:sz w:val="22"/>
          <w:szCs w:val="22"/>
        </w:rPr>
        <w:fldChar w:fldCharType="separate"/>
      </w:r>
      <w:r w:rsidRPr="00EF2A10">
        <w:rPr>
          <w:rFonts w:ascii="Myriad Pro" w:hAnsi="Myriad Pro"/>
          <w:b w:val="0"/>
          <w:bCs w:val="0"/>
          <w:sz w:val="22"/>
          <w:szCs w:val="22"/>
        </w:rPr>
        <w:t>(Alwe et al., 2019)</w:t>
      </w:r>
      <w:r w:rsidRPr="00EF2A10">
        <w:rPr>
          <w:rFonts w:ascii="Myriad Pro" w:hAnsi="Myriad Pro"/>
          <w:b w:val="0"/>
          <w:bCs w:val="0"/>
          <w:sz w:val="22"/>
          <w:szCs w:val="22"/>
        </w:rPr>
        <w:fldChar w:fldCharType="end"/>
      </w:r>
      <w:r w:rsidRPr="00EF2A10">
        <w:rPr>
          <w:rFonts w:ascii="Myriad Pro" w:hAnsi="Myriad Pro"/>
          <w:b w:val="0"/>
          <w:bCs w:val="0"/>
          <w:sz w:val="22"/>
          <w:szCs w:val="22"/>
        </w:rPr>
        <w:t xml:space="preserve">. Data are sorted into periods with (blue) and without (red) surface wetness according to </w:t>
      </w:r>
      <w:proofErr w:type="spellStart"/>
      <w:r w:rsidRPr="00EF2A10">
        <w:rPr>
          <w:rFonts w:ascii="Myriad Pro" w:hAnsi="Myriad Pro"/>
          <w:b w:val="0"/>
          <w:bCs w:val="0"/>
          <w:sz w:val="22"/>
          <w:szCs w:val="22"/>
        </w:rPr>
        <w:t>Altimir</w:t>
      </w:r>
      <w:proofErr w:type="spellEnd"/>
      <w:r w:rsidRPr="00EF2A10">
        <w:rPr>
          <w:rFonts w:ascii="Myriad Pro" w:hAnsi="Myriad Pro"/>
          <w:b w:val="0"/>
          <w:bCs w:val="0"/>
          <w:sz w:val="22"/>
          <w:szCs w:val="22"/>
        </w:rPr>
        <w:t xml:space="preserve"> et al. </w:t>
      </w:r>
      <w:r w:rsidRPr="00EF2A10">
        <w:rPr>
          <w:rFonts w:ascii="Myriad Pro" w:hAnsi="Myriad Pro"/>
          <w:b w:val="0"/>
          <w:bCs w:val="0"/>
          <w:sz w:val="22"/>
          <w:szCs w:val="22"/>
        </w:rPr>
        <w:fldChar w:fldCharType="begin"/>
      </w:r>
      <w:r w:rsidRPr="00EF2A10">
        <w:rPr>
          <w:rFonts w:ascii="Myriad Pro" w:hAnsi="Myriad Pro"/>
          <w:b w:val="0"/>
          <w:bCs w:val="0"/>
          <w:sz w:val="22"/>
          <w:szCs w:val="22"/>
        </w:rPr>
        <w:instrText xml:space="preserve"> ADDIN ZOTERO_ITEM CSL_CITATION {"citationID":"MjFW4agU","properties":{"formattedCitation":"(Altimir et al., 2006)","plainCitation":"(Altimir et al., 2006)","noteIndex":0},"citationItems":[{"id":1263,"uris":["http://zotero.org/users/2769015/items/JJLXTG8Z"],"uri":["http://zotero.org/users/2769015/items/JJLXTG8Z"],"itemData":{"id":1263,"type":"article-journal","abstract":"&lt;p&gt;&lt;strong&gt;Abstract.&lt;/strong&gt; This paper addresses the potential role of surface wetness in ozone deposition to plant foliage. We studied Scots pine foliage in field conditions at the SMEARII field measurement station in Finland. We used a combination of data from flux measurement at the shoot (enclosure) and canopy scale (eddy covariance), information from foliage surface wetness sensors, and a broad array of ancillary measurements such as radiation, precipitation, temperature, and relative humidity. Environmental conditions were defined as moist during rain or high relative humidity and during the subsequent twelve hours from such events, circumstances that were frequent at this boreal site. From the measured fluxes we estimated the ozone conductance using it as the expression of the strength of ozone removal surface sink or total deposition. Further, we estimated the stomatal contribution and the remaining deposition was interpreted and analysed as the non-stomatal sink. &lt;P style=\"line-height: 20px;\"&gt; The combined time series of measurements showed that both shoot and canopy-scale ozone total deposition were enhanced when moist conditions occurred. On average, the estimated stomatal deposition accounted for half of the measured removal at the shoot scale and one third at the canopy scale. However, during dry conditions the estimated stomatal uptake predicted the behaviour of the measured deposition, but during moist conditions there was disagreement. The estimated non-stomatal sink was analysed against several environmental factors and the clearest connection was found with ambient relative humidity. The relationship disappeared under 70% relative humidity, a threshold that coincides with the value at which surface moisture gathers at the foliage surface according to the leaf surface wetness measurements. This suggests the non-stomatal ozone sink on the foliage to be modulated by the surface films. We attempted to extract such potential modulation with the estimated film formation via the theoretical expression of adsorption. Whereas this procedure could predict the behaviour of the non-stomatal sink, it implied a chemical sink that was not accountable as simple ozone decomposition. We discuss the existence of other mechanisms whose relevance in the removal of ozone needs to be clarified, in particular: a significant nocturnal stomatal aperture neglected in the estimations, and a potentially large chemical sink offered by reactive biogenic organic volatile compounds.&lt;/p&gt;","container-title":"Biogeosciences","DOI":"https://doi.org/10.5194/bg-3-209-2006","ISSN":"1726-4170","issue":"2","language":"English","page":"209-228","source":"www.biogeosciences.net","title":"Foliage surface ozone deposition: a role for surface moisture?","title-short":"Foliage surface ozone deposition","volume":"3","author":[{"family":"Altimir","given":"N."},{"family":"Kolari","given":"P."},{"family":"Tuovinen","given":"J.-P."},{"family":"Vesala","given":"T."},{"family":"Bäck","given":"J."},{"family":"Suni","given":"T."},{"family":"Kulmala","given":"M."},{"family":"Hari","given":"P."}],"issued":{"date-parts":[["2006",5,15]]}}}],"schema":"https://github.com/citation-style-language/schema/raw/master/csl-citation.json"} </w:instrText>
      </w:r>
      <w:r w:rsidRPr="00EF2A10">
        <w:rPr>
          <w:rFonts w:ascii="Myriad Pro" w:hAnsi="Myriad Pro"/>
          <w:b w:val="0"/>
          <w:bCs w:val="0"/>
          <w:sz w:val="22"/>
          <w:szCs w:val="22"/>
        </w:rPr>
        <w:fldChar w:fldCharType="separate"/>
      </w:r>
      <w:r w:rsidRPr="00EF2A10">
        <w:rPr>
          <w:rFonts w:ascii="Myriad Pro" w:hAnsi="Myriad Pro"/>
          <w:b w:val="0"/>
          <w:bCs w:val="0"/>
          <w:sz w:val="22"/>
          <w:szCs w:val="22"/>
        </w:rPr>
        <w:t>(2006)</w:t>
      </w:r>
      <w:r w:rsidRPr="00EF2A10">
        <w:rPr>
          <w:rFonts w:ascii="Myriad Pro" w:hAnsi="Myriad Pro"/>
          <w:b w:val="0"/>
          <w:bCs w:val="0"/>
          <w:sz w:val="22"/>
          <w:szCs w:val="22"/>
        </w:rPr>
        <w:fldChar w:fldCharType="end"/>
      </w:r>
      <w:r w:rsidRPr="00EF2A10">
        <w:rPr>
          <w:rFonts w:ascii="Myriad Pro" w:hAnsi="Myriad Pro"/>
          <w:b w:val="0"/>
          <w:bCs w:val="0"/>
          <w:sz w:val="22"/>
          <w:szCs w:val="22"/>
        </w:rPr>
        <w:t xml:space="preserve">. Linear regressions of evenly spaced binned data agree within uncertainty: </w:t>
      </w:r>
      <m:oMath>
        <m:sSub>
          <m:sSubPr>
            <m:ctrlPr>
              <w:rPr>
                <w:rFonts w:ascii="Cambria Math" w:hAnsi="Cambria Math"/>
                <w:b w:val="0"/>
                <w:bCs w:val="0"/>
                <w:i/>
                <w:sz w:val="22"/>
                <w:szCs w:val="22"/>
              </w:rPr>
            </m:ctrlPr>
          </m:sSubPr>
          <m:e>
            <m:func>
              <m:funcPr>
                <m:ctrlPr>
                  <w:rPr>
                    <w:rFonts w:ascii="Cambria Math" w:hAnsi="Cambria Math"/>
                    <w:b w:val="0"/>
                    <w:bCs w:val="0"/>
                    <w:i/>
                    <w:sz w:val="22"/>
                    <w:szCs w:val="22"/>
                  </w:rPr>
                </m:ctrlPr>
              </m:funcPr>
              <m:fName>
                <m:r>
                  <m:rPr>
                    <m:sty m:val="b"/>
                  </m:rPr>
                  <w:rPr>
                    <w:rFonts w:ascii="Cambria Math" w:hAnsi="Cambria Math"/>
                    <w:sz w:val="22"/>
                    <w:szCs w:val="22"/>
                  </w:rPr>
                  <m:t>ln</m:t>
                </m:r>
              </m:fName>
              <m:e>
                <m:d>
                  <m:dPr>
                    <m:begChr m:val="["/>
                    <m:endChr m:val="]"/>
                    <m:ctrlPr>
                      <w:rPr>
                        <w:rFonts w:ascii="Cambria Math" w:hAnsi="Cambria Math"/>
                        <w:b w:val="0"/>
                        <w:bCs w:val="0"/>
                        <w:i/>
                        <w:sz w:val="22"/>
                        <w:szCs w:val="22"/>
                      </w:rPr>
                    </m:ctrlPr>
                  </m:dPr>
                  <m:e>
                    <m:r>
                      <m:rPr>
                        <m:sty m:val="bi"/>
                      </m:rPr>
                      <w:rPr>
                        <w:rFonts w:ascii="Cambria Math" w:hAnsi="Cambria Math"/>
                        <w:sz w:val="22"/>
                        <w:szCs w:val="22"/>
                      </w:rPr>
                      <m:t>Isoprene</m:t>
                    </m:r>
                  </m:e>
                </m:d>
              </m:e>
            </m:func>
          </m:e>
          <m:sub>
            <m:r>
              <m:rPr>
                <m:sty m:val="bi"/>
              </m:rPr>
              <w:rPr>
                <w:rFonts w:ascii="Cambria Math" w:hAnsi="Cambria Math"/>
                <w:sz w:val="22"/>
                <w:szCs w:val="22"/>
              </w:rPr>
              <m:t>wet</m:t>
            </m:r>
          </m:sub>
        </m:sSub>
        <m:r>
          <m:rPr>
            <m:sty m:val="bi"/>
          </m:rPr>
          <w:rPr>
            <w:rFonts w:ascii="Cambria Math" w:hAnsi="Cambria Math"/>
            <w:sz w:val="22"/>
            <w:szCs w:val="22"/>
          </w:rPr>
          <m:t>=</m:t>
        </m:r>
        <m:d>
          <m:dPr>
            <m:ctrlPr>
              <w:rPr>
                <w:rFonts w:ascii="Cambria Math" w:hAnsi="Cambria Math"/>
                <w:b w:val="0"/>
                <w:bCs w:val="0"/>
                <w:i/>
                <w:sz w:val="22"/>
                <w:szCs w:val="22"/>
              </w:rPr>
            </m:ctrlPr>
          </m:dPr>
          <m:e>
            <m:r>
              <m:rPr>
                <m:sty m:val="bi"/>
              </m:rPr>
              <w:rPr>
                <w:rFonts w:ascii="Cambria Math" w:hAnsi="Cambria Math"/>
                <w:sz w:val="22"/>
                <w:szCs w:val="22"/>
              </w:rPr>
              <m:t>-18200 ±600</m:t>
            </m:r>
          </m:e>
        </m:d>
        <m:r>
          <m:rPr>
            <m:sty m:val="bi"/>
          </m:rPr>
          <w:rPr>
            <w:rFonts w:ascii="Cambria Math" w:hAnsi="Cambria Math"/>
            <w:sz w:val="22"/>
            <w:szCs w:val="22"/>
          </w:rPr>
          <m:t>×</m:t>
        </m:r>
        <m:f>
          <m:fPr>
            <m:ctrlPr>
              <w:rPr>
                <w:rFonts w:ascii="Cambria Math" w:hAnsi="Cambria Math"/>
                <w:b w:val="0"/>
                <w:bCs w:val="0"/>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T</m:t>
            </m:r>
          </m:den>
        </m:f>
        <m:r>
          <m:rPr>
            <m:sty m:val="bi"/>
          </m:rPr>
          <w:rPr>
            <w:rFonts w:ascii="Cambria Math" w:hAnsi="Cambria Math"/>
            <w:sz w:val="22"/>
            <w:szCs w:val="22"/>
          </w:rPr>
          <m:t>+</m:t>
        </m:r>
        <m:d>
          <m:dPr>
            <m:ctrlPr>
              <w:rPr>
                <w:rFonts w:ascii="Cambria Math" w:hAnsi="Cambria Math"/>
                <w:b w:val="0"/>
                <w:bCs w:val="0"/>
                <w:i/>
                <w:sz w:val="22"/>
                <w:szCs w:val="22"/>
              </w:rPr>
            </m:ctrlPr>
          </m:dPr>
          <m:e>
            <m:r>
              <m:rPr>
                <m:sty m:val="bi"/>
              </m:rPr>
              <w:rPr>
                <w:rFonts w:ascii="Cambria Math" w:hAnsi="Cambria Math"/>
                <w:sz w:val="22"/>
                <w:szCs w:val="22"/>
              </w:rPr>
              <m:t>61.5±2</m:t>
            </m:r>
          </m:e>
        </m:d>
      </m:oMath>
      <w:r w:rsidRPr="00EF2A10">
        <w:rPr>
          <w:rFonts w:ascii="Myriad Pro" w:eastAsiaTheme="minorEastAsia" w:hAnsi="Myriad Pro"/>
          <w:b w:val="0"/>
          <w:bCs w:val="0"/>
          <w:sz w:val="22"/>
          <w:szCs w:val="22"/>
        </w:rPr>
        <w:t xml:space="preserve">; </w:t>
      </w:r>
      <m:oMath>
        <m:sSub>
          <m:sSubPr>
            <m:ctrlPr>
              <w:rPr>
                <w:rFonts w:ascii="Cambria Math" w:eastAsiaTheme="minorEastAsia" w:hAnsi="Cambria Math"/>
                <w:b w:val="0"/>
                <w:bCs w:val="0"/>
                <w:sz w:val="22"/>
                <w:szCs w:val="22"/>
              </w:rPr>
            </m:ctrlPr>
          </m:sSubPr>
          <m:e>
            <m:r>
              <m:rPr>
                <m:sty m:val="b"/>
              </m:rPr>
              <w:rPr>
                <w:rFonts w:ascii="Cambria Math" w:eastAsiaTheme="minorEastAsia" w:hAnsi="Cambria Math"/>
                <w:sz w:val="22"/>
                <w:szCs w:val="22"/>
              </w:rPr>
              <m:t>ln⁡</m:t>
            </m:r>
            <m:r>
              <m:rPr>
                <m:sty m:val="bi"/>
              </m:rPr>
              <w:rPr>
                <w:rFonts w:ascii="Cambria Math" w:eastAsiaTheme="minorEastAsia" w:hAnsi="Cambria Math"/>
                <w:sz w:val="22"/>
                <w:szCs w:val="22"/>
              </w:rPr>
              <m:t>[Isoprene]</m:t>
            </m:r>
          </m:e>
          <m:sub>
            <m:r>
              <m:rPr>
                <m:sty m:val="bi"/>
              </m:rPr>
              <w:rPr>
                <w:rFonts w:ascii="Cambria Math" w:eastAsiaTheme="minorEastAsia" w:hAnsi="Cambria Math"/>
                <w:sz w:val="22"/>
                <w:szCs w:val="22"/>
              </w:rPr>
              <m:t>dry</m:t>
            </m:r>
          </m:sub>
        </m:sSub>
        <m:r>
          <m:rPr>
            <m:sty m:val="bi"/>
          </m:rPr>
          <w:rPr>
            <w:rFonts w:ascii="Cambria Math" w:eastAsiaTheme="minorEastAsia" w:hAnsi="Cambria Math"/>
            <w:sz w:val="22"/>
            <w:szCs w:val="22"/>
          </w:rPr>
          <m:t>=</m:t>
        </m:r>
        <m:d>
          <m:dPr>
            <m:ctrlPr>
              <w:rPr>
                <w:rFonts w:ascii="Cambria Math" w:eastAsiaTheme="minorEastAsia" w:hAnsi="Cambria Math"/>
                <w:b w:val="0"/>
                <w:bCs w:val="0"/>
                <w:i/>
                <w:sz w:val="22"/>
                <w:szCs w:val="22"/>
              </w:rPr>
            </m:ctrlPr>
          </m:dPr>
          <m:e>
            <m:r>
              <m:rPr>
                <m:sty m:val="bi"/>
              </m:rPr>
              <w:rPr>
                <w:rFonts w:ascii="Cambria Math" w:eastAsiaTheme="minorEastAsia" w:hAnsi="Cambria Math"/>
                <w:sz w:val="22"/>
                <w:szCs w:val="22"/>
              </w:rPr>
              <m:t>-20800±2000</m:t>
            </m:r>
          </m:e>
        </m:d>
        <m:r>
          <m:rPr>
            <m:sty m:val="bi"/>
          </m:rPr>
          <w:rPr>
            <w:rFonts w:ascii="Cambria Math" w:eastAsiaTheme="minorEastAsia" w:hAnsi="Cambria Math"/>
            <w:sz w:val="22"/>
            <w:szCs w:val="22"/>
          </w:rPr>
          <m:t>×</m:t>
        </m:r>
        <m:f>
          <m:fPr>
            <m:ctrlPr>
              <w:rPr>
                <w:rFonts w:ascii="Cambria Math" w:eastAsiaTheme="minorEastAsia" w:hAnsi="Cambria Math"/>
                <w:b w:val="0"/>
                <w:bCs w:val="0"/>
                <w:i/>
                <w:sz w:val="22"/>
                <w:szCs w:val="22"/>
              </w:rPr>
            </m:ctrlPr>
          </m:fPr>
          <m:num>
            <m:r>
              <m:rPr>
                <m:sty m:val="bi"/>
              </m:rPr>
              <w:rPr>
                <w:rFonts w:ascii="Cambria Math" w:eastAsiaTheme="minorEastAsia" w:hAnsi="Cambria Math"/>
                <w:sz w:val="22"/>
                <w:szCs w:val="22"/>
              </w:rPr>
              <m:t>1</m:t>
            </m:r>
          </m:num>
          <m:den>
            <m:r>
              <m:rPr>
                <m:sty m:val="bi"/>
              </m:rPr>
              <w:rPr>
                <w:rFonts w:ascii="Cambria Math" w:eastAsiaTheme="minorEastAsia" w:hAnsi="Cambria Math"/>
                <w:sz w:val="22"/>
                <w:szCs w:val="22"/>
              </w:rPr>
              <m:t>T</m:t>
            </m:r>
          </m:den>
        </m:f>
        <m:r>
          <m:rPr>
            <m:sty m:val="bi"/>
          </m:rPr>
          <w:rPr>
            <w:rFonts w:ascii="Cambria Math" w:eastAsiaTheme="minorEastAsia" w:hAnsi="Cambria Math"/>
            <w:sz w:val="22"/>
            <w:szCs w:val="22"/>
          </w:rPr>
          <m:t>+(70.7±8)</m:t>
        </m:r>
      </m:oMath>
      <w:r w:rsidRPr="00EF2A10">
        <w:rPr>
          <w:rFonts w:ascii="Myriad Pro" w:eastAsiaTheme="minorEastAsia" w:hAnsi="Myriad Pro"/>
          <w:b w:val="0"/>
          <w:bCs w:val="0"/>
          <w:sz w:val="22"/>
          <w:szCs w:val="22"/>
        </w:rPr>
        <w:t>.</w:t>
      </w:r>
    </w:p>
    <w:p w14:paraId="0F41CC08" w14:textId="004975BA" w:rsidR="002C1276" w:rsidRDefault="002C1276" w:rsidP="003E1980">
      <w:pPr>
        <w:pStyle w:val="SMHeading"/>
        <w:rPr>
          <w:rFonts w:ascii="Myriad Pro" w:hAnsi="Myriad Pro"/>
          <w:sz w:val="22"/>
          <w:szCs w:val="22"/>
        </w:rPr>
      </w:pPr>
      <w:r>
        <w:rPr>
          <w:noProof/>
          <w:lang w:val="en-PH" w:eastAsia="en-PH"/>
        </w:rPr>
        <w:lastRenderedPageBreak/>
        <w:drawing>
          <wp:inline distT="0" distB="0" distL="0" distR="0" wp14:anchorId="041ADE5D" wp14:editId="15D13ED9">
            <wp:extent cx="5334000" cy="4086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5000" b="3714"/>
                    <a:stretch/>
                  </pic:blipFill>
                  <pic:spPr bwMode="auto">
                    <a:xfrm>
                      <a:off x="0" y="0"/>
                      <a:ext cx="5334000" cy="4086225"/>
                    </a:xfrm>
                    <a:prstGeom prst="rect">
                      <a:avLst/>
                    </a:prstGeom>
                    <a:noFill/>
                    <a:ln>
                      <a:noFill/>
                    </a:ln>
                    <a:extLst>
                      <a:ext uri="{53640926-AAD7-44D8-BBD7-CCE9431645EC}">
                        <a14:shadowObscured xmlns:a14="http://schemas.microsoft.com/office/drawing/2010/main"/>
                      </a:ext>
                    </a:extLst>
                  </pic:spPr>
                </pic:pic>
              </a:graphicData>
            </a:graphic>
          </wp:inline>
        </w:drawing>
      </w:r>
    </w:p>
    <w:p w14:paraId="1D36231C" w14:textId="720A7DEC" w:rsidR="002C1276" w:rsidRPr="005314B5" w:rsidRDefault="002C1276" w:rsidP="003E1980">
      <w:pPr>
        <w:pStyle w:val="SMHeading"/>
        <w:rPr>
          <w:rFonts w:ascii="Myriad Pro" w:hAnsi="Myriad Pro"/>
          <w:sz w:val="22"/>
          <w:szCs w:val="22"/>
        </w:rPr>
      </w:pPr>
      <w:r w:rsidRPr="005314B5">
        <w:rPr>
          <w:rFonts w:ascii="Myriad Pro" w:hAnsi="Myriad Pro"/>
          <w:sz w:val="22"/>
          <w:szCs w:val="22"/>
        </w:rPr>
        <w:t>Figure S</w:t>
      </w:r>
      <w:r>
        <w:rPr>
          <w:rFonts w:ascii="Myriad Pro" w:hAnsi="Myriad Pro"/>
          <w:sz w:val="22"/>
          <w:szCs w:val="22"/>
        </w:rPr>
        <w:t>1</w:t>
      </w:r>
      <w:r w:rsidR="00521D1D">
        <w:rPr>
          <w:rFonts w:ascii="Myriad Pro" w:hAnsi="Myriad Pro"/>
          <w:sz w:val="22"/>
          <w:szCs w:val="22"/>
        </w:rPr>
        <w:t>1</w:t>
      </w:r>
      <w:r w:rsidRPr="005314B5">
        <w:rPr>
          <w:rFonts w:ascii="Myriad Pro" w:hAnsi="Myriad Pro"/>
          <w:sz w:val="22"/>
          <w:szCs w:val="22"/>
        </w:rPr>
        <w:t xml:space="preserve">. </w:t>
      </w:r>
      <w:r w:rsidRPr="00EF2A10">
        <w:rPr>
          <w:rFonts w:ascii="Myriad Pro" w:hAnsi="Myriad Pro"/>
          <w:b w:val="0"/>
          <w:bCs w:val="0"/>
          <w:sz w:val="22"/>
          <w:szCs w:val="22"/>
        </w:rPr>
        <w:t>Formic acid exchange velocity (V</w:t>
      </w:r>
      <w:r w:rsidRPr="00EF2A10">
        <w:rPr>
          <w:rFonts w:ascii="Myriad Pro" w:hAnsi="Myriad Pro"/>
          <w:b w:val="0"/>
          <w:bCs w:val="0"/>
          <w:sz w:val="22"/>
          <w:szCs w:val="22"/>
          <w:vertAlign w:val="subscript"/>
        </w:rPr>
        <w:t>ex</w:t>
      </w:r>
      <w:r w:rsidRPr="00EF2A10">
        <w:rPr>
          <w:rFonts w:ascii="Myriad Pro" w:hAnsi="Myriad Pro"/>
          <w:b w:val="0"/>
          <w:bCs w:val="0"/>
          <w:sz w:val="22"/>
          <w:szCs w:val="22"/>
        </w:rPr>
        <w:t xml:space="preserve">) increases with latent heat flux (LH) at SMEAR 2 in </w:t>
      </w:r>
      <w:proofErr w:type="spellStart"/>
      <w:r w:rsidRPr="00EF2A10">
        <w:rPr>
          <w:rFonts w:ascii="Myriad Pro" w:hAnsi="Myriad Pro"/>
          <w:b w:val="0"/>
          <w:bCs w:val="0"/>
          <w:sz w:val="22"/>
          <w:szCs w:val="22"/>
        </w:rPr>
        <w:t>Hyytiälä</w:t>
      </w:r>
      <w:proofErr w:type="spellEnd"/>
      <w:r w:rsidRPr="00EF2A10">
        <w:rPr>
          <w:rFonts w:ascii="Myriad Pro" w:hAnsi="Myriad Pro"/>
          <w:b w:val="0"/>
          <w:bCs w:val="0"/>
          <w:sz w:val="22"/>
          <w:szCs w:val="22"/>
        </w:rPr>
        <w:t xml:space="preserve">, Finland. Data are flux-quality filtered according to </w:t>
      </w:r>
      <w:proofErr w:type="spellStart"/>
      <w:r w:rsidRPr="00EF2A10">
        <w:rPr>
          <w:rFonts w:ascii="Myriad Pro" w:hAnsi="Myriad Pro"/>
          <w:b w:val="0"/>
          <w:bCs w:val="0"/>
          <w:sz w:val="22"/>
          <w:szCs w:val="22"/>
        </w:rPr>
        <w:t>Schobesberger</w:t>
      </w:r>
      <w:proofErr w:type="spellEnd"/>
      <w:r w:rsidRPr="00EF2A10">
        <w:rPr>
          <w:rFonts w:ascii="Myriad Pro" w:hAnsi="Myriad Pro"/>
          <w:b w:val="0"/>
          <w:bCs w:val="0"/>
          <w:sz w:val="22"/>
          <w:szCs w:val="22"/>
        </w:rPr>
        <w:t xml:space="preserve"> et al. </w:t>
      </w:r>
      <w:r w:rsidRPr="00EF2A10">
        <w:rPr>
          <w:rFonts w:ascii="Myriad Pro" w:hAnsi="Myriad Pro"/>
          <w:b w:val="0"/>
          <w:bCs w:val="0"/>
          <w:sz w:val="22"/>
          <w:szCs w:val="22"/>
        </w:rPr>
        <w:fldChar w:fldCharType="begin"/>
      </w:r>
      <w:r w:rsidRPr="00EF2A10">
        <w:rPr>
          <w:rFonts w:ascii="Myriad Pro" w:hAnsi="Myriad Pro"/>
          <w:b w:val="0"/>
          <w:bCs w:val="0"/>
          <w:sz w:val="22"/>
          <w:szCs w:val="22"/>
        </w:rPr>
        <w:instrText xml:space="preserve"> ADDIN ZOTERO_ITEM CSL_CITATION {"citationID":"1ErGjPyp","properties":{"formattedCitation":"(Schobesberger et al., 2016)","plainCitation":"(Schobesberger et al., 2016)","noteIndex":0},"citationItems":[{"id":22,"uris":["http://zotero.org/users/2769015/items/9N62CSQ7"],"uri":["http://zotero.org/users/2769015/items/9N62CSQ7"],"itemData":{"id":22,"type":"article-journal","abstract":"Eddy covariance fluxes of formic acid, HCOOH, were measured over a boreal forest canopy in spring/summer 2014. The HCOOH fluxes were bidirectional, but mostly upward during daytime, in contrast to studies elsewhere that reported mostly downward fluxes. Downward flux episodes were explained well by modeled dry deposition rates. The sum of net observed flux and modeled dry deposition yields an upward “gross flux” of HCOOH, which could not be quantitatively explained by literature estimates of direct vegetative/soil emissions nor by efficient chemical production from other volatile organic compounds (VOC), suggesting missing or greatly underestimated HCOOH sources in the boreal ecosystem. We implemented a vegetative HCOOH source into the GEOS-Chem chemical transport model to match our derived gross flux, and evaluated the updated model against air- and space-borne observations. Model biases in the boundary layer were substantially reduced based on this revised treatment, but biases in the free troposphere remain unexplained.","container-title":"Geophysical Research Letters","DOI":"10.1002/2016GL069599","ISSN":"1944-8007","journalAbbreviation":"Geophys. Res. Lett.","language":"en","page":"2016GL069599","source":"Wiley Online Library","title":"High upward fluxes of formic acid from a boreal forest canopy","author":[{"family":"Schobesberger","given":"Siegfried"},{"family":"Lopez-Hilfiker","given":"Felipe D."},{"family":"Taipale","given":"Ditte"},{"family":"Millet","given":"Dylan B."},{"family":"D'Ambro","given":"Emma L."},{"family":"Rantala","given":"Pekka"},{"family":"Mammarella","given":"Ivan"},{"family":"Zhou","given":"Putian"},{"family":"Wolfe","given":"Glenn M."},{"family":"Lee","given":"Ben H."},{"family":"Boy","given":"Michael"},{"family":"Thornton","given":"Joel A."}],"issued":{"date-parts":[["2016",1,1]]}}}],"schema":"https://github.com/citation-style-language/schema/raw/master/csl-citation.json"} </w:instrText>
      </w:r>
      <w:r w:rsidRPr="00EF2A10">
        <w:rPr>
          <w:rFonts w:ascii="Myriad Pro" w:hAnsi="Myriad Pro"/>
          <w:b w:val="0"/>
          <w:bCs w:val="0"/>
          <w:sz w:val="22"/>
          <w:szCs w:val="22"/>
        </w:rPr>
        <w:fldChar w:fldCharType="separate"/>
      </w:r>
      <w:r w:rsidRPr="00EF2A10">
        <w:rPr>
          <w:rFonts w:ascii="Myriad Pro" w:hAnsi="Myriad Pro"/>
          <w:b w:val="0"/>
          <w:bCs w:val="0"/>
          <w:sz w:val="22"/>
          <w:szCs w:val="22"/>
        </w:rPr>
        <w:t>(2016)</w:t>
      </w:r>
      <w:r w:rsidRPr="00EF2A10">
        <w:rPr>
          <w:rFonts w:ascii="Myriad Pro" w:hAnsi="Myriad Pro"/>
          <w:b w:val="0"/>
          <w:bCs w:val="0"/>
          <w:sz w:val="22"/>
          <w:szCs w:val="22"/>
        </w:rPr>
        <w:fldChar w:fldCharType="end"/>
      </w:r>
      <w:r w:rsidRPr="00EF2A10">
        <w:rPr>
          <w:rFonts w:ascii="Myriad Pro" w:hAnsi="Myriad Pro"/>
          <w:b w:val="0"/>
          <w:bCs w:val="0"/>
          <w:sz w:val="22"/>
          <w:szCs w:val="22"/>
        </w:rPr>
        <w:t>. Open circles in bottom panel represent 20 W m</w:t>
      </w:r>
      <w:r w:rsidRPr="00EF2A10">
        <w:rPr>
          <w:rFonts w:ascii="Myriad Pro" w:hAnsi="Myriad Pro"/>
          <w:b w:val="0"/>
          <w:bCs w:val="0"/>
          <w:sz w:val="22"/>
          <w:szCs w:val="22"/>
          <w:vertAlign w:val="superscript"/>
        </w:rPr>
        <w:t>-2</w:t>
      </w:r>
      <w:r w:rsidRPr="00EF2A10">
        <w:rPr>
          <w:rFonts w:ascii="Myriad Pro" w:hAnsi="Myriad Pro"/>
          <w:b w:val="0"/>
          <w:bCs w:val="0"/>
          <w:sz w:val="22"/>
          <w:szCs w:val="22"/>
        </w:rPr>
        <w:t xml:space="preserve"> binned averages with whiskers as standard deviations.</w:t>
      </w:r>
    </w:p>
    <w:p w14:paraId="78FE9E18" w14:textId="5B03EBDA" w:rsidR="0066722B" w:rsidRPr="00CE6EAA" w:rsidRDefault="00165AE1" w:rsidP="00081E99">
      <w:pPr>
        <w:rPr>
          <w:rFonts w:ascii="Myriad Pro" w:hAnsi="Myriad Pro"/>
          <w:b/>
          <w:i/>
        </w:rPr>
      </w:pPr>
      <w:r>
        <w:rPr>
          <w:rFonts w:ascii="Myriad Pro" w:hAnsi="Myriad Pro"/>
          <w:b/>
          <w:i/>
        </w:rPr>
        <w:br w:type="page"/>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329"/>
      </w:tblGrid>
      <w:tr w:rsidR="00EF2A10" w:rsidRPr="004D1566" w14:paraId="3C5E6D42" w14:textId="77777777" w:rsidTr="00873764">
        <w:trPr>
          <w:jc w:val="center"/>
        </w:trPr>
        <w:tc>
          <w:tcPr>
            <w:tcW w:w="4675" w:type="dxa"/>
          </w:tcPr>
          <w:p w14:paraId="3A40B126" w14:textId="77777777" w:rsidR="00EF2A10" w:rsidRDefault="00EF2A10" w:rsidP="00873764">
            <w:pPr>
              <w:jc w:val="center"/>
            </w:pPr>
            <w:r>
              <w:lastRenderedPageBreak/>
              <w:t>Volatile organic acid</w:t>
            </w:r>
          </w:p>
        </w:tc>
        <w:tc>
          <w:tcPr>
            <w:tcW w:w="4675" w:type="dxa"/>
          </w:tcPr>
          <w:p w14:paraId="5ED8C084" w14:textId="77777777" w:rsidR="00EF2A10" w:rsidRPr="004D1566" w:rsidRDefault="00EF2A10" w:rsidP="00873764">
            <w:pPr>
              <w:jc w:val="center"/>
            </w:pPr>
            <w:r>
              <w:t>0.2 s Campaign Average Sensitivity (</w:t>
            </w:r>
            <w:proofErr w:type="spellStart"/>
            <w:r>
              <w:t>ncps</w:t>
            </w:r>
            <w:proofErr w:type="spellEnd"/>
            <w:r>
              <w:t xml:space="preserve"> ppt</w:t>
            </w:r>
            <w:r>
              <w:rPr>
                <w:vertAlign w:val="superscript"/>
              </w:rPr>
              <w:t>-1</w:t>
            </w:r>
            <w:r>
              <w:t>)</w:t>
            </w:r>
          </w:p>
        </w:tc>
      </w:tr>
      <w:tr w:rsidR="00EF2A10" w:rsidRPr="00474177" w14:paraId="5758AB96" w14:textId="77777777" w:rsidTr="00873764">
        <w:trPr>
          <w:jc w:val="center"/>
        </w:trPr>
        <w:tc>
          <w:tcPr>
            <w:tcW w:w="4675" w:type="dxa"/>
          </w:tcPr>
          <w:p w14:paraId="0D9246A2" w14:textId="77777777" w:rsidR="00EF2A10" w:rsidRPr="00474177" w:rsidRDefault="00EF2A10" w:rsidP="00873764">
            <w:pPr>
              <w:jc w:val="center"/>
            </w:pPr>
            <w:r>
              <w:t>C</w:t>
            </w:r>
            <w:r>
              <w:rPr>
                <w:vertAlign w:val="subscript"/>
              </w:rPr>
              <w:t>4</w:t>
            </w:r>
            <w:r>
              <w:t>H</w:t>
            </w:r>
            <w:r>
              <w:rPr>
                <w:vertAlign w:val="subscript"/>
              </w:rPr>
              <w:t>8</w:t>
            </w:r>
            <w:r>
              <w:t>O</w:t>
            </w:r>
            <w:r>
              <w:rPr>
                <w:vertAlign w:val="subscript"/>
              </w:rPr>
              <w:t>2</w:t>
            </w:r>
          </w:p>
        </w:tc>
        <w:tc>
          <w:tcPr>
            <w:tcW w:w="4675" w:type="dxa"/>
          </w:tcPr>
          <w:p w14:paraId="3FAC7D88" w14:textId="77777777" w:rsidR="00EF2A10" w:rsidRPr="00474177" w:rsidRDefault="00EF2A10" w:rsidP="00873764">
            <w:pPr>
              <w:jc w:val="center"/>
            </w:pPr>
            <w:r>
              <w:t>230</w:t>
            </w:r>
          </w:p>
        </w:tc>
      </w:tr>
      <w:tr w:rsidR="00EF2A10" w14:paraId="625D5CC6" w14:textId="77777777" w:rsidTr="00873764">
        <w:trPr>
          <w:jc w:val="center"/>
        </w:trPr>
        <w:tc>
          <w:tcPr>
            <w:tcW w:w="4675" w:type="dxa"/>
          </w:tcPr>
          <w:p w14:paraId="7FBB89E2" w14:textId="77777777" w:rsidR="00EF2A10" w:rsidRDefault="00EF2A10" w:rsidP="00873764">
            <w:pPr>
              <w:jc w:val="center"/>
            </w:pPr>
            <w:r>
              <w:t>HCOOH</w:t>
            </w:r>
          </w:p>
        </w:tc>
        <w:tc>
          <w:tcPr>
            <w:tcW w:w="4675" w:type="dxa"/>
          </w:tcPr>
          <w:p w14:paraId="58A58E9F" w14:textId="77777777" w:rsidR="00EF2A10" w:rsidRDefault="00EF2A10" w:rsidP="00873764">
            <w:pPr>
              <w:jc w:val="center"/>
            </w:pPr>
            <w:r>
              <w:t>460</w:t>
            </w:r>
          </w:p>
        </w:tc>
      </w:tr>
      <w:tr w:rsidR="00EF2A10" w14:paraId="62E721BC" w14:textId="77777777" w:rsidTr="00873764">
        <w:trPr>
          <w:jc w:val="center"/>
        </w:trPr>
        <w:tc>
          <w:tcPr>
            <w:tcW w:w="4675" w:type="dxa"/>
          </w:tcPr>
          <w:p w14:paraId="32BD112A" w14:textId="77777777" w:rsidR="00EF2A10" w:rsidRDefault="00EF2A10" w:rsidP="00873764">
            <w:pPr>
              <w:jc w:val="center"/>
            </w:pPr>
            <w:r>
              <w:t>C</w:t>
            </w:r>
            <w:r w:rsidRPr="00474177">
              <w:rPr>
                <w:vertAlign w:val="subscript"/>
              </w:rPr>
              <w:t>3</w:t>
            </w:r>
            <w:r>
              <w:t>H</w:t>
            </w:r>
            <w:r w:rsidRPr="00474177">
              <w:rPr>
                <w:vertAlign w:val="subscript"/>
              </w:rPr>
              <w:t>6</w:t>
            </w:r>
            <w:r>
              <w:t>O</w:t>
            </w:r>
            <w:r>
              <w:rPr>
                <w:vertAlign w:val="subscript"/>
              </w:rPr>
              <w:t>2</w:t>
            </w:r>
          </w:p>
        </w:tc>
        <w:tc>
          <w:tcPr>
            <w:tcW w:w="4675" w:type="dxa"/>
          </w:tcPr>
          <w:p w14:paraId="1A484E0E" w14:textId="77777777" w:rsidR="00EF2A10" w:rsidRDefault="00EF2A10" w:rsidP="00873764">
            <w:pPr>
              <w:jc w:val="center"/>
            </w:pPr>
            <w:r>
              <w:t>150</w:t>
            </w:r>
          </w:p>
        </w:tc>
      </w:tr>
      <w:tr w:rsidR="00EF2A10" w14:paraId="7019F62E" w14:textId="77777777" w:rsidTr="00873764">
        <w:trPr>
          <w:jc w:val="center"/>
        </w:trPr>
        <w:tc>
          <w:tcPr>
            <w:tcW w:w="4675" w:type="dxa"/>
          </w:tcPr>
          <w:p w14:paraId="58062168" w14:textId="77777777" w:rsidR="00EF2A10" w:rsidRDefault="00EF2A10" w:rsidP="00873764">
            <w:pPr>
              <w:jc w:val="center"/>
            </w:pPr>
            <w:r>
              <w:t>C</w:t>
            </w:r>
            <w:r>
              <w:rPr>
                <w:vertAlign w:val="subscript"/>
              </w:rPr>
              <w:t>4</w:t>
            </w:r>
            <w:r>
              <w:t>H</w:t>
            </w:r>
            <w:r>
              <w:rPr>
                <w:vertAlign w:val="subscript"/>
              </w:rPr>
              <w:t>6</w:t>
            </w:r>
            <w:r>
              <w:t>O</w:t>
            </w:r>
            <w:r>
              <w:rPr>
                <w:vertAlign w:val="subscript"/>
              </w:rPr>
              <w:t>2</w:t>
            </w:r>
          </w:p>
        </w:tc>
        <w:tc>
          <w:tcPr>
            <w:tcW w:w="4675" w:type="dxa"/>
          </w:tcPr>
          <w:p w14:paraId="7E3C7323" w14:textId="77777777" w:rsidR="00EF2A10" w:rsidRDefault="00EF2A10" w:rsidP="00873764">
            <w:pPr>
              <w:jc w:val="center"/>
            </w:pPr>
            <w:r>
              <w:t>450</w:t>
            </w:r>
          </w:p>
        </w:tc>
      </w:tr>
      <w:tr w:rsidR="00EF2A10" w14:paraId="79AF705E" w14:textId="77777777" w:rsidTr="00873764">
        <w:trPr>
          <w:jc w:val="center"/>
        </w:trPr>
        <w:tc>
          <w:tcPr>
            <w:tcW w:w="4675" w:type="dxa"/>
          </w:tcPr>
          <w:p w14:paraId="2F063547" w14:textId="77777777" w:rsidR="00EF2A10" w:rsidRDefault="00EF2A10" w:rsidP="00873764">
            <w:pPr>
              <w:jc w:val="center"/>
            </w:pPr>
            <w:r>
              <w:t>C</w:t>
            </w:r>
            <w:r>
              <w:rPr>
                <w:vertAlign w:val="subscript"/>
              </w:rPr>
              <w:t>5</w:t>
            </w:r>
            <w:r>
              <w:t>H</w:t>
            </w:r>
            <w:r>
              <w:rPr>
                <w:vertAlign w:val="subscript"/>
              </w:rPr>
              <w:t>10</w:t>
            </w:r>
            <w:r>
              <w:t>O</w:t>
            </w:r>
            <w:r>
              <w:rPr>
                <w:vertAlign w:val="subscript"/>
              </w:rPr>
              <w:t>2</w:t>
            </w:r>
          </w:p>
        </w:tc>
        <w:tc>
          <w:tcPr>
            <w:tcW w:w="4675" w:type="dxa"/>
          </w:tcPr>
          <w:p w14:paraId="1C36B44B" w14:textId="77777777" w:rsidR="00EF2A10" w:rsidRDefault="00EF2A10" w:rsidP="00873764">
            <w:pPr>
              <w:jc w:val="center"/>
            </w:pPr>
            <w:r>
              <w:t>46</w:t>
            </w:r>
          </w:p>
        </w:tc>
      </w:tr>
      <w:tr w:rsidR="00EF2A10" w14:paraId="7247E5E7" w14:textId="77777777" w:rsidTr="00873764">
        <w:trPr>
          <w:jc w:val="center"/>
        </w:trPr>
        <w:tc>
          <w:tcPr>
            <w:tcW w:w="4675" w:type="dxa"/>
          </w:tcPr>
          <w:p w14:paraId="5A76BF28" w14:textId="77777777" w:rsidR="00EF2A10" w:rsidRDefault="00EF2A10" w:rsidP="00873764">
            <w:pPr>
              <w:jc w:val="center"/>
            </w:pPr>
            <w:r>
              <w:t>C</w:t>
            </w:r>
            <w:r w:rsidRPr="00474177">
              <w:rPr>
                <w:vertAlign w:val="subscript"/>
              </w:rPr>
              <w:t>7</w:t>
            </w:r>
            <w:r>
              <w:t>H</w:t>
            </w:r>
            <w:r>
              <w:rPr>
                <w:vertAlign w:val="subscript"/>
              </w:rPr>
              <w:t>14</w:t>
            </w:r>
            <w:r>
              <w:t>O</w:t>
            </w:r>
            <w:r>
              <w:rPr>
                <w:vertAlign w:val="subscript"/>
              </w:rPr>
              <w:t>2</w:t>
            </w:r>
          </w:p>
        </w:tc>
        <w:tc>
          <w:tcPr>
            <w:tcW w:w="4675" w:type="dxa"/>
          </w:tcPr>
          <w:p w14:paraId="189048DC" w14:textId="77777777" w:rsidR="00EF2A10" w:rsidRDefault="00EF2A10" w:rsidP="00873764">
            <w:pPr>
              <w:jc w:val="center"/>
            </w:pPr>
            <w:r>
              <w:t>9.9</w:t>
            </w:r>
          </w:p>
        </w:tc>
      </w:tr>
      <w:tr w:rsidR="00EF2A10" w14:paraId="62724E8B" w14:textId="77777777" w:rsidTr="00873764">
        <w:trPr>
          <w:jc w:val="center"/>
        </w:trPr>
        <w:tc>
          <w:tcPr>
            <w:tcW w:w="4675" w:type="dxa"/>
          </w:tcPr>
          <w:p w14:paraId="4B4BC1C8" w14:textId="77777777" w:rsidR="00EF2A10" w:rsidRDefault="00EF2A10" w:rsidP="00873764">
            <w:pPr>
              <w:jc w:val="center"/>
            </w:pPr>
            <w:r>
              <w:t>HNCO</w:t>
            </w:r>
          </w:p>
        </w:tc>
        <w:tc>
          <w:tcPr>
            <w:tcW w:w="4675" w:type="dxa"/>
          </w:tcPr>
          <w:p w14:paraId="34560108" w14:textId="77777777" w:rsidR="00EF2A10" w:rsidRDefault="00EF2A10" w:rsidP="00873764">
            <w:pPr>
              <w:jc w:val="center"/>
            </w:pPr>
            <w:r>
              <w:t>1700</w:t>
            </w:r>
          </w:p>
        </w:tc>
      </w:tr>
    </w:tbl>
    <w:p w14:paraId="6E0428A5" w14:textId="75A2868A" w:rsidR="00EF2A10" w:rsidRPr="005314B5" w:rsidRDefault="0066722B" w:rsidP="0066722B">
      <w:pPr>
        <w:pStyle w:val="SMHeading"/>
        <w:rPr>
          <w:rFonts w:ascii="Myriad Pro" w:hAnsi="Myriad Pro"/>
          <w:sz w:val="22"/>
          <w:szCs w:val="22"/>
        </w:rPr>
      </w:pPr>
      <w:r w:rsidRPr="005314B5">
        <w:rPr>
          <w:rFonts w:ascii="Myriad Pro" w:hAnsi="Myriad Pro"/>
          <w:sz w:val="22"/>
          <w:szCs w:val="22"/>
        </w:rPr>
        <w:t xml:space="preserve">Table S1. </w:t>
      </w:r>
      <w:r w:rsidR="00EF2A10" w:rsidRPr="00EF2A10">
        <w:rPr>
          <w:rFonts w:ascii="Myriad Pro" w:hAnsi="Myriad Pro"/>
          <w:b w:val="0"/>
          <w:bCs w:val="0"/>
          <w:sz w:val="22"/>
          <w:szCs w:val="22"/>
        </w:rPr>
        <w:t>The average sensitivity across all flux periods is listed for measured VOAs at 5 Hz data acquisition frequency. Calculation of HNCO sensitivities is described in section 2.2</w:t>
      </w:r>
      <w:r w:rsidR="00165AE1">
        <w:rPr>
          <w:rFonts w:ascii="Myriad Pro" w:hAnsi="Myriad Pro"/>
          <w:sz w:val="22"/>
          <w:szCs w:val="22"/>
        </w:rPr>
        <w:t>.</w:t>
      </w:r>
    </w:p>
    <w:tbl>
      <w:tblPr>
        <w:tblStyle w:val="TableGrid"/>
        <w:tblW w:w="959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2305"/>
        <w:gridCol w:w="2026"/>
        <w:gridCol w:w="1901"/>
        <w:gridCol w:w="1361"/>
      </w:tblGrid>
      <w:tr w:rsidR="00EF2A10" w:rsidRPr="00B367CE" w14:paraId="1DA63732" w14:textId="77777777" w:rsidTr="00873764">
        <w:trPr>
          <w:trHeight w:val="319"/>
        </w:trPr>
        <w:tc>
          <w:tcPr>
            <w:tcW w:w="2003" w:type="dxa"/>
          </w:tcPr>
          <w:p w14:paraId="5B2281FA" w14:textId="77777777" w:rsidR="00EF2A10" w:rsidRDefault="00EF2A10" w:rsidP="00873764">
            <w:pPr>
              <w:jc w:val="center"/>
            </w:pPr>
            <w:r>
              <w:t>Acid name</w:t>
            </w:r>
          </w:p>
        </w:tc>
        <w:tc>
          <w:tcPr>
            <w:tcW w:w="2305" w:type="dxa"/>
          </w:tcPr>
          <w:p w14:paraId="55E12D5C" w14:textId="77777777" w:rsidR="00EF2A10" w:rsidRDefault="00EF2A10" w:rsidP="00873764">
            <w:pPr>
              <w:jc w:val="center"/>
            </w:pPr>
            <w:r>
              <w:t>Best-fit line</w:t>
            </w:r>
          </w:p>
        </w:tc>
        <w:tc>
          <w:tcPr>
            <w:tcW w:w="2026" w:type="dxa"/>
          </w:tcPr>
          <w:p w14:paraId="3A95FE96" w14:textId="77777777" w:rsidR="00EF2A10" w:rsidRPr="00401414" w:rsidRDefault="00EF2A10" w:rsidP="00873764">
            <w:pPr>
              <w:jc w:val="center"/>
            </w:pPr>
            <w:r>
              <w:t>Slope (cm s</w:t>
            </w:r>
            <w:r>
              <w:rPr>
                <w:vertAlign w:val="superscript"/>
              </w:rPr>
              <w:t>-1</w:t>
            </w:r>
            <w:r>
              <w:t xml:space="preserve"> K</w:t>
            </w:r>
            <w:r>
              <w:rPr>
                <w:vertAlign w:val="superscript"/>
              </w:rPr>
              <w:t>-1</w:t>
            </w:r>
            <w:r>
              <w:t>)</w:t>
            </w:r>
          </w:p>
        </w:tc>
        <w:tc>
          <w:tcPr>
            <w:tcW w:w="1901" w:type="dxa"/>
          </w:tcPr>
          <w:p w14:paraId="27548401" w14:textId="77777777" w:rsidR="00EF2A10" w:rsidRPr="00401414" w:rsidRDefault="00EF2A10" w:rsidP="00873764">
            <w:pPr>
              <w:jc w:val="center"/>
            </w:pPr>
            <w:r>
              <w:t>Intercept (cm s</w:t>
            </w:r>
            <w:r>
              <w:rPr>
                <w:vertAlign w:val="superscript"/>
              </w:rPr>
              <w:t>-1</w:t>
            </w:r>
            <w:r>
              <w:t>)</w:t>
            </w:r>
          </w:p>
        </w:tc>
        <w:tc>
          <w:tcPr>
            <w:tcW w:w="1361" w:type="dxa"/>
          </w:tcPr>
          <w:p w14:paraId="7058E716" w14:textId="77777777" w:rsidR="00EF2A10" w:rsidRPr="00B367CE" w:rsidRDefault="00EF2A10" w:rsidP="00873764">
            <w:pPr>
              <w:jc w:val="center"/>
            </w:pPr>
            <w:r>
              <w:t>r</w:t>
            </w:r>
            <w:r>
              <w:rPr>
                <w:vertAlign w:val="superscript"/>
              </w:rPr>
              <w:t>2</w:t>
            </w:r>
          </w:p>
        </w:tc>
      </w:tr>
      <w:tr w:rsidR="00EF2A10" w14:paraId="598DB8ED" w14:textId="77777777" w:rsidTr="00873764">
        <w:trPr>
          <w:trHeight w:val="307"/>
        </w:trPr>
        <w:tc>
          <w:tcPr>
            <w:tcW w:w="2003" w:type="dxa"/>
            <w:vMerge w:val="restart"/>
          </w:tcPr>
          <w:p w14:paraId="0CA04AEA" w14:textId="77777777" w:rsidR="00EF2A10" w:rsidRDefault="00EF2A10" w:rsidP="00873764">
            <w:pPr>
              <w:jc w:val="center"/>
            </w:pPr>
            <w:r>
              <w:t>Propionic</w:t>
            </w:r>
          </w:p>
        </w:tc>
        <w:tc>
          <w:tcPr>
            <w:tcW w:w="2305" w:type="dxa"/>
          </w:tcPr>
          <w:p w14:paraId="7C66AD00" w14:textId="77777777" w:rsidR="00EF2A10" w:rsidRDefault="00EF2A10" w:rsidP="00873764">
            <w:pPr>
              <w:jc w:val="center"/>
            </w:pPr>
            <w:r>
              <w:t>California orchard (all)</w:t>
            </w:r>
          </w:p>
        </w:tc>
        <w:tc>
          <w:tcPr>
            <w:tcW w:w="2026" w:type="dxa"/>
          </w:tcPr>
          <w:p w14:paraId="0A07C979" w14:textId="77777777" w:rsidR="00EF2A10" w:rsidRDefault="00EF2A10" w:rsidP="00873764">
            <w:pPr>
              <w:jc w:val="center"/>
            </w:pPr>
            <w:r>
              <w:t>0.0061 ± 0.02</w:t>
            </w:r>
          </w:p>
        </w:tc>
        <w:tc>
          <w:tcPr>
            <w:tcW w:w="1901" w:type="dxa"/>
          </w:tcPr>
          <w:p w14:paraId="67C8CCCB" w14:textId="77777777" w:rsidR="00EF2A10" w:rsidRDefault="00EF2A10" w:rsidP="00873764">
            <w:pPr>
              <w:jc w:val="center"/>
            </w:pPr>
            <w:r>
              <w:t>0.034 ± 0.4</w:t>
            </w:r>
          </w:p>
        </w:tc>
        <w:tc>
          <w:tcPr>
            <w:tcW w:w="1361" w:type="dxa"/>
          </w:tcPr>
          <w:p w14:paraId="1D657D89" w14:textId="77777777" w:rsidR="00EF2A10" w:rsidRDefault="00EF2A10" w:rsidP="00873764">
            <w:pPr>
              <w:jc w:val="center"/>
            </w:pPr>
            <w:r>
              <w:t>0.00</w:t>
            </w:r>
          </w:p>
        </w:tc>
      </w:tr>
      <w:tr w:rsidR="00EF2A10" w14:paraId="3B356D2E" w14:textId="77777777" w:rsidTr="00873764">
        <w:trPr>
          <w:trHeight w:val="319"/>
        </w:trPr>
        <w:tc>
          <w:tcPr>
            <w:tcW w:w="2003" w:type="dxa"/>
            <w:vMerge/>
          </w:tcPr>
          <w:p w14:paraId="2CFC32DE" w14:textId="77777777" w:rsidR="00EF2A10" w:rsidRDefault="00EF2A10" w:rsidP="00873764">
            <w:pPr>
              <w:jc w:val="center"/>
            </w:pPr>
          </w:p>
        </w:tc>
        <w:tc>
          <w:tcPr>
            <w:tcW w:w="2305" w:type="dxa"/>
          </w:tcPr>
          <w:p w14:paraId="62382F29" w14:textId="77777777" w:rsidR="00EF2A10" w:rsidRDefault="00EF2A10" w:rsidP="00873764">
            <w:pPr>
              <w:jc w:val="center"/>
            </w:pPr>
            <w:r>
              <w:t>California orchard (bin)</w:t>
            </w:r>
          </w:p>
        </w:tc>
        <w:tc>
          <w:tcPr>
            <w:tcW w:w="2026" w:type="dxa"/>
          </w:tcPr>
          <w:p w14:paraId="207620CC" w14:textId="77777777" w:rsidR="00EF2A10" w:rsidRDefault="00EF2A10" w:rsidP="00873764">
            <w:pPr>
              <w:jc w:val="center"/>
            </w:pPr>
            <w:r>
              <w:t>-0.19 ± 0.03</w:t>
            </w:r>
          </w:p>
        </w:tc>
        <w:tc>
          <w:tcPr>
            <w:tcW w:w="1901" w:type="dxa"/>
          </w:tcPr>
          <w:p w14:paraId="6ED4F0F9" w14:textId="77777777" w:rsidR="00EF2A10" w:rsidRDefault="00EF2A10" w:rsidP="00873764">
            <w:pPr>
              <w:jc w:val="center"/>
            </w:pPr>
            <w:r>
              <w:t>0.22 ± 0.5</w:t>
            </w:r>
          </w:p>
        </w:tc>
        <w:tc>
          <w:tcPr>
            <w:tcW w:w="1361" w:type="dxa"/>
          </w:tcPr>
          <w:p w14:paraId="7A2D6981" w14:textId="77777777" w:rsidR="00EF2A10" w:rsidRDefault="00EF2A10" w:rsidP="00873764">
            <w:pPr>
              <w:jc w:val="center"/>
            </w:pPr>
            <w:r>
              <w:t>0.04</w:t>
            </w:r>
          </w:p>
        </w:tc>
      </w:tr>
      <w:tr w:rsidR="00EF2A10" w14:paraId="7483EC51" w14:textId="77777777" w:rsidTr="00873764">
        <w:trPr>
          <w:trHeight w:val="307"/>
        </w:trPr>
        <w:tc>
          <w:tcPr>
            <w:tcW w:w="2003" w:type="dxa"/>
            <w:vMerge/>
          </w:tcPr>
          <w:p w14:paraId="0BAA462C" w14:textId="77777777" w:rsidR="00EF2A10" w:rsidRDefault="00EF2A10" w:rsidP="00873764">
            <w:pPr>
              <w:jc w:val="center"/>
            </w:pPr>
          </w:p>
        </w:tc>
        <w:tc>
          <w:tcPr>
            <w:tcW w:w="2305" w:type="dxa"/>
          </w:tcPr>
          <w:p w14:paraId="1E52ABE7" w14:textId="77777777" w:rsidR="00EF2A10" w:rsidRDefault="00EF2A10" w:rsidP="00873764">
            <w:pPr>
              <w:jc w:val="center"/>
            </w:pPr>
            <w:r>
              <w:t>UMBS mixed forest (all)</w:t>
            </w:r>
          </w:p>
        </w:tc>
        <w:tc>
          <w:tcPr>
            <w:tcW w:w="2026" w:type="dxa"/>
          </w:tcPr>
          <w:p w14:paraId="64996CF2" w14:textId="77777777" w:rsidR="00EF2A10" w:rsidRDefault="00EF2A10" w:rsidP="00873764">
            <w:pPr>
              <w:jc w:val="center"/>
            </w:pPr>
            <w:r>
              <w:t>0.10 ± 0.004</w:t>
            </w:r>
          </w:p>
        </w:tc>
        <w:tc>
          <w:tcPr>
            <w:tcW w:w="1901" w:type="dxa"/>
          </w:tcPr>
          <w:p w14:paraId="6CF56A4F" w14:textId="77777777" w:rsidR="00EF2A10" w:rsidRDefault="00EF2A10" w:rsidP="00873764">
            <w:pPr>
              <w:jc w:val="center"/>
            </w:pPr>
            <w:r>
              <w:t>-0.66 ± 0.03</w:t>
            </w:r>
          </w:p>
        </w:tc>
        <w:tc>
          <w:tcPr>
            <w:tcW w:w="1361" w:type="dxa"/>
          </w:tcPr>
          <w:p w14:paraId="1DFC5635" w14:textId="77777777" w:rsidR="00EF2A10" w:rsidRDefault="00EF2A10" w:rsidP="00873764">
            <w:pPr>
              <w:jc w:val="center"/>
            </w:pPr>
            <w:r>
              <w:t>0.47</w:t>
            </w:r>
          </w:p>
        </w:tc>
      </w:tr>
      <w:tr w:rsidR="00EF2A10" w14:paraId="1BB7BEE4" w14:textId="77777777" w:rsidTr="00873764">
        <w:trPr>
          <w:trHeight w:val="319"/>
        </w:trPr>
        <w:tc>
          <w:tcPr>
            <w:tcW w:w="2003" w:type="dxa"/>
            <w:vMerge/>
          </w:tcPr>
          <w:p w14:paraId="040DE10E" w14:textId="77777777" w:rsidR="00EF2A10" w:rsidRDefault="00EF2A10" w:rsidP="00873764">
            <w:pPr>
              <w:jc w:val="center"/>
            </w:pPr>
          </w:p>
        </w:tc>
        <w:tc>
          <w:tcPr>
            <w:tcW w:w="2305" w:type="dxa"/>
          </w:tcPr>
          <w:p w14:paraId="237F92DB" w14:textId="77777777" w:rsidR="00EF2A10" w:rsidRDefault="00EF2A10" w:rsidP="00873764">
            <w:pPr>
              <w:jc w:val="center"/>
            </w:pPr>
            <w:r>
              <w:t>UMBS mixed forest (bin)</w:t>
            </w:r>
          </w:p>
        </w:tc>
        <w:tc>
          <w:tcPr>
            <w:tcW w:w="2026" w:type="dxa"/>
          </w:tcPr>
          <w:p w14:paraId="70319AF2" w14:textId="77777777" w:rsidR="00EF2A10" w:rsidRDefault="00EF2A10" w:rsidP="00873764">
            <w:pPr>
              <w:jc w:val="center"/>
            </w:pPr>
            <w:r>
              <w:t>0.10 ± 0.003</w:t>
            </w:r>
          </w:p>
        </w:tc>
        <w:tc>
          <w:tcPr>
            <w:tcW w:w="1901" w:type="dxa"/>
          </w:tcPr>
          <w:p w14:paraId="3A122961" w14:textId="77777777" w:rsidR="00EF2A10" w:rsidRDefault="00EF2A10" w:rsidP="00873764">
            <w:pPr>
              <w:jc w:val="center"/>
            </w:pPr>
            <w:r>
              <w:t>-0.56 ± 0.03</w:t>
            </w:r>
          </w:p>
        </w:tc>
        <w:tc>
          <w:tcPr>
            <w:tcW w:w="1361" w:type="dxa"/>
          </w:tcPr>
          <w:p w14:paraId="65CA44A1" w14:textId="77777777" w:rsidR="00EF2A10" w:rsidRDefault="00EF2A10" w:rsidP="00873764">
            <w:pPr>
              <w:jc w:val="center"/>
            </w:pPr>
            <w:r>
              <w:t>0.99</w:t>
            </w:r>
          </w:p>
        </w:tc>
      </w:tr>
      <w:tr w:rsidR="00EF2A10" w14:paraId="678DD0FD" w14:textId="77777777" w:rsidTr="00873764">
        <w:trPr>
          <w:trHeight w:val="319"/>
        </w:trPr>
        <w:tc>
          <w:tcPr>
            <w:tcW w:w="2003" w:type="dxa"/>
            <w:vMerge/>
          </w:tcPr>
          <w:p w14:paraId="7322E19B" w14:textId="77777777" w:rsidR="00EF2A10" w:rsidRDefault="00EF2A10" w:rsidP="00873764">
            <w:pPr>
              <w:jc w:val="center"/>
            </w:pPr>
          </w:p>
        </w:tc>
        <w:tc>
          <w:tcPr>
            <w:tcW w:w="2305" w:type="dxa"/>
          </w:tcPr>
          <w:p w14:paraId="1C35DAAB" w14:textId="77777777" w:rsidR="00EF2A10" w:rsidRDefault="00EF2A10" w:rsidP="00873764">
            <w:pPr>
              <w:jc w:val="center"/>
            </w:pPr>
            <w:r>
              <w:t>MEFO pine forest (all)</w:t>
            </w:r>
          </w:p>
        </w:tc>
        <w:tc>
          <w:tcPr>
            <w:tcW w:w="2026" w:type="dxa"/>
          </w:tcPr>
          <w:p w14:paraId="59128033" w14:textId="77777777" w:rsidR="00EF2A10" w:rsidRDefault="00EF2A10" w:rsidP="00873764">
            <w:pPr>
              <w:jc w:val="center"/>
            </w:pPr>
            <w:r>
              <w:t>0.034 ± 0.002</w:t>
            </w:r>
          </w:p>
        </w:tc>
        <w:tc>
          <w:tcPr>
            <w:tcW w:w="1901" w:type="dxa"/>
          </w:tcPr>
          <w:p w14:paraId="35CD1991" w14:textId="77777777" w:rsidR="00EF2A10" w:rsidRDefault="00EF2A10" w:rsidP="00873764">
            <w:pPr>
              <w:jc w:val="center"/>
            </w:pPr>
            <w:r>
              <w:t>-0.054 ± 0.05</w:t>
            </w:r>
          </w:p>
        </w:tc>
        <w:tc>
          <w:tcPr>
            <w:tcW w:w="1361" w:type="dxa"/>
          </w:tcPr>
          <w:p w14:paraId="185A9EE1" w14:textId="77777777" w:rsidR="00EF2A10" w:rsidRDefault="00EF2A10" w:rsidP="00873764">
            <w:pPr>
              <w:jc w:val="center"/>
            </w:pPr>
            <w:r>
              <w:t>0.18</w:t>
            </w:r>
          </w:p>
        </w:tc>
      </w:tr>
      <w:tr w:rsidR="00EF2A10" w14:paraId="16FDE628" w14:textId="77777777" w:rsidTr="00873764">
        <w:trPr>
          <w:trHeight w:val="307"/>
        </w:trPr>
        <w:tc>
          <w:tcPr>
            <w:tcW w:w="2003" w:type="dxa"/>
            <w:vMerge/>
          </w:tcPr>
          <w:p w14:paraId="46975D0A" w14:textId="77777777" w:rsidR="00EF2A10" w:rsidRDefault="00EF2A10" w:rsidP="00873764">
            <w:pPr>
              <w:jc w:val="center"/>
            </w:pPr>
          </w:p>
        </w:tc>
        <w:tc>
          <w:tcPr>
            <w:tcW w:w="2305" w:type="dxa"/>
          </w:tcPr>
          <w:p w14:paraId="37D92E63" w14:textId="77777777" w:rsidR="00EF2A10" w:rsidRDefault="00EF2A10" w:rsidP="00873764">
            <w:pPr>
              <w:jc w:val="center"/>
            </w:pPr>
            <w:r>
              <w:t>MEFO pine forest (bin)</w:t>
            </w:r>
          </w:p>
        </w:tc>
        <w:tc>
          <w:tcPr>
            <w:tcW w:w="2026" w:type="dxa"/>
          </w:tcPr>
          <w:p w14:paraId="21D55911" w14:textId="77777777" w:rsidR="00EF2A10" w:rsidRDefault="00EF2A10" w:rsidP="00873764">
            <w:pPr>
              <w:jc w:val="center"/>
            </w:pPr>
            <w:r>
              <w:t>0.035 ± 0.002</w:t>
            </w:r>
          </w:p>
        </w:tc>
        <w:tc>
          <w:tcPr>
            <w:tcW w:w="1901" w:type="dxa"/>
          </w:tcPr>
          <w:p w14:paraId="10C6B77F" w14:textId="77777777" w:rsidR="00EF2A10" w:rsidRDefault="00EF2A10" w:rsidP="00873764">
            <w:pPr>
              <w:jc w:val="center"/>
            </w:pPr>
            <w:r>
              <w:t>-0.036 ± 0.05</w:t>
            </w:r>
          </w:p>
        </w:tc>
        <w:tc>
          <w:tcPr>
            <w:tcW w:w="1361" w:type="dxa"/>
          </w:tcPr>
          <w:p w14:paraId="327A4034" w14:textId="77777777" w:rsidR="00EF2A10" w:rsidRDefault="00EF2A10" w:rsidP="00873764">
            <w:pPr>
              <w:jc w:val="center"/>
            </w:pPr>
            <w:r>
              <w:t>0.93</w:t>
            </w:r>
          </w:p>
        </w:tc>
      </w:tr>
      <w:tr w:rsidR="00EF2A10" w14:paraId="30279171" w14:textId="77777777" w:rsidTr="00873764">
        <w:trPr>
          <w:trHeight w:val="468"/>
        </w:trPr>
        <w:tc>
          <w:tcPr>
            <w:tcW w:w="2003" w:type="dxa"/>
            <w:vMerge w:val="restart"/>
          </w:tcPr>
          <w:p w14:paraId="25734926" w14:textId="77777777" w:rsidR="00EF2A10" w:rsidRDefault="00EF2A10" w:rsidP="00873764">
            <w:pPr>
              <w:jc w:val="center"/>
            </w:pPr>
            <w:r>
              <w:t>Formic</w:t>
            </w:r>
          </w:p>
        </w:tc>
        <w:tc>
          <w:tcPr>
            <w:tcW w:w="2305" w:type="dxa"/>
          </w:tcPr>
          <w:p w14:paraId="52CA0E9F" w14:textId="77777777" w:rsidR="00EF2A10" w:rsidRDefault="00EF2A10" w:rsidP="00873764">
            <w:pPr>
              <w:jc w:val="center"/>
            </w:pPr>
            <w:r>
              <w:t>California orchard (all)</w:t>
            </w:r>
          </w:p>
        </w:tc>
        <w:tc>
          <w:tcPr>
            <w:tcW w:w="2026" w:type="dxa"/>
          </w:tcPr>
          <w:p w14:paraId="2C9FBF1B" w14:textId="77777777" w:rsidR="00EF2A10" w:rsidRDefault="00EF2A10" w:rsidP="00873764">
            <w:pPr>
              <w:jc w:val="center"/>
            </w:pPr>
            <w:r>
              <w:t>-0.037 ± 0.08</w:t>
            </w:r>
          </w:p>
        </w:tc>
        <w:tc>
          <w:tcPr>
            <w:tcW w:w="1901" w:type="dxa"/>
          </w:tcPr>
          <w:p w14:paraId="07734461" w14:textId="77777777" w:rsidR="00EF2A10" w:rsidRDefault="00EF2A10" w:rsidP="00873764">
            <w:pPr>
              <w:jc w:val="center"/>
            </w:pPr>
            <w:r>
              <w:t>-0.10 ± 1</w:t>
            </w:r>
          </w:p>
        </w:tc>
        <w:tc>
          <w:tcPr>
            <w:tcW w:w="1361" w:type="dxa"/>
          </w:tcPr>
          <w:p w14:paraId="6C130159" w14:textId="77777777" w:rsidR="00EF2A10" w:rsidRDefault="00EF2A10" w:rsidP="00873764">
            <w:pPr>
              <w:jc w:val="center"/>
            </w:pPr>
            <w:r>
              <w:t>0.00</w:t>
            </w:r>
          </w:p>
        </w:tc>
      </w:tr>
      <w:tr w:rsidR="00EF2A10" w14:paraId="5876FAC0" w14:textId="77777777" w:rsidTr="00873764">
        <w:trPr>
          <w:trHeight w:val="307"/>
        </w:trPr>
        <w:tc>
          <w:tcPr>
            <w:tcW w:w="2003" w:type="dxa"/>
            <w:vMerge/>
          </w:tcPr>
          <w:p w14:paraId="79037B48" w14:textId="77777777" w:rsidR="00EF2A10" w:rsidRDefault="00EF2A10" w:rsidP="00873764">
            <w:pPr>
              <w:jc w:val="center"/>
            </w:pPr>
          </w:p>
        </w:tc>
        <w:tc>
          <w:tcPr>
            <w:tcW w:w="2305" w:type="dxa"/>
          </w:tcPr>
          <w:p w14:paraId="159D7431" w14:textId="77777777" w:rsidR="00EF2A10" w:rsidRDefault="00EF2A10" w:rsidP="00873764">
            <w:pPr>
              <w:jc w:val="center"/>
            </w:pPr>
            <w:r>
              <w:t>California orchard (bin)</w:t>
            </w:r>
          </w:p>
        </w:tc>
        <w:tc>
          <w:tcPr>
            <w:tcW w:w="2026" w:type="dxa"/>
          </w:tcPr>
          <w:p w14:paraId="547F392B" w14:textId="77777777" w:rsidR="00EF2A10" w:rsidRDefault="00EF2A10" w:rsidP="00873764">
            <w:pPr>
              <w:jc w:val="center"/>
            </w:pPr>
            <w:r>
              <w:t>-0.014 ± 0.06</w:t>
            </w:r>
          </w:p>
        </w:tc>
        <w:tc>
          <w:tcPr>
            <w:tcW w:w="1901" w:type="dxa"/>
          </w:tcPr>
          <w:p w14:paraId="2FC0F765" w14:textId="77777777" w:rsidR="00EF2A10" w:rsidRDefault="00EF2A10" w:rsidP="00873764">
            <w:pPr>
              <w:jc w:val="center"/>
            </w:pPr>
            <w:r>
              <w:t>-0.30 ± 1</w:t>
            </w:r>
          </w:p>
        </w:tc>
        <w:tc>
          <w:tcPr>
            <w:tcW w:w="1361" w:type="dxa"/>
          </w:tcPr>
          <w:p w14:paraId="18DFB031" w14:textId="77777777" w:rsidR="00EF2A10" w:rsidRDefault="00EF2A10" w:rsidP="00873764">
            <w:pPr>
              <w:jc w:val="center"/>
            </w:pPr>
            <w:r>
              <w:t>0.00</w:t>
            </w:r>
          </w:p>
        </w:tc>
      </w:tr>
      <w:tr w:rsidR="00EF2A10" w14:paraId="2C336AFD" w14:textId="77777777" w:rsidTr="00873764">
        <w:trPr>
          <w:trHeight w:val="307"/>
        </w:trPr>
        <w:tc>
          <w:tcPr>
            <w:tcW w:w="2003" w:type="dxa"/>
            <w:vMerge/>
          </w:tcPr>
          <w:p w14:paraId="677E855E" w14:textId="77777777" w:rsidR="00EF2A10" w:rsidRDefault="00EF2A10" w:rsidP="00873764">
            <w:pPr>
              <w:jc w:val="center"/>
            </w:pPr>
          </w:p>
        </w:tc>
        <w:tc>
          <w:tcPr>
            <w:tcW w:w="2305" w:type="dxa"/>
          </w:tcPr>
          <w:p w14:paraId="7BCF5D62" w14:textId="77777777" w:rsidR="00EF2A10" w:rsidRDefault="00EF2A10" w:rsidP="00873764">
            <w:pPr>
              <w:jc w:val="center"/>
            </w:pPr>
            <w:r>
              <w:t>UMBS mixed forest (all)</w:t>
            </w:r>
          </w:p>
        </w:tc>
        <w:tc>
          <w:tcPr>
            <w:tcW w:w="2026" w:type="dxa"/>
          </w:tcPr>
          <w:p w14:paraId="5D3E6A91" w14:textId="77777777" w:rsidR="00EF2A10" w:rsidRDefault="00EF2A10" w:rsidP="00873764">
            <w:pPr>
              <w:jc w:val="center"/>
            </w:pPr>
            <w:r>
              <w:t>0.14 ± 0.008</w:t>
            </w:r>
          </w:p>
        </w:tc>
        <w:tc>
          <w:tcPr>
            <w:tcW w:w="1901" w:type="dxa"/>
          </w:tcPr>
          <w:p w14:paraId="3E8B2128" w14:textId="77777777" w:rsidR="00EF2A10" w:rsidRDefault="00EF2A10" w:rsidP="00873764">
            <w:pPr>
              <w:jc w:val="center"/>
            </w:pPr>
            <w:r>
              <w:t>-0.89 ± 0.06</w:t>
            </w:r>
          </w:p>
        </w:tc>
        <w:tc>
          <w:tcPr>
            <w:tcW w:w="1361" w:type="dxa"/>
          </w:tcPr>
          <w:p w14:paraId="7A83C542" w14:textId="77777777" w:rsidR="00EF2A10" w:rsidRDefault="00EF2A10" w:rsidP="00873764">
            <w:pPr>
              <w:jc w:val="center"/>
            </w:pPr>
            <w:r>
              <w:t>0.32</w:t>
            </w:r>
          </w:p>
        </w:tc>
      </w:tr>
      <w:tr w:rsidR="00EF2A10" w14:paraId="3A5507B7" w14:textId="77777777" w:rsidTr="00873764">
        <w:trPr>
          <w:trHeight w:val="307"/>
        </w:trPr>
        <w:tc>
          <w:tcPr>
            <w:tcW w:w="2003" w:type="dxa"/>
            <w:vMerge/>
          </w:tcPr>
          <w:p w14:paraId="4B9C490C" w14:textId="77777777" w:rsidR="00EF2A10" w:rsidRDefault="00EF2A10" w:rsidP="00873764">
            <w:pPr>
              <w:jc w:val="center"/>
            </w:pPr>
          </w:p>
        </w:tc>
        <w:tc>
          <w:tcPr>
            <w:tcW w:w="2305" w:type="dxa"/>
          </w:tcPr>
          <w:p w14:paraId="45AB22BB" w14:textId="77777777" w:rsidR="00EF2A10" w:rsidRDefault="00EF2A10" w:rsidP="00873764">
            <w:pPr>
              <w:jc w:val="center"/>
            </w:pPr>
            <w:r>
              <w:t>UMBS mixed forest (bin)</w:t>
            </w:r>
          </w:p>
        </w:tc>
        <w:tc>
          <w:tcPr>
            <w:tcW w:w="2026" w:type="dxa"/>
          </w:tcPr>
          <w:p w14:paraId="516043D0" w14:textId="77777777" w:rsidR="00EF2A10" w:rsidRDefault="00EF2A10" w:rsidP="00873764">
            <w:pPr>
              <w:jc w:val="center"/>
            </w:pPr>
            <w:r>
              <w:t>0.13 ± 0.01</w:t>
            </w:r>
          </w:p>
        </w:tc>
        <w:tc>
          <w:tcPr>
            <w:tcW w:w="1901" w:type="dxa"/>
          </w:tcPr>
          <w:p w14:paraId="75166145" w14:textId="77777777" w:rsidR="00EF2A10" w:rsidRDefault="00EF2A10" w:rsidP="00873764">
            <w:pPr>
              <w:jc w:val="center"/>
            </w:pPr>
            <w:r>
              <w:t>-0.77 ± 0.1</w:t>
            </w:r>
          </w:p>
        </w:tc>
        <w:tc>
          <w:tcPr>
            <w:tcW w:w="1361" w:type="dxa"/>
          </w:tcPr>
          <w:p w14:paraId="769E84AE" w14:textId="77777777" w:rsidR="00EF2A10" w:rsidRDefault="00EF2A10" w:rsidP="00873764">
            <w:pPr>
              <w:jc w:val="center"/>
            </w:pPr>
            <w:r>
              <w:t>0.89</w:t>
            </w:r>
          </w:p>
        </w:tc>
      </w:tr>
      <w:tr w:rsidR="00EF2A10" w14:paraId="01908546" w14:textId="77777777" w:rsidTr="00873764">
        <w:trPr>
          <w:trHeight w:val="307"/>
        </w:trPr>
        <w:tc>
          <w:tcPr>
            <w:tcW w:w="2003" w:type="dxa"/>
            <w:vMerge/>
          </w:tcPr>
          <w:p w14:paraId="6B15BEBC" w14:textId="77777777" w:rsidR="00EF2A10" w:rsidRDefault="00EF2A10" w:rsidP="00873764">
            <w:pPr>
              <w:jc w:val="center"/>
            </w:pPr>
          </w:p>
        </w:tc>
        <w:tc>
          <w:tcPr>
            <w:tcW w:w="2305" w:type="dxa"/>
          </w:tcPr>
          <w:p w14:paraId="3C432889" w14:textId="77777777" w:rsidR="00EF2A10" w:rsidRDefault="00EF2A10" w:rsidP="00873764">
            <w:pPr>
              <w:jc w:val="center"/>
            </w:pPr>
            <w:r>
              <w:t>MEFO pine forest (all)</w:t>
            </w:r>
          </w:p>
        </w:tc>
        <w:tc>
          <w:tcPr>
            <w:tcW w:w="2026" w:type="dxa"/>
          </w:tcPr>
          <w:p w14:paraId="7776DB85" w14:textId="77777777" w:rsidR="00EF2A10" w:rsidRDefault="00EF2A10" w:rsidP="00873764">
            <w:pPr>
              <w:jc w:val="center"/>
            </w:pPr>
            <w:r>
              <w:t>0.14 ± 0.008</w:t>
            </w:r>
          </w:p>
        </w:tc>
        <w:tc>
          <w:tcPr>
            <w:tcW w:w="1901" w:type="dxa"/>
          </w:tcPr>
          <w:p w14:paraId="25D06FA9" w14:textId="77777777" w:rsidR="00EF2A10" w:rsidRDefault="00EF2A10" w:rsidP="00873764">
            <w:pPr>
              <w:jc w:val="center"/>
            </w:pPr>
            <w:r>
              <w:t>-0.24 ± 0.1</w:t>
            </w:r>
          </w:p>
        </w:tc>
        <w:tc>
          <w:tcPr>
            <w:tcW w:w="1361" w:type="dxa"/>
          </w:tcPr>
          <w:p w14:paraId="48586110" w14:textId="77777777" w:rsidR="00EF2A10" w:rsidRDefault="00EF2A10" w:rsidP="00873764">
            <w:pPr>
              <w:jc w:val="center"/>
            </w:pPr>
            <w:r>
              <w:t>0.25</w:t>
            </w:r>
          </w:p>
        </w:tc>
      </w:tr>
      <w:tr w:rsidR="00EF2A10" w14:paraId="138CDD82" w14:textId="77777777" w:rsidTr="00873764">
        <w:trPr>
          <w:trHeight w:val="307"/>
        </w:trPr>
        <w:tc>
          <w:tcPr>
            <w:tcW w:w="2003" w:type="dxa"/>
            <w:vMerge/>
          </w:tcPr>
          <w:p w14:paraId="20557578" w14:textId="77777777" w:rsidR="00EF2A10" w:rsidRDefault="00EF2A10" w:rsidP="00873764">
            <w:pPr>
              <w:jc w:val="center"/>
            </w:pPr>
          </w:p>
        </w:tc>
        <w:tc>
          <w:tcPr>
            <w:tcW w:w="2305" w:type="dxa"/>
          </w:tcPr>
          <w:p w14:paraId="0988486D" w14:textId="77777777" w:rsidR="00EF2A10" w:rsidRDefault="00EF2A10" w:rsidP="00873764">
            <w:pPr>
              <w:jc w:val="center"/>
            </w:pPr>
            <w:r>
              <w:t>MEFO pine forest (bin)</w:t>
            </w:r>
          </w:p>
        </w:tc>
        <w:tc>
          <w:tcPr>
            <w:tcW w:w="2026" w:type="dxa"/>
          </w:tcPr>
          <w:p w14:paraId="4C4F35AE" w14:textId="77777777" w:rsidR="00EF2A10" w:rsidRDefault="00EF2A10" w:rsidP="00873764">
            <w:pPr>
              <w:jc w:val="center"/>
            </w:pPr>
            <w:r>
              <w:t>0.13 ± 0.01</w:t>
            </w:r>
          </w:p>
        </w:tc>
        <w:tc>
          <w:tcPr>
            <w:tcW w:w="1901" w:type="dxa"/>
          </w:tcPr>
          <w:p w14:paraId="15CB3FA0" w14:textId="77777777" w:rsidR="00EF2A10" w:rsidRDefault="00EF2A10" w:rsidP="00873764">
            <w:pPr>
              <w:jc w:val="center"/>
            </w:pPr>
            <w:r>
              <w:t>-0.029 ± 0.3</w:t>
            </w:r>
          </w:p>
        </w:tc>
        <w:tc>
          <w:tcPr>
            <w:tcW w:w="1361" w:type="dxa"/>
          </w:tcPr>
          <w:p w14:paraId="31548C08" w14:textId="77777777" w:rsidR="00EF2A10" w:rsidRDefault="00EF2A10" w:rsidP="00873764">
            <w:pPr>
              <w:jc w:val="center"/>
            </w:pPr>
            <w:r>
              <w:t>0.87</w:t>
            </w:r>
          </w:p>
        </w:tc>
      </w:tr>
      <w:tr w:rsidR="00EF2A10" w14:paraId="6F502F82" w14:textId="77777777" w:rsidTr="00873764">
        <w:trPr>
          <w:trHeight w:val="307"/>
        </w:trPr>
        <w:tc>
          <w:tcPr>
            <w:tcW w:w="2003" w:type="dxa"/>
            <w:vMerge w:val="restart"/>
          </w:tcPr>
          <w:p w14:paraId="1E1A8C76" w14:textId="77777777" w:rsidR="00EF2A10" w:rsidRDefault="00EF2A10" w:rsidP="00873764">
            <w:pPr>
              <w:jc w:val="center"/>
            </w:pPr>
            <w:r>
              <w:t>Butyric</w:t>
            </w:r>
          </w:p>
        </w:tc>
        <w:tc>
          <w:tcPr>
            <w:tcW w:w="2305" w:type="dxa"/>
          </w:tcPr>
          <w:p w14:paraId="7B8B423C" w14:textId="77777777" w:rsidR="00EF2A10" w:rsidRDefault="00EF2A10" w:rsidP="00873764">
            <w:pPr>
              <w:jc w:val="center"/>
            </w:pPr>
            <w:r>
              <w:t>California orchard (all)</w:t>
            </w:r>
          </w:p>
        </w:tc>
        <w:tc>
          <w:tcPr>
            <w:tcW w:w="2026" w:type="dxa"/>
          </w:tcPr>
          <w:p w14:paraId="287900EB" w14:textId="77777777" w:rsidR="00EF2A10" w:rsidRDefault="00EF2A10" w:rsidP="00873764">
            <w:pPr>
              <w:jc w:val="center"/>
            </w:pPr>
            <w:r>
              <w:t>0.00022 ± 0.03</w:t>
            </w:r>
          </w:p>
        </w:tc>
        <w:tc>
          <w:tcPr>
            <w:tcW w:w="1901" w:type="dxa"/>
          </w:tcPr>
          <w:p w14:paraId="4524FA6F" w14:textId="77777777" w:rsidR="00EF2A10" w:rsidRDefault="00EF2A10" w:rsidP="00873764">
            <w:pPr>
              <w:jc w:val="center"/>
            </w:pPr>
            <w:r>
              <w:t xml:space="preserve">-0.0029 ± 0.4 </w:t>
            </w:r>
          </w:p>
        </w:tc>
        <w:tc>
          <w:tcPr>
            <w:tcW w:w="1361" w:type="dxa"/>
          </w:tcPr>
          <w:p w14:paraId="36A83D9B" w14:textId="77777777" w:rsidR="00EF2A10" w:rsidRDefault="00EF2A10" w:rsidP="00873764">
            <w:pPr>
              <w:jc w:val="center"/>
            </w:pPr>
            <w:r>
              <w:t>0.00</w:t>
            </w:r>
          </w:p>
        </w:tc>
      </w:tr>
      <w:tr w:rsidR="00EF2A10" w14:paraId="39E7FEF0" w14:textId="77777777" w:rsidTr="00873764">
        <w:trPr>
          <w:trHeight w:val="307"/>
        </w:trPr>
        <w:tc>
          <w:tcPr>
            <w:tcW w:w="2003" w:type="dxa"/>
            <w:vMerge/>
          </w:tcPr>
          <w:p w14:paraId="723B8403" w14:textId="77777777" w:rsidR="00EF2A10" w:rsidRDefault="00EF2A10" w:rsidP="00873764">
            <w:pPr>
              <w:jc w:val="center"/>
            </w:pPr>
          </w:p>
        </w:tc>
        <w:tc>
          <w:tcPr>
            <w:tcW w:w="2305" w:type="dxa"/>
          </w:tcPr>
          <w:p w14:paraId="7044559B" w14:textId="77777777" w:rsidR="00EF2A10" w:rsidRDefault="00EF2A10" w:rsidP="00873764">
            <w:pPr>
              <w:jc w:val="center"/>
            </w:pPr>
            <w:r>
              <w:t>California orchard (bin)</w:t>
            </w:r>
          </w:p>
        </w:tc>
        <w:tc>
          <w:tcPr>
            <w:tcW w:w="2026" w:type="dxa"/>
          </w:tcPr>
          <w:p w14:paraId="08951884" w14:textId="77777777" w:rsidR="00EF2A10" w:rsidRDefault="00EF2A10" w:rsidP="00873764">
            <w:pPr>
              <w:jc w:val="center"/>
            </w:pPr>
            <w:r>
              <w:t>-0.0095 ± 0.04</w:t>
            </w:r>
          </w:p>
        </w:tc>
        <w:tc>
          <w:tcPr>
            <w:tcW w:w="1901" w:type="dxa"/>
          </w:tcPr>
          <w:p w14:paraId="5ADA4782" w14:textId="77777777" w:rsidR="00EF2A10" w:rsidRDefault="00EF2A10" w:rsidP="00873764">
            <w:pPr>
              <w:jc w:val="center"/>
            </w:pPr>
            <w:r>
              <w:t xml:space="preserve">0.072 ± 0.7 </w:t>
            </w:r>
          </w:p>
        </w:tc>
        <w:tc>
          <w:tcPr>
            <w:tcW w:w="1361" w:type="dxa"/>
          </w:tcPr>
          <w:p w14:paraId="02F631FA" w14:textId="77777777" w:rsidR="00EF2A10" w:rsidRDefault="00EF2A10" w:rsidP="00873764">
            <w:pPr>
              <w:jc w:val="center"/>
            </w:pPr>
            <w:r>
              <w:t>0.01</w:t>
            </w:r>
          </w:p>
        </w:tc>
      </w:tr>
      <w:tr w:rsidR="00EF2A10" w14:paraId="42512E98" w14:textId="77777777" w:rsidTr="00873764">
        <w:trPr>
          <w:trHeight w:val="307"/>
        </w:trPr>
        <w:tc>
          <w:tcPr>
            <w:tcW w:w="2003" w:type="dxa"/>
            <w:vMerge/>
          </w:tcPr>
          <w:p w14:paraId="142C2318" w14:textId="77777777" w:rsidR="00EF2A10" w:rsidRDefault="00EF2A10" w:rsidP="00873764">
            <w:pPr>
              <w:jc w:val="center"/>
            </w:pPr>
          </w:p>
        </w:tc>
        <w:tc>
          <w:tcPr>
            <w:tcW w:w="2305" w:type="dxa"/>
          </w:tcPr>
          <w:p w14:paraId="7C4B1B65" w14:textId="77777777" w:rsidR="00EF2A10" w:rsidRDefault="00EF2A10" w:rsidP="00873764">
            <w:pPr>
              <w:jc w:val="center"/>
            </w:pPr>
            <w:r>
              <w:t>UMBS mixed forest (all)</w:t>
            </w:r>
          </w:p>
        </w:tc>
        <w:tc>
          <w:tcPr>
            <w:tcW w:w="2026" w:type="dxa"/>
          </w:tcPr>
          <w:p w14:paraId="6866DD10" w14:textId="77777777" w:rsidR="00EF2A10" w:rsidRDefault="00EF2A10" w:rsidP="00873764">
            <w:pPr>
              <w:jc w:val="center"/>
            </w:pPr>
            <w:r>
              <w:t>0.068 ± 0.01</w:t>
            </w:r>
          </w:p>
        </w:tc>
        <w:tc>
          <w:tcPr>
            <w:tcW w:w="1901" w:type="dxa"/>
          </w:tcPr>
          <w:p w14:paraId="4D3B93E4" w14:textId="77777777" w:rsidR="00EF2A10" w:rsidRDefault="00EF2A10" w:rsidP="00873764">
            <w:pPr>
              <w:jc w:val="center"/>
            </w:pPr>
            <w:r>
              <w:t>-0.26 ± 0.09</w:t>
            </w:r>
          </w:p>
        </w:tc>
        <w:tc>
          <w:tcPr>
            <w:tcW w:w="1361" w:type="dxa"/>
          </w:tcPr>
          <w:p w14:paraId="01A56CF2" w14:textId="77777777" w:rsidR="00EF2A10" w:rsidRDefault="00EF2A10" w:rsidP="00873764">
            <w:pPr>
              <w:jc w:val="center"/>
            </w:pPr>
            <w:r>
              <w:t>0.04</w:t>
            </w:r>
          </w:p>
        </w:tc>
      </w:tr>
      <w:tr w:rsidR="00EF2A10" w14:paraId="3366FA95" w14:textId="77777777" w:rsidTr="00873764">
        <w:trPr>
          <w:trHeight w:val="307"/>
        </w:trPr>
        <w:tc>
          <w:tcPr>
            <w:tcW w:w="2003" w:type="dxa"/>
            <w:vMerge/>
          </w:tcPr>
          <w:p w14:paraId="3F755D47" w14:textId="77777777" w:rsidR="00EF2A10" w:rsidRDefault="00EF2A10" w:rsidP="00873764">
            <w:pPr>
              <w:jc w:val="center"/>
            </w:pPr>
          </w:p>
        </w:tc>
        <w:tc>
          <w:tcPr>
            <w:tcW w:w="2305" w:type="dxa"/>
          </w:tcPr>
          <w:p w14:paraId="14884CDB" w14:textId="77777777" w:rsidR="00EF2A10" w:rsidRDefault="00EF2A10" w:rsidP="00873764">
            <w:pPr>
              <w:jc w:val="center"/>
            </w:pPr>
            <w:r>
              <w:t>UMBS mixed forest (bin)</w:t>
            </w:r>
          </w:p>
        </w:tc>
        <w:tc>
          <w:tcPr>
            <w:tcW w:w="2026" w:type="dxa"/>
          </w:tcPr>
          <w:p w14:paraId="4BF91BCA" w14:textId="77777777" w:rsidR="00EF2A10" w:rsidRDefault="00EF2A10" w:rsidP="00873764">
            <w:pPr>
              <w:jc w:val="center"/>
            </w:pPr>
            <w:r>
              <w:t>0.044 ± 0.02</w:t>
            </w:r>
          </w:p>
        </w:tc>
        <w:tc>
          <w:tcPr>
            <w:tcW w:w="1901" w:type="dxa"/>
          </w:tcPr>
          <w:p w14:paraId="2EABF0FF" w14:textId="77777777" w:rsidR="00EF2A10" w:rsidRDefault="00EF2A10" w:rsidP="00873764">
            <w:pPr>
              <w:jc w:val="center"/>
            </w:pPr>
            <w:r>
              <w:t>-0.088 ± 0.2</w:t>
            </w:r>
          </w:p>
        </w:tc>
        <w:tc>
          <w:tcPr>
            <w:tcW w:w="1361" w:type="dxa"/>
          </w:tcPr>
          <w:p w14:paraId="15492D99" w14:textId="77777777" w:rsidR="00EF2A10" w:rsidRDefault="00EF2A10" w:rsidP="00873764">
            <w:pPr>
              <w:jc w:val="center"/>
            </w:pPr>
            <w:r>
              <w:t>0.29</w:t>
            </w:r>
          </w:p>
        </w:tc>
      </w:tr>
      <w:tr w:rsidR="00EF2A10" w14:paraId="1769E4CB" w14:textId="77777777" w:rsidTr="00873764">
        <w:trPr>
          <w:trHeight w:val="307"/>
        </w:trPr>
        <w:tc>
          <w:tcPr>
            <w:tcW w:w="2003" w:type="dxa"/>
            <w:vMerge/>
          </w:tcPr>
          <w:p w14:paraId="10A80238" w14:textId="77777777" w:rsidR="00EF2A10" w:rsidRDefault="00EF2A10" w:rsidP="00873764">
            <w:pPr>
              <w:jc w:val="center"/>
            </w:pPr>
          </w:p>
        </w:tc>
        <w:tc>
          <w:tcPr>
            <w:tcW w:w="2305" w:type="dxa"/>
          </w:tcPr>
          <w:p w14:paraId="1869DAE3" w14:textId="77777777" w:rsidR="00EF2A10" w:rsidRDefault="00EF2A10" w:rsidP="00873764">
            <w:pPr>
              <w:jc w:val="center"/>
            </w:pPr>
            <w:r>
              <w:t>MEFO pine forest (all)</w:t>
            </w:r>
          </w:p>
        </w:tc>
        <w:tc>
          <w:tcPr>
            <w:tcW w:w="2026" w:type="dxa"/>
          </w:tcPr>
          <w:p w14:paraId="2FFF0750" w14:textId="77777777" w:rsidR="00EF2A10" w:rsidRDefault="00EF2A10" w:rsidP="00873764">
            <w:pPr>
              <w:jc w:val="center"/>
            </w:pPr>
            <w:r>
              <w:t>0.054 ± 0.003</w:t>
            </w:r>
          </w:p>
        </w:tc>
        <w:tc>
          <w:tcPr>
            <w:tcW w:w="1901" w:type="dxa"/>
          </w:tcPr>
          <w:p w14:paraId="65C86186" w14:textId="77777777" w:rsidR="00EF2A10" w:rsidRDefault="00EF2A10" w:rsidP="00873764">
            <w:pPr>
              <w:jc w:val="center"/>
            </w:pPr>
            <w:r>
              <w:t>0.078 ± 0.06</w:t>
            </w:r>
          </w:p>
        </w:tc>
        <w:tc>
          <w:tcPr>
            <w:tcW w:w="1361" w:type="dxa"/>
          </w:tcPr>
          <w:p w14:paraId="53524D3C" w14:textId="77777777" w:rsidR="00EF2A10" w:rsidRDefault="00EF2A10" w:rsidP="00873764">
            <w:pPr>
              <w:jc w:val="center"/>
            </w:pPr>
            <w:r>
              <w:t>0.24</w:t>
            </w:r>
          </w:p>
        </w:tc>
      </w:tr>
      <w:tr w:rsidR="00EF2A10" w14:paraId="0C29C1CA" w14:textId="77777777" w:rsidTr="00873764">
        <w:trPr>
          <w:trHeight w:val="307"/>
        </w:trPr>
        <w:tc>
          <w:tcPr>
            <w:tcW w:w="2003" w:type="dxa"/>
            <w:vMerge/>
          </w:tcPr>
          <w:p w14:paraId="547B0C19" w14:textId="77777777" w:rsidR="00EF2A10" w:rsidRDefault="00EF2A10" w:rsidP="00873764">
            <w:pPr>
              <w:jc w:val="center"/>
            </w:pPr>
          </w:p>
        </w:tc>
        <w:tc>
          <w:tcPr>
            <w:tcW w:w="2305" w:type="dxa"/>
          </w:tcPr>
          <w:p w14:paraId="0F8BF872" w14:textId="77777777" w:rsidR="00EF2A10" w:rsidRDefault="00EF2A10" w:rsidP="00873764">
            <w:pPr>
              <w:jc w:val="center"/>
            </w:pPr>
            <w:r>
              <w:t>MEFO pine forest (bin)</w:t>
            </w:r>
          </w:p>
        </w:tc>
        <w:tc>
          <w:tcPr>
            <w:tcW w:w="2026" w:type="dxa"/>
          </w:tcPr>
          <w:p w14:paraId="07C6ED55" w14:textId="77777777" w:rsidR="00EF2A10" w:rsidRDefault="00EF2A10" w:rsidP="00873764">
            <w:pPr>
              <w:jc w:val="center"/>
            </w:pPr>
            <w:r>
              <w:t>0.055 ± 0.007</w:t>
            </w:r>
          </w:p>
        </w:tc>
        <w:tc>
          <w:tcPr>
            <w:tcW w:w="1901" w:type="dxa"/>
          </w:tcPr>
          <w:p w14:paraId="758B8707" w14:textId="77777777" w:rsidR="00EF2A10" w:rsidRDefault="00EF2A10" w:rsidP="00873764">
            <w:pPr>
              <w:jc w:val="center"/>
            </w:pPr>
            <w:r>
              <w:t>0.15 ± 0.1</w:t>
            </w:r>
          </w:p>
        </w:tc>
        <w:tc>
          <w:tcPr>
            <w:tcW w:w="1361" w:type="dxa"/>
          </w:tcPr>
          <w:p w14:paraId="04C81DBE" w14:textId="77777777" w:rsidR="00EF2A10" w:rsidRDefault="00EF2A10" w:rsidP="00873764">
            <w:pPr>
              <w:jc w:val="center"/>
            </w:pPr>
            <w:r>
              <w:t>0.82</w:t>
            </w:r>
          </w:p>
        </w:tc>
      </w:tr>
      <w:tr w:rsidR="00EF2A10" w14:paraId="6428DB13" w14:textId="77777777" w:rsidTr="00873764">
        <w:trPr>
          <w:trHeight w:val="307"/>
        </w:trPr>
        <w:tc>
          <w:tcPr>
            <w:tcW w:w="2003" w:type="dxa"/>
            <w:vMerge w:val="restart"/>
          </w:tcPr>
          <w:p w14:paraId="38FC2BF7" w14:textId="77777777" w:rsidR="00EF2A10" w:rsidRDefault="00EF2A10" w:rsidP="00873764">
            <w:pPr>
              <w:jc w:val="center"/>
            </w:pPr>
            <w:r>
              <w:t>Valeric</w:t>
            </w:r>
          </w:p>
        </w:tc>
        <w:tc>
          <w:tcPr>
            <w:tcW w:w="2305" w:type="dxa"/>
          </w:tcPr>
          <w:p w14:paraId="3D2F6471" w14:textId="77777777" w:rsidR="00EF2A10" w:rsidRDefault="00EF2A10" w:rsidP="00873764">
            <w:pPr>
              <w:jc w:val="center"/>
            </w:pPr>
            <w:r>
              <w:t>California orchard (all)</w:t>
            </w:r>
          </w:p>
        </w:tc>
        <w:tc>
          <w:tcPr>
            <w:tcW w:w="2026" w:type="dxa"/>
          </w:tcPr>
          <w:p w14:paraId="5E2D285A" w14:textId="77777777" w:rsidR="00EF2A10" w:rsidRDefault="00EF2A10" w:rsidP="00873764">
            <w:pPr>
              <w:jc w:val="center"/>
            </w:pPr>
            <w:r>
              <w:t>-0.036 ± 0.04</w:t>
            </w:r>
          </w:p>
        </w:tc>
        <w:tc>
          <w:tcPr>
            <w:tcW w:w="1901" w:type="dxa"/>
          </w:tcPr>
          <w:p w14:paraId="0571F4B8" w14:textId="77777777" w:rsidR="00EF2A10" w:rsidRDefault="00EF2A10" w:rsidP="00873764">
            <w:pPr>
              <w:jc w:val="center"/>
            </w:pPr>
            <w:r>
              <w:t>0.60 ± 0.6</w:t>
            </w:r>
          </w:p>
        </w:tc>
        <w:tc>
          <w:tcPr>
            <w:tcW w:w="1361" w:type="dxa"/>
          </w:tcPr>
          <w:p w14:paraId="7FC5D928" w14:textId="77777777" w:rsidR="00EF2A10" w:rsidRDefault="00EF2A10" w:rsidP="00873764">
            <w:pPr>
              <w:jc w:val="center"/>
            </w:pPr>
            <w:r>
              <w:t>0.00</w:t>
            </w:r>
          </w:p>
        </w:tc>
      </w:tr>
      <w:tr w:rsidR="00EF2A10" w14:paraId="4522B18A" w14:textId="77777777" w:rsidTr="00873764">
        <w:trPr>
          <w:trHeight w:val="307"/>
        </w:trPr>
        <w:tc>
          <w:tcPr>
            <w:tcW w:w="2003" w:type="dxa"/>
            <w:vMerge/>
          </w:tcPr>
          <w:p w14:paraId="0E695860" w14:textId="77777777" w:rsidR="00EF2A10" w:rsidRDefault="00EF2A10" w:rsidP="00873764">
            <w:pPr>
              <w:jc w:val="center"/>
            </w:pPr>
          </w:p>
        </w:tc>
        <w:tc>
          <w:tcPr>
            <w:tcW w:w="2305" w:type="dxa"/>
          </w:tcPr>
          <w:p w14:paraId="7A7000A3" w14:textId="77777777" w:rsidR="00EF2A10" w:rsidRDefault="00EF2A10" w:rsidP="00873764">
            <w:pPr>
              <w:jc w:val="center"/>
            </w:pPr>
            <w:r>
              <w:t>California orchard (bin)</w:t>
            </w:r>
          </w:p>
        </w:tc>
        <w:tc>
          <w:tcPr>
            <w:tcW w:w="2026" w:type="dxa"/>
          </w:tcPr>
          <w:p w14:paraId="35D55C09" w14:textId="77777777" w:rsidR="00EF2A10" w:rsidRDefault="00EF2A10" w:rsidP="00873764">
            <w:pPr>
              <w:jc w:val="center"/>
            </w:pPr>
            <w:r>
              <w:t>-0.030 ± 0.03</w:t>
            </w:r>
          </w:p>
        </w:tc>
        <w:tc>
          <w:tcPr>
            <w:tcW w:w="1901" w:type="dxa"/>
          </w:tcPr>
          <w:p w14:paraId="5538919F" w14:textId="77777777" w:rsidR="00EF2A10" w:rsidRDefault="00EF2A10" w:rsidP="00873764">
            <w:pPr>
              <w:jc w:val="center"/>
            </w:pPr>
            <w:r>
              <w:t>0.53 ± 0.5</w:t>
            </w:r>
          </w:p>
        </w:tc>
        <w:tc>
          <w:tcPr>
            <w:tcW w:w="1361" w:type="dxa"/>
          </w:tcPr>
          <w:p w14:paraId="76375E1F" w14:textId="77777777" w:rsidR="00EF2A10" w:rsidRDefault="00EF2A10" w:rsidP="00873764">
            <w:pPr>
              <w:jc w:val="center"/>
            </w:pPr>
            <w:r>
              <w:t>0.08</w:t>
            </w:r>
          </w:p>
        </w:tc>
      </w:tr>
      <w:tr w:rsidR="00EF2A10" w14:paraId="28B72468" w14:textId="77777777" w:rsidTr="00873764">
        <w:trPr>
          <w:trHeight w:val="307"/>
        </w:trPr>
        <w:tc>
          <w:tcPr>
            <w:tcW w:w="2003" w:type="dxa"/>
            <w:vMerge/>
          </w:tcPr>
          <w:p w14:paraId="5F01D2B9" w14:textId="77777777" w:rsidR="00EF2A10" w:rsidRDefault="00EF2A10" w:rsidP="00873764">
            <w:pPr>
              <w:jc w:val="center"/>
            </w:pPr>
          </w:p>
        </w:tc>
        <w:tc>
          <w:tcPr>
            <w:tcW w:w="2305" w:type="dxa"/>
          </w:tcPr>
          <w:p w14:paraId="63FDEA02" w14:textId="77777777" w:rsidR="00EF2A10" w:rsidRDefault="00EF2A10" w:rsidP="00873764">
            <w:pPr>
              <w:jc w:val="center"/>
            </w:pPr>
            <w:r>
              <w:t>UMBS mixed forest (all)</w:t>
            </w:r>
          </w:p>
        </w:tc>
        <w:tc>
          <w:tcPr>
            <w:tcW w:w="2026" w:type="dxa"/>
          </w:tcPr>
          <w:p w14:paraId="1F0730A9" w14:textId="77777777" w:rsidR="00EF2A10" w:rsidRDefault="00EF2A10" w:rsidP="00873764">
            <w:pPr>
              <w:jc w:val="center"/>
            </w:pPr>
            <w:r>
              <w:t>n/a</w:t>
            </w:r>
          </w:p>
        </w:tc>
        <w:tc>
          <w:tcPr>
            <w:tcW w:w="1901" w:type="dxa"/>
          </w:tcPr>
          <w:p w14:paraId="71E28661" w14:textId="77777777" w:rsidR="00EF2A10" w:rsidRDefault="00EF2A10" w:rsidP="00873764">
            <w:pPr>
              <w:jc w:val="center"/>
            </w:pPr>
            <w:r>
              <w:t>n/a</w:t>
            </w:r>
          </w:p>
        </w:tc>
        <w:tc>
          <w:tcPr>
            <w:tcW w:w="1361" w:type="dxa"/>
          </w:tcPr>
          <w:p w14:paraId="1A4A1FEA" w14:textId="77777777" w:rsidR="00EF2A10" w:rsidRDefault="00EF2A10" w:rsidP="00873764">
            <w:pPr>
              <w:jc w:val="center"/>
            </w:pPr>
            <w:r>
              <w:t>n/a</w:t>
            </w:r>
          </w:p>
        </w:tc>
      </w:tr>
      <w:tr w:rsidR="00EF2A10" w14:paraId="247D3EFA" w14:textId="77777777" w:rsidTr="00873764">
        <w:trPr>
          <w:trHeight w:val="307"/>
        </w:trPr>
        <w:tc>
          <w:tcPr>
            <w:tcW w:w="2003" w:type="dxa"/>
            <w:vMerge/>
          </w:tcPr>
          <w:p w14:paraId="14FC7FCD" w14:textId="77777777" w:rsidR="00EF2A10" w:rsidRDefault="00EF2A10" w:rsidP="00873764">
            <w:pPr>
              <w:jc w:val="center"/>
            </w:pPr>
          </w:p>
        </w:tc>
        <w:tc>
          <w:tcPr>
            <w:tcW w:w="2305" w:type="dxa"/>
          </w:tcPr>
          <w:p w14:paraId="35BFA308" w14:textId="77777777" w:rsidR="00EF2A10" w:rsidRDefault="00EF2A10" w:rsidP="00873764">
            <w:pPr>
              <w:jc w:val="center"/>
            </w:pPr>
            <w:r>
              <w:t>UMBS mixed forest (bin)</w:t>
            </w:r>
          </w:p>
        </w:tc>
        <w:tc>
          <w:tcPr>
            <w:tcW w:w="2026" w:type="dxa"/>
          </w:tcPr>
          <w:p w14:paraId="13DE2F4B" w14:textId="77777777" w:rsidR="00EF2A10" w:rsidRDefault="00EF2A10" w:rsidP="00873764">
            <w:pPr>
              <w:jc w:val="center"/>
            </w:pPr>
            <w:r>
              <w:t>n/a</w:t>
            </w:r>
          </w:p>
        </w:tc>
        <w:tc>
          <w:tcPr>
            <w:tcW w:w="1901" w:type="dxa"/>
          </w:tcPr>
          <w:p w14:paraId="4DC90B5D" w14:textId="77777777" w:rsidR="00EF2A10" w:rsidRDefault="00EF2A10" w:rsidP="00873764">
            <w:pPr>
              <w:jc w:val="center"/>
            </w:pPr>
            <w:r>
              <w:t>n/a</w:t>
            </w:r>
          </w:p>
        </w:tc>
        <w:tc>
          <w:tcPr>
            <w:tcW w:w="1361" w:type="dxa"/>
          </w:tcPr>
          <w:p w14:paraId="34C5D4B0" w14:textId="77777777" w:rsidR="00EF2A10" w:rsidRDefault="00EF2A10" w:rsidP="00873764">
            <w:pPr>
              <w:jc w:val="center"/>
            </w:pPr>
            <w:r>
              <w:t>n/a</w:t>
            </w:r>
          </w:p>
        </w:tc>
      </w:tr>
      <w:tr w:rsidR="00EF2A10" w14:paraId="5F3B136D" w14:textId="77777777" w:rsidTr="00873764">
        <w:trPr>
          <w:trHeight w:val="307"/>
        </w:trPr>
        <w:tc>
          <w:tcPr>
            <w:tcW w:w="2003" w:type="dxa"/>
            <w:vMerge/>
          </w:tcPr>
          <w:p w14:paraId="73E5CAE5" w14:textId="77777777" w:rsidR="00EF2A10" w:rsidRDefault="00EF2A10" w:rsidP="00873764">
            <w:pPr>
              <w:jc w:val="center"/>
            </w:pPr>
          </w:p>
        </w:tc>
        <w:tc>
          <w:tcPr>
            <w:tcW w:w="2305" w:type="dxa"/>
          </w:tcPr>
          <w:p w14:paraId="51A5975F" w14:textId="77777777" w:rsidR="00EF2A10" w:rsidRDefault="00EF2A10" w:rsidP="00873764">
            <w:pPr>
              <w:jc w:val="center"/>
            </w:pPr>
            <w:r>
              <w:t>MEFO pine forest (all)</w:t>
            </w:r>
          </w:p>
        </w:tc>
        <w:tc>
          <w:tcPr>
            <w:tcW w:w="2026" w:type="dxa"/>
          </w:tcPr>
          <w:p w14:paraId="58ACEBCE" w14:textId="77777777" w:rsidR="00EF2A10" w:rsidRDefault="00EF2A10" w:rsidP="00873764">
            <w:pPr>
              <w:jc w:val="center"/>
            </w:pPr>
            <w:r>
              <w:t>0.083 ± 0.01</w:t>
            </w:r>
          </w:p>
        </w:tc>
        <w:tc>
          <w:tcPr>
            <w:tcW w:w="1901" w:type="dxa"/>
          </w:tcPr>
          <w:p w14:paraId="7CDF24EF" w14:textId="77777777" w:rsidR="00EF2A10" w:rsidRDefault="00EF2A10" w:rsidP="00873764">
            <w:pPr>
              <w:jc w:val="center"/>
            </w:pPr>
            <w:r>
              <w:t>-1.0 ± 0.3</w:t>
            </w:r>
          </w:p>
        </w:tc>
        <w:tc>
          <w:tcPr>
            <w:tcW w:w="1361" w:type="dxa"/>
          </w:tcPr>
          <w:p w14:paraId="1798E2A2" w14:textId="77777777" w:rsidR="00EF2A10" w:rsidRDefault="00EF2A10" w:rsidP="00873764">
            <w:pPr>
              <w:jc w:val="center"/>
            </w:pPr>
            <w:r>
              <w:t>0.03</w:t>
            </w:r>
          </w:p>
        </w:tc>
      </w:tr>
      <w:tr w:rsidR="00EF2A10" w14:paraId="371392CD" w14:textId="77777777" w:rsidTr="00873764">
        <w:trPr>
          <w:trHeight w:val="307"/>
        </w:trPr>
        <w:tc>
          <w:tcPr>
            <w:tcW w:w="2003" w:type="dxa"/>
            <w:vMerge/>
          </w:tcPr>
          <w:p w14:paraId="78652DBC" w14:textId="77777777" w:rsidR="00EF2A10" w:rsidRDefault="00EF2A10" w:rsidP="00873764">
            <w:pPr>
              <w:jc w:val="center"/>
            </w:pPr>
          </w:p>
        </w:tc>
        <w:tc>
          <w:tcPr>
            <w:tcW w:w="2305" w:type="dxa"/>
          </w:tcPr>
          <w:p w14:paraId="5C989023" w14:textId="77777777" w:rsidR="00EF2A10" w:rsidRDefault="00EF2A10" w:rsidP="00873764">
            <w:pPr>
              <w:jc w:val="center"/>
            </w:pPr>
            <w:r>
              <w:t>MEFO pine forest (bin)</w:t>
            </w:r>
          </w:p>
        </w:tc>
        <w:tc>
          <w:tcPr>
            <w:tcW w:w="2026" w:type="dxa"/>
          </w:tcPr>
          <w:p w14:paraId="63DE7EE1" w14:textId="77777777" w:rsidR="00EF2A10" w:rsidRDefault="00EF2A10" w:rsidP="00873764">
            <w:pPr>
              <w:jc w:val="center"/>
            </w:pPr>
            <w:r>
              <w:t>0.18 ± 0.05</w:t>
            </w:r>
          </w:p>
        </w:tc>
        <w:tc>
          <w:tcPr>
            <w:tcW w:w="1901" w:type="dxa"/>
          </w:tcPr>
          <w:p w14:paraId="69B67AB7" w14:textId="77777777" w:rsidR="00EF2A10" w:rsidRDefault="00EF2A10" w:rsidP="00873764">
            <w:pPr>
              <w:jc w:val="center"/>
            </w:pPr>
            <w:r>
              <w:t>-0.87 ± 1</w:t>
            </w:r>
          </w:p>
        </w:tc>
        <w:tc>
          <w:tcPr>
            <w:tcW w:w="1361" w:type="dxa"/>
          </w:tcPr>
          <w:p w14:paraId="188EBDC9" w14:textId="77777777" w:rsidR="00EF2A10" w:rsidRDefault="00EF2A10" w:rsidP="00873764">
            <w:pPr>
              <w:jc w:val="center"/>
            </w:pPr>
            <w:r>
              <w:t>0.46</w:t>
            </w:r>
          </w:p>
        </w:tc>
      </w:tr>
      <w:tr w:rsidR="00EF2A10" w14:paraId="4441B7AF" w14:textId="77777777" w:rsidTr="00873764">
        <w:trPr>
          <w:trHeight w:val="307"/>
        </w:trPr>
        <w:tc>
          <w:tcPr>
            <w:tcW w:w="2003" w:type="dxa"/>
            <w:vMerge w:val="restart"/>
          </w:tcPr>
          <w:p w14:paraId="04F38098" w14:textId="77777777" w:rsidR="00EF2A10" w:rsidRDefault="00EF2A10" w:rsidP="00873764">
            <w:pPr>
              <w:jc w:val="center"/>
            </w:pPr>
            <w:r>
              <w:t>Methacrylic</w:t>
            </w:r>
          </w:p>
        </w:tc>
        <w:tc>
          <w:tcPr>
            <w:tcW w:w="2305" w:type="dxa"/>
          </w:tcPr>
          <w:p w14:paraId="0C98EA97" w14:textId="77777777" w:rsidR="00EF2A10" w:rsidRDefault="00EF2A10" w:rsidP="00873764">
            <w:pPr>
              <w:jc w:val="center"/>
            </w:pPr>
            <w:r>
              <w:t>California orchard (all)</w:t>
            </w:r>
          </w:p>
        </w:tc>
        <w:tc>
          <w:tcPr>
            <w:tcW w:w="2026" w:type="dxa"/>
          </w:tcPr>
          <w:p w14:paraId="616C4C24" w14:textId="77777777" w:rsidR="00EF2A10" w:rsidRDefault="00EF2A10" w:rsidP="00873764">
            <w:pPr>
              <w:jc w:val="center"/>
            </w:pPr>
            <w:r>
              <w:t>0.0091 ± 0.02</w:t>
            </w:r>
          </w:p>
        </w:tc>
        <w:tc>
          <w:tcPr>
            <w:tcW w:w="1901" w:type="dxa"/>
          </w:tcPr>
          <w:p w14:paraId="12B1DE24" w14:textId="77777777" w:rsidR="00EF2A10" w:rsidRDefault="00EF2A10" w:rsidP="00873764">
            <w:pPr>
              <w:jc w:val="center"/>
            </w:pPr>
            <w:r>
              <w:t>0.022 ± 0.3</w:t>
            </w:r>
          </w:p>
        </w:tc>
        <w:tc>
          <w:tcPr>
            <w:tcW w:w="1361" w:type="dxa"/>
          </w:tcPr>
          <w:p w14:paraId="4CA3D57B" w14:textId="77777777" w:rsidR="00EF2A10" w:rsidRDefault="00EF2A10" w:rsidP="00873764">
            <w:pPr>
              <w:jc w:val="center"/>
            </w:pPr>
            <w:r>
              <w:t>0.00</w:t>
            </w:r>
          </w:p>
        </w:tc>
      </w:tr>
      <w:tr w:rsidR="00EF2A10" w14:paraId="68E95386" w14:textId="77777777" w:rsidTr="00873764">
        <w:trPr>
          <w:trHeight w:val="307"/>
        </w:trPr>
        <w:tc>
          <w:tcPr>
            <w:tcW w:w="2003" w:type="dxa"/>
            <w:vMerge/>
          </w:tcPr>
          <w:p w14:paraId="283092E9" w14:textId="77777777" w:rsidR="00EF2A10" w:rsidRDefault="00EF2A10" w:rsidP="00873764">
            <w:pPr>
              <w:jc w:val="center"/>
            </w:pPr>
          </w:p>
        </w:tc>
        <w:tc>
          <w:tcPr>
            <w:tcW w:w="2305" w:type="dxa"/>
          </w:tcPr>
          <w:p w14:paraId="6A80C26B" w14:textId="77777777" w:rsidR="00EF2A10" w:rsidRDefault="00EF2A10" w:rsidP="00873764">
            <w:pPr>
              <w:jc w:val="center"/>
            </w:pPr>
            <w:r>
              <w:t>California orchard (bin)</w:t>
            </w:r>
          </w:p>
        </w:tc>
        <w:tc>
          <w:tcPr>
            <w:tcW w:w="2026" w:type="dxa"/>
          </w:tcPr>
          <w:p w14:paraId="68AF718A" w14:textId="77777777" w:rsidR="00EF2A10" w:rsidRDefault="00EF2A10" w:rsidP="00873764">
            <w:pPr>
              <w:jc w:val="center"/>
            </w:pPr>
            <w:r>
              <w:t>-0.012 ± 0.02</w:t>
            </w:r>
          </w:p>
        </w:tc>
        <w:tc>
          <w:tcPr>
            <w:tcW w:w="1901" w:type="dxa"/>
          </w:tcPr>
          <w:p w14:paraId="2DA39FD6" w14:textId="77777777" w:rsidR="00EF2A10" w:rsidRDefault="00EF2A10" w:rsidP="00873764">
            <w:pPr>
              <w:jc w:val="center"/>
            </w:pPr>
            <w:r>
              <w:t>0.27 ± 0.4</w:t>
            </w:r>
          </w:p>
        </w:tc>
        <w:tc>
          <w:tcPr>
            <w:tcW w:w="1361" w:type="dxa"/>
          </w:tcPr>
          <w:p w14:paraId="7937B360" w14:textId="77777777" w:rsidR="00EF2A10" w:rsidRDefault="00EF2A10" w:rsidP="00873764">
            <w:pPr>
              <w:jc w:val="center"/>
            </w:pPr>
            <w:r>
              <w:t>0.02</w:t>
            </w:r>
          </w:p>
        </w:tc>
      </w:tr>
      <w:tr w:rsidR="00EF2A10" w14:paraId="76993B84" w14:textId="77777777" w:rsidTr="00873764">
        <w:trPr>
          <w:trHeight w:val="307"/>
        </w:trPr>
        <w:tc>
          <w:tcPr>
            <w:tcW w:w="2003" w:type="dxa"/>
            <w:vMerge/>
          </w:tcPr>
          <w:p w14:paraId="5A361A03" w14:textId="77777777" w:rsidR="00EF2A10" w:rsidRDefault="00EF2A10" w:rsidP="00873764">
            <w:pPr>
              <w:jc w:val="center"/>
            </w:pPr>
          </w:p>
        </w:tc>
        <w:tc>
          <w:tcPr>
            <w:tcW w:w="2305" w:type="dxa"/>
          </w:tcPr>
          <w:p w14:paraId="6890D93A" w14:textId="77777777" w:rsidR="00EF2A10" w:rsidRDefault="00EF2A10" w:rsidP="00873764">
            <w:pPr>
              <w:jc w:val="center"/>
            </w:pPr>
            <w:r>
              <w:t>UMBS mixed forest (all)</w:t>
            </w:r>
          </w:p>
        </w:tc>
        <w:tc>
          <w:tcPr>
            <w:tcW w:w="2026" w:type="dxa"/>
          </w:tcPr>
          <w:p w14:paraId="17EA74BE" w14:textId="77777777" w:rsidR="00EF2A10" w:rsidRDefault="00EF2A10" w:rsidP="00873764">
            <w:pPr>
              <w:jc w:val="center"/>
            </w:pPr>
            <w:r>
              <w:t>0.11 ± 0.008</w:t>
            </w:r>
          </w:p>
        </w:tc>
        <w:tc>
          <w:tcPr>
            <w:tcW w:w="1901" w:type="dxa"/>
          </w:tcPr>
          <w:p w14:paraId="188D5B5E" w14:textId="77777777" w:rsidR="00EF2A10" w:rsidRDefault="00EF2A10" w:rsidP="00873764">
            <w:pPr>
              <w:jc w:val="center"/>
            </w:pPr>
            <w:r>
              <w:t>-0.37 ± 0.06</w:t>
            </w:r>
          </w:p>
        </w:tc>
        <w:tc>
          <w:tcPr>
            <w:tcW w:w="1361" w:type="dxa"/>
          </w:tcPr>
          <w:p w14:paraId="01F6DD6C" w14:textId="77777777" w:rsidR="00EF2A10" w:rsidRDefault="00EF2A10" w:rsidP="00873764">
            <w:pPr>
              <w:jc w:val="center"/>
            </w:pPr>
            <w:r>
              <w:t>0.21</w:t>
            </w:r>
          </w:p>
        </w:tc>
      </w:tr>
      <w:tr w:rsidR="00EF2A10" w14:paraId="5A232418" w14:textId="77777777" w:rsidTr="00873764">
        <w:trPr>
          <w:trHeight w:val="307"/>
        </w:trPr>
        <w:tc>
          <w:tcPr>
            <w:tcW w:w="2003" w:type="dxa"/>
            <w:vMerge/>
          </w:tcPr>
          <w:p w14:paraId="6F8D3B80" w14:textId="77777777" w:rsidR="00EF2A10" w:rsidRDefault="00EF2A10" w:rsidP="00873764">
            <w:pPr>
              <w:jc w:val="center"/>
            </w:pPr>
          </w:p>
        </w:tc>
        <w:tc>
          <w:tcPr>
            <w:tcW w:w="2305" w:type="dxa"/>
          </w:tcPr>
          <w:p w14:paraId="18309AB5" w14:textId="77777777" w:rsidR="00EF2A10" w:rsidRDefault="00EF2A10" w:rsidP="00873764">
            <w:pPr>
              <w:jc w:val="center"/>
            </w:pPr>
            <w:r>
              <w:t>UMBS mixed forest (bin)</w:t>
            </w:r>
          </w:p>
        </w:tc>
        <w:tc>
          <w:tcPr>
            <w:tcW w:w="2026" w:type="dxa"/>
          </w:tcPr>
          <w:p w14:paraId="1BABD950" w14:textId="77777777" w:rsidR="00EF2A10" w:rsidRDefault="00EF2A10" w:rsidP="00873764">
            <w:pPr>
              <w:jc w:val="center"/>
            </w:pPr>
            <w:r>
              <w:t>0.12 ± 0.007</w:t>
            </w:r>
          </w:p>
        </w:tc>
        <w:tc>
          <w:tcPr>
            <w:tcW w:w="1901" w:type="dxa"/>
          </w:tcPr>
          <w:p w14:paraId="2ABC9773" w14:textId="77777777" w:rsidR="00EF2A10" w:rsidRDefault="00EF2A10" w:rsidP="00873764">
            <w:pPr>
              <w:jc w:val="center"/>
            </w:pPr>
            <w:r>
              <w:t>-0.38 ± 0.07</w:t>
            </w:r>
          </w:p>
        </w:tc>
        <w:tc>
          <w:tcPr>
            <w:tcW w:w="1361" w:type="dxa"/>
          </w:tcPr>
          <w:p w14:paraId="200AD1E6" w14:textId="77777777" w:rsidR="00EF2A10" w:rsidRDefault="00EF2A10" w:rsidP="00873764">
            <w:pPr>
              <w:jc w:val="center"/>
            </w:pPr>
            <w:r>
              <w:t>0.95</w:t>
            </w:r>
          </w:p>
        </w:tc>
      </w:tr>
      <w:tr w:rsidR="00EF2A10" w14:paraId="2F4223C9" w14:textId="77777777" w:rsidTr="00873764">
        <w:trPr>
          <w:trHeight w:val="307"/>
        </w:trPr>
        <w:tc>
          <w:tcPr>
            <w:tcW w:w="2003" w:type="dxa"/>
            <w:vMerge/>
          </w:tcPr>
          <w:p w14:paraId="112C87C3" w14:textId="77777777" w:rsidR="00EF2A10" w:rsidRDefault="00EF2A10" w:rsidP="00873764">
            <w:pPr>
              <w:jc w:val="center"/>
            </w:pPr>
          </w:p>
        </w:tc>
        <w:tc>
          <w:tcPr>
            <w:tcW w:w="2305" w:type="dxa"/>
          </w:tcPr>
          <w:p w14:paraId="7460EB8D" w14:textId="77777777" w:rsidR="00EF2A10" w:rsidRDefault="00EF2A10" w:rsidP="00873764">
            <w:pPr>
              <w:jc w:val="center"/>
            </w:pPr>
            <w:r>
              <w:t>MEFO pine forest (all)</w:t>
            </w:r>
          </w:p>
        </w:tc>
        <w:tc>
          <w:tcPr>
            <w:tcW w:w="2026" w:type="dxa"/>
          </w:tcPr>
          <w:p w14:paraId="45396467" w14:textId="77777777" w:rsidR="00EF2A10" w:rsidRDefault="00EF2A10" w:rsidP="00873764">
            <w:pPr>
              <w:jc w:val="center"/>
            </w:pPr>
            <w:r>
              <w:t>0.000026 ± 0.00005</w:t>
            </w:r>
          </w:p>
        </w:tc>
        <w:tc>
          <w:tcPr>
            <w:tcW w:w="1901" w:type="dxa"/>
          </w:tcPr>
          <w:p w14:paraId="45CD97B6" w14:textId="77777777" w:rsidR="00EF2A10" w:rsidRDefault="00EF2A10" w:rsidP="00873764">
            <w:pPr>
              <w:jc w:val="center"/>
            </w:pPr>
            <w:r>
              <w:t>0.37 ± 0.06</w:t>
            </w:r>
          </w:p>
        </w:tc>
        <w:tc>
          <w:tcPr>
            <w:tcW w:w="1361" w:type="dxa"/>
          </w:tcPr>
          <w:p w14:paraId="7B420837" w14:textId="77777777" w:rsidR="00EF2A10" w:rsidRDefault="00EF2A10" w:rsidP="00873764">
            <w:pPr>
              <w:jc w:val="center"/>
            </w:pPr>
            <w:r>
              <w:t>0.00</w:t>
            </w:r>
          </w:p>
        </w:tc>
      </w:tr>
      <w:tr w:rsidR="00EF2A10" w14:paraId="388830CD" w14:textId="77777777" w:rsidTr="00873764">
        <w:trPr>
          <w:trHeight w:val="307"/>
        </w:trPr>
        <w:tc>
          <w:tcPr>
            <w:tcW w:w="2003" w:type="dxa"/>
            <w:vMerge/>
          </w:tcPr>
          <w:p w14:paraId="1763AEF6" w14:textId="77777777" w:rsidR="00EF2A10" w:rsidRDefault="00EF2A10" w:rsidP="00873764">
            <w:pPr>
              <w:jc w:val="center"/>
            </w:pPr>
          </w:p>
        </w:tc>
        <w:tc>
          <w:tcPr>
            <w:tcW w:w="2305" w:type="dxa"/>
          </w:tcPr>
          <w:p w14:paraId="663BDE25" w14:textId="77777777" w:rsidR="00EF2A10" w:rsidRDefault="00EF2A10" w:rsidP="00873764">
            <w:pPr>
              <w:jc w:val="center"/>
            </w:pPr>
            <w:r>
              <w:t>MEFO pine forest (bin)</w:t>
            </w:r>
          </w:p>
        </w:tc>
        <w:tc>
          <w:tcPr>
            <w:tcW w:w="2026" w:type="dxa"/>
          </w:tcPr>
          <w:p w14:paraId="21C615EC" w14:textId="77777777" w:rsidR="00EF2A10" w:rsidRDefault="00EF2A10" w:rsidP="00873764">
            <w:pPr>
              <w:jc w:val="center"/>
            </w:pPr>
            <w:r>
              <w:t>0.024 ± 0.006</w:t>
            </w:r>
          </w:p>
        </w:tc>
        <w:tc>
          <w:tcPr>
            <w:tcW w:w="1901" w:type="dxa"/>
          </w:tcPr>
          <w:p w14:paraId="4743C877" w14:textId="77777777" w:rsidR="00EF2A10" w:rsidRDefault="00EF2A10" w:rsidP="00873764">
            <w:pPr>
              <w:jc w:val="center"/>
            </w:pPr>
            <w:r>
              <w:t>0.034 ± 0.1</w:t>
            </w:r>
          </w:p>
        </w:tc>
        <w:tc>
          <w:tcPr>
            <w:tcW w:w="1361" w:type="dxa"/>
          </w:tcPr>
          <w:p w14:paraId="0E6E4CE2" w14:textId="77777777" w:rsidR="00EF2A10" w:rsidRDefault="00EF2A10" w:rsidP="00873764">
            <w:pPr>
              <w:jc w:val="center"/>
            </w:pPr>
            <w:r>
              <w:t>0.54</w:t>
            </w:r>
          </w:p>
        </w:tc>
      </w:tr>
      <w:tr w:rsidR="00EF2A10" w14:paraId="20880258" w14:textId="77777777" w:rsidTr="00873764">
        <w:trPr>
          <w:trHeight w:val="307"/>
        </w:trPr>
        <w:tc>
          <w:tcPr>
            <w:tcW w:w="2003" w:type="dxa"/>
            <w:vMerge w:val="restart"/>
          </w:tcPr>
          <w:p w14:paraId="5BC4F2E0" w14:textId="77777777" w:rsidR="00EF2A10" w:rsidRDefault="00EF2A10" w:rsidP="00873764">
            <w:pPr>
              <w:jc w:val="center"/>
            </w:pPr>
            <w:r>
              <w:t>Heptanoic</w:t>
            </w:r>
          </w:p>
        </w:tc>
        <w:tc>
          <w:tcPr>
            <w:tcW w:w="2305" w:type="dxa"/>
          </w:tcPr>
          <w:p w14:paraId="2DA66360" w14:textId="77777777" w:rsidR="00EF2A10" w:rsidRDefault="00EF2A10" w:rsidP="00873764">
            <w:pPr>
              <w:jc w:val="center"/>
            </w:pPr>
            <w:r>
              <w:t>California orchard (all)</w:t>
            </w:r>
          </w:p>
        </w:tc>
        <w:tc>
          <w:tcPr>
            <w:tcW w:w="2026" w:type="dxa"/>
          </w:tcPr>
          <w:p w14:paraId="633F3835" w14:textId="77777777" w:rsidR="00EF2A10" w:rsidRDefault="00EF2A10" w:rsidP="00873764">
            <w:pPr>
              <w:jc w:val="center"/>
            </w:pPr>
            <w:r>
              <w:t>0.12 ± 0.1</w:t>
            </w:r>
          </w:p>
        </w:tc>
        <w:tc>
          <w:tcPr>
            <w:tcW w:w="1901" w:type="dxa"/>
          </w:tcPr>
          <w:p w14:paraId="0B5C3D65" w14:textId="77777777" w:rsidR="00EF2A10" w:rsidRDefault="00EF2A10" w:rsidP="00873764">
            <w:pPr>
              <w:jc w:val="center"/>
            </w:pPr>
            <w:r>
              <w:t>-1.4 ± 2</w:t>
            </w:r>
          </w:p>
        </w:tc>
        <w:tc>
          <w:tcPr>
            <w:tcW w:w="1361" w:type="dxa"/>
          </w:tcPr>
          <w:p w14:paraId="6CAC13FF" w14:textId="77777777" w:rsidR="00EF2A10" w:rsidRDefault="00EF2A10" w:rsidP="00873764">
            <w:pPr>
              <w:jc w:val="center"/>
            </w:pPr>
            <w:r>
              <w:t>0.00</w:t>
            </w:r>
          </w:p>
        </w:tc>
      </w:tr>
      <w:tr w:rsidR="00EF2A10" w14:paraId="45571243" w14:textId="77777777" w:rsidTr="00873764">
        <w:trPr>
          <w:trHeight w:val="307"/>
        </w:trPr>
        <w:tc>
          <w:tcPr>
            <w:tcW w:w="2003" w:type="dxa"/>
            <w:vMerge/>
          </w:tcPr>
          <w:p w14:paraId="1CCEA23E" w14:textId="77777777" w:rsidR="00EF2A10" w:rsidRDefault="00EF2A10" w:rsidP="00873764">
            <w:pPr>
              <w:jc w:val="center"/>
            </w:pPr>
          </w:p>
        </w:tc>
        <w:tc>
          <w:tcPr>
            <w:tcW w:w="2305" w:type="dxa"/>
          </w:tcPr>
          <w:p w14:paraId="3E32E7CF" w14:textId="77777777" w:rsidR="00EF2A10" w:rsidRDefault="00EF2A10" w:rsidP="00873764">
            <w:pPr>
              <w:jc w:val="center"/>
            </w:pPr>
            <w:r>
              <w:t>California orchard (bin)</w:t>
            </w:r>
          </w:p>
        </w:tc>
        <w:tc>
          <w:tcPr>
            <w:tcW w:w="2026" w:type="dxa"/>
          </w:tcPr>
          <w:p w14:paraId="41F3CE62" w14:textId="77777777" w:rsidR="00EF2A10" w:rsidRDefault="00EF2A10" w:rsidP="00873764">
            <w:pPr>
              <w:jc w:val="center"/>
            </w:pPr>
            <w:r>
              <w:t>0.19 ± 0.09</w:t>
            </w:r>
          </w:p>
          <w:p w14:paraId="41416BCE" w14:textId="77777777" w:rsidR="00EF2A10" w:rsidRDefault="00EF2A10" w:rsidP="00873764"/>
        </w:tc>
        <w:tc>
          <w:tcPr>
            <w:tcW w:w="1901" w:type="dxa"/>
          </w:tcPr>
          <w:p w14:paraId="05D18E63" w14:textId="77777777" w:rsidR="00EF2A10" w:rsidRDefault="00EF2A10" w:rsidP="00873764">
            <w:pPr>
              <w:jc w:val="center"/>
            </w:pPr>
            <w:r>
              <w:t>-1.83 ± 2</w:t>
            </w:r>
          </w:p>
        </w:tc>
        <w:tc>
          <w:tcPr>
            <w:tcW w:w="1361" w:type="dxa"/>
          </w:tcPr>
          <w:p w14:paraId="5350298E" w14:textId="77777777" w:rsidR="00EF2A10" w:rsidRDefault="00EF2A10" w:rsidP="00873764">
            <w:pPr>
              <w:jc w:val="center"/>
            </w:pPr>
            <w:r>
              <w:t>0.28</w:t>
            </w:r>
          </w:p>
        </w:tc>
      </w:tr>
      <w:tr w:rsidR="00EF2A10" w14:paraId="536D4997" w14:textId="77777777" w:rsidTr="00873764">
        <w:trPr>
          <w:trHeight w:val="307"/>
        </w:trPr>
        <w:tc>
          <w:tcPr>
            <w:tcW w:w="2003" w:type="dxa"/>
            <w:vMerge/>
          </w:tcPr>
          <w:p w14:paraId="386480D6" w14:textId="77777777" w:rsidR="00EF2A10" w:rsidRDefault="00EF2A10" w:rsidP="00873764">
            <w:pPr>
              <w:jc w:val="center"/>
            </w:pPr>
          </w:p>
        </w:tc>
        <w:tc>
          <w:tcPr>
            <w:tcW w:w="2305" w:type="dxa"/>
          </w:tcPr>
          <w:p w14:paraId="02AF6C2F" w14:textId="77777777" w:rsidR="00EF2A10" w:rsidRDefault="00EF2A10" w:rsidP="00873764">
            <w:pPr>
              <w:jc w:val="center"/>
            </w:pPr>
            <w:r>
              <w:t>UMBS mixed forest (all)</w:t>
            </w:r>
          </w:p>
        </w:tc>
        <w:tc>
          <w:tcPr>
            <w:tcW w:w="2026" w:type="dxa"/>
          </w:tcPr>
          <w:p w14:paraId="1ED603C5" w14:textId="77777777" w:rsidR="00EF2A10" w:rsidRDefault="00EF2A10" w:rsidP="00873764">
            <w:pPr>
              <w:jc w:val="center"/>
            </w:pPr>
            <w:r>
              <w:t>0.0033 ± 0.003</w:t>
            </w:r>
          </w:p>
        </w:tc>
        <w:tc>
          <w:tcPr>
            <w:tcW w:w="1901" w:type="dxa"/>
          </w:tcPr>
          <w:p w14:paraId="135B54FE" w14:textId="77777777" w:rsidR="00EF2A10" w:rsidRDefault="00EF2A10" w:rsidP="00873764">
            <w:pPr>
              <w:jc w:val="center"/>
            </w:pPr>
            <w:r>
              <w:t>-0.030 ± 0.02</w:t>
            </w:r>
          </w:p>
        </w:tc>
        <w:tc>
          <w:tcPr>
            <w:tcW w:w="1361" w:type="dxa"/>
          </w:tcPr>
          <w:p w14:paraId="31D85623" w14:textId="77777777" w:rsidR="00EF2A10" w:rsidRDefault="00EF2A10" w:rsidP="00873764">
            <w:pPr>
              <w:jc w:val="center"/>
            </w:pPr>
            <w:r>
              <w:t>0.00</w:t>
            </w:r>
          </w:p>
        </w:tc>
      </w:tr>
      <w:tr w:rsidR="00EF2A10" w14:paraId="1A940165" w14:textId="77777777" w:rsidTr="00873764">
        <w:trPr>
          <w:trHeight w:val="307"/>
        </w:trPr>
        <w:tc>
          <w:tcPr>
            <w:tcW w:w="2003" w:type="dxa"/>
            <w:vMerge/>
          </w:tcPr>
          <w:p w14:paraId="22AD0DA2" w14:textId="77777777" w:rsidR="00EF2A10" w:rsidRDefault="00EF2A10" w:rsidP="00873764">
            <w:pPr>
              <w:jc w:val="center"/>
            </w:pPr>
          </w:p>
        </w:tc>
        <w:tc>
          <w:tcPr>
            <w:tcW w:w="2305" w:type="dxa"/>
          </w:tcPr>
          <w:p w14:paraId="63F0C948" w14:textId="77777777" w:rsidR="00EF2A10" w:rsidRDefault="00EF2A10" w:rsidP="00873764">
            <w:pPr>
              <w:jc w:val="center"/>
            </w:pPr>
            <w:r>
              <w:t>UMBS mixed forest (bin)</w:t>
            </w:r>
          </w:p>
        </w:tc>
        <w:tc>
          <w:tcPr>
            <w:tcW w:w="2026" w:type="dxa"/>
          </w:tcPr>
          <w:p w14:paraId="2766A94C" w14:textId="77777777" w:rsidR="00EF2A10" w:rsidRDefault="00EF2A10" w:rsidP="00873764">
            <w:pPr>
              <w:jc w:val="center"/>
            </w:pPr>
            <w:r>
              <w:t>0.0017 ± 0.0009</w:t>
            </w:r>
          </w:p>
        </w:tc>
        <w:tc>
          <w:tcPr>
            <w:tcW w:w="1901" w:type="dxa"/>
          </w:tcPr>
          <w:p w14:paraId="28798FCB" w14:textId="77777777" w:rsidR="00EF2A10" w:rsidRDefault="00EF2A10" w:rsidP="00873764">
            <w:pPr>
              <w:jc w:val="center"/>
            </w:pPr>
            <w:r>
              <w:t>-0.019 ± 0.009</w:t>
            </w:r>
          </w:p>
        </w:tc>
        <w:tc>
          <w:tcPr>
            <w:tcW w:w="1361" w:type="dxa"/>
          </w:tcPr>
          <w:p w14:paraId="5A8E27A6" w14:textId="77777777" w:rsidR="00EF2A10" w:rsidRDefault="00EF2A10" w:rsidP="00873764">
            <w:pPr>
              <w:jc w:val="center"/>
            </w:pPr>
            <w:r>
              <w:t>0.17</w:t>
            </w:r>
          </w:p>
        </w:tc>
      </w:tr>
      <w:tr w:rsidR="00EF2A10" w14:paraId="2680DCFB" w14:textId="77777777" w:rsidTr="00873764">
        <w:trPr>
          <w:trHeight w:val="307"/>
        </w:trPr>
        <w:tc>
          <w:tcPr>
            <w:tcW w:w="2003" w:type="dxa"/>
            <w:vMerge/>
          </w:tcPr>
          <w:p w14:paraId="3B063D5C" w14:textId="77777777" w:rsidR="00EF2A10" w:rsidRDefault="00EF2A10" w:rsidP="00873764">
            <w:pPr>
              <w:jc w:val="center"/>
            </w:pPr>
          </w:p>
        </w:tc>
        <w:tc>
          <w:tcPr>
            <w:tcW w:w="2305" w:type="dxa"/>
          </w:tcPr>
          <w:p w14:paraId="796CB8B4" w14:textId="77777777" w:rsidR="00EF2A10" w:rsidRDefault="00EF2A10" w:rsidP="00873764">
            <w:pPr>
              <w:jc w:val="center"/>
            </w:pPr>
            <w:r>
              <w:t>MEFO pine forest (all)</w:t>
            </w:r>
          </w:p>
        </w:tc>
        <w:tc>
          <w:tcPr>
            <w:tcW w:w="2026" w:type="dxa"/>
          </w:tcPr>
          <w:p w14:paraId="5AF6B9C4" w14:textId="77777777" w:rsidR="00EF2A10" w:rsidRDefault="00EF2A10" w:rsidP="00873764">
            <w:pPr>
              <w:jc w:val="center"/>
            </w:pPr>
            <w:r>
              <w:t>0.083 ± 0.01</w:t>
            </w:r>
          </w:p>
        </w:tc>
        <w:tc>
          <w:tcPr>
            <w:tcW w:w="1901" w:type="dxa"/>
          </w:tcPr>
          <w:p w14:paraId="46416F17" w14:textId="77777777" w:rsidR="00EF2A10" w:rsidRDefault="00EF2A10" w:rsidP="00873764">
            <w:pPr>
              <w:jc w:val="center"/>
            </w:pPr>
            <w:r>
              <w:t>-1.02 ± 0.3</w:t>
            </w:r>
          </w:p>
        </w:tc>
        <w:tc>
          <w:tcPr>
            <w:tcW w:w="1361" w:type="dxa"/>
          </w:tcPr>
          <w:p w14:paraId="574FABDB" w14:textId="77777777" w:rsidR="00EF2A10" w:rsidRDefault="00EF2A10" w:rsidP="00873764">
            <w:pPr>
              <w:jc w:val="center"/>
            </w:pPr>
            <w:r>
              <w:t>0.23</w:t>
            </w:r>
          </w:p>
        </w:tc>
      </w:tr>
      <w:tr w:rsidR="00EF2A10" w14:paraId="3DF1DDFA" w14:textId="77777777" w:rsidTr="00873764">
        <w:trPr>
          <w:trHeight w:val="307"/>
        </w:trPr>
        <w:tc>
          <w:tcPr>
            <w:tcW w:w="2003" w:type="dxa"/>
            <w:vMerge/>
          </w:tcPr>
          <w:p w14:paraId="38AA5CA8" w14:textId="77777777" w:rsidR="00EF2A10" w:rsidRDefault="00EF2A10" w:rsidP="00873764">
            <w:pPr>
              <w:jc w:val="center"/>
            </w:pPr>
          </w:p>
        </w:tc>
        <w:tc>
          <w:tcPr>
            <w:tcW w:w="2305" w:type="dxa"/>
          </w:tcPr>
          <w:p w14:paraId="7AB159D7" w14:textId="77777777" w:rsidR="00EF2A10" w:rsidRDefault="00EF2A10" w:rsidP="00873764">
            <w:pPr>
              <w:jc w:val="center"/>
            </w:pPr>
            <w:r>
              <w:t>MEFO pine forest (bin)</w:t>
            </w:r>
          </w:p>
        </w:tc>
        <w:tc>
          <w:tcPr>
            <w:tcW w:w="2026" w:type="dxa"/>
          </w:tcPr>
          <w:p w14:paraId="00D091E2" w14:textId="77777777" w:rsidR="00EF2A10" w:rsidRDefault="00EF2A10" w:rsidP="00873764">
            <w:pPr>
              <w:jc w:val="center"/>
            </w:pPr>
            <w:r>
              <w:t>0.078 ± 0.01</w:t>
            </w:r>
          </w:p>
        </w:tc>
        <w:tc>
          <w:tcPr>
            <w:tcW w:w="1901" w:type="dxa"/>
          </w:tcPr>
          <w:p w14:paraId="5C79397B" w14:textId="77777777" w:rsidR="00EF2A10" w:rsidRDefault="00EF2A10" w:rsidP="00873764">
            <w:pPr>
              <w:jc w:val="center"/>
            </w:pPr>
            <w:r>
              <w:t>-0.71 ± 0.2</w:t>
            </w:r>
          </w:p>
        </w:tc>
        <w:tc>
          <w:tcPr>
            <w:tcW w:w="1361" w:type="dxa"/>
          </w:tcPr>
          <w:p w14:paraId="319F0E3C" w14:textId="77777777" w:rsidR="00EF2A10" w:rsidRDefault="00EF2A10" w:rsidP="00873764">
            <w:pPr>
              <w:jc w:val="center"/>
            </w:pPr>
            <w:r>
              <w:t>0.75</w:t>
            </w:r>
          </w:p>
        </w:tc>
      </w:tr>
    </w:tbl>
    <w:p w14:paraId="18B164EE" w14:textId="77777777" w:rsidR="0066722B" w:rsidRPr="005314B5" w:rsidRDefault="0066722B" w:rsidP="0066722B">
      <w:pPr>
        <w:pStyle w:val="SMcaption"/>
        <w:rPr>
          <w:rFonts w:ascii="Myriad Pro" w:hAnsi="Myriad Pro"/>
          <w:sz w:val="22"/>
          <w:szCs w:val="22"/>
        </w:rPr>
      </w:pPr>
    </w:p>
    <w:p w14:paraId="7F792F84" w14:textId="31501194" w:rsidR="00B9440A" w:rsidRPr="00EF2A10" w:rsidRDefault="00EF2A10" w:rsidP="00B9440A">
      <w:pPr>
        <w:pStyle w:val="SMcaption"/>
        <w:rPr>
          <w:rFonts w:ascii="Myriad Pro" w:hAnsi="Myriad Pro"/>
          <w:bCs/>
          <w:iCs/>
          <w:sz w:val="22"/>
          <w:szCs w:val="22"/>
        </w:rPr>
      </w:pPr>
      <w:r w:rsidRPr="00EF2A10">
        <w:rPr>
          <w:rFonts w:ascii="Myriad Pro" w:hAnsi="Myriad Pro"/>
          <w:b/>
          <w:iCs/>
          <w:sz w:val="22"/>
          <w:szCs w:val="22"/>
        </w:rPr>
        <w:t>Table S2.</w:t>
      </w:r>
      <w:r>
        <w:rPr>
          <w:rFonts w:ascii="Myriad Pro" w:hAnsi="Myriad Pro"/>
          <w:b/>
          <w:iCs/>
          <w:sz w:val="22"/>
          <w:szCs w:val="22"/>
        </w:rPr>
        <w:t xml:space="preserve"> </w:t>
      </w:r>
      <w:r w:rsidRPr="00EF2A10">
        <w:rPr>
          <w:rFonts w:ascii="Myriad Pro" w:hAnsi="Myriad Pro"/>
          <w:sz w:val="22"/>
          <w:szCs w:val="22"/>
        </w:rPr>
        <w:t>Equations for best-fit curves for 6 volatile organic acid exchange velocities (V</w:t>
      </w:r>
      <w:r w:rsidRPr="00EF2A10">
        <w:rPr>
          <w:rFonts w:ascii="Myriad Pro" w:hAnsi="Myriad Pro"/>
          <w:sz w:val="22"/>
          <w:szCs w:val="22"/>
          <w:vertAlign w:val="subscript"/>
        </w:rPr>
        <w:t>ex</w:t>
      </w:r>
      <w:r w:rsidRPr="00EF2A10">
        <w:rPr>
          <w:rFonts w:ascii="Myriad Pro" w:hAnsi="Myriad Pro"/>
          <w:sz w:val="22"/>
          <w:szCs w:val="22"/>
        </w:rPr>
        <w:t>) as a function of dew point depression (T-T</w:t>
      </w:r>
      <w:r w:rsidRPr="00EF2A10">
        <w:rPr>
          <w:rFonts w:ascii="Myriad Pro" w:hAnsi="Myriad Pro"/>
          <w:sz w:val="22"/>
          <w:szCs w:val="22"/>
          <w:vertAlign w:val="subscript"/>
        </w:rPr>
        <w:t>d</w:t>
      </w:r>
      <w:r w:rsidRPr="00EF2A10">
        <w:rPr>
          <w:rFonts w:ascii="Myriad Pro" w:hAnsi="Myriad Pro"/>
          <w:sz w:val="22"/>
          <w:szCs w:val="22"/>
        </w:rPr>
        <w:t>). See Fig. 3 for visual representation of propionic acid, which represent the general trends.</w:t>
      </w:r>
    </w:p>
    <w:sectPr w:rsidR="00B9440A" w:rsidRPr="00EF2A10" w:rsidSect="00F125EE">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929D0" w14:textId="77777777" w:rsidR="00543729" w:rsidRDefault="00543729">
      <w:r>
        <w:separator/>
      </w:r>
    </w:p>
  </w:endnote>
  <w:endnote w:type="continuationSeparator" w:id="0">
    <w:p w14:paraId="757A2E65" w14:textId="77777777" w:rsidR="00543729" w:rsidRDefault="0054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6102A" w14:textId="77777777" w:rsidR="001966FD" w:rsidRDefault="00196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8E7ED" w14:textId="3C152C16" w:rsidR="00F125EE" w:rsidRDefault="00114193">
    <w:pPr>
      <w:pStyle w:val="Footer"/>
      <w:jc w:val="right"/>
    </w:pPr>
    <w:r>
      <w:fldChar w:fldCharType="begin"/>
    </w:r>
    <w:r>
      <w:instrText xml:space="preserve"> PAGE   \* MERGEFORMAT </w:instrText>
    </w:r>
    <w:r>
      <w:fldChar w:fldCharType="separate"/>
    </w:r>
    <w:r w:rsidR="00491026">
      <w:rPr>
        <w:noProof/>
      </w:rPr>
      <w:t>1</w:t>
    </w:r>
    <w:r>
      <w:fldChar w:fldCharType="end"/>
    </w:r>
  </w:p>
  <w:p w14:paraId="486656F3" w14:textId="77777777" w:rsidR="00F125EE" w:rsidRDefault="00F12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BBCA3" w14:textId="77777777" w:rsidR="001966FD" w:rsidRDefault="00196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7D9C2" w14:textId="77777777" w:rsidR="00543729" w:rsidRDefault="00543729">
      <w:r>
        <w:separator/>
      </w:r>
    </w:p>
  </w:footnote>
  <w:footnote w:type="continuationSeparator" w:id="0">
    <w:p w14:paraId="47CA7DEC" w14:textId="77777777" w:rsidR="00543729" w:rsidRDefault="00543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EF6B" w14:textId="77777777" w:rsidR="001966FD" w:rsidRDefault="00196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3C1C" w14:textId="77777777" w:rsidR="003A2FD8" w:rsidRPr="005001AC" w:rsidRDefault="003A2FD8" w:rsidP="005001AC">
    <w:pPr>
      <w:jc w:val="right"/>
      <w:rPr>
        <w:sz w:val="20"/>
      </w:rPr>
    </w:pPr>
  </w:p>
  <w:p w14:paraId="18F8F636" w14:textId="77777777" w:rsidR="003A2FD8" w:rsidRDefault="003A2FD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5ADD" w14:textId="77777777" w:rsidR="001966FD" w:rsidRDefault="00196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tal_Editing_Time" w:val="2"/>
  </w:docVars>
  <w:rsids>
    <w:rsidRoot w:val="002C030F"/>
    <w:rsid w:val="00015F74"/>
    <w:rsid w:val="00043571"/>
    <w:rsid w:val="00065EBD"/>
    <w:rsid w:val="00081E99"/>
    <w:rsid w:val="00083B44"/>
    <w:rsid w:val="000850DC"/>
    <w:rsid w:val="00094365"/>
    <w:rsid w:val="000B2E64"/>
    <w:rsid w:val="000C2771"/>
    <w:rsid w:val="000D68BD"/>
    <w:rsid w:val="000F0DCE"/>
    <w:rsid w:val="00111843"/>
    <w:rsid w:val="00112C5B"/>
    <w:rsid w:val="00113908"/>
    <w:rsid w:val="00114193"/>
    <w:rsid w:val="001154E6"/>
    <w:rsid w:val="00115A38"/>
    <w:rsid w:val="0011687B"/>
    <w:rsid w:val="00124F82"/>
    <w:rsid w:val="001278E3"/>
    <w:rsid w:val="00130743"/>
    <w:rsid w:val="00130B50"/>
    <w:rsid w:val="0016337A"/>
    <w:rsid w:val="00164269"/>
    <w:rsid w:val="00165AE1"/>
    <w:rsid w:val="001966FD"/>
    <w:rsid w:val="00197826"/>
    <w:rsid w:val="001A1BDE"/>
    <w:rsid w:val="001C7B4E"/>
    <w:rsid w:val="001F0876"/>
    <w:rsid w:val="001F167C"/>
    <w:rsid w:val="001F5E91"/>
    <w:rsid w:val="0020183F"/>
    <w:rsid w:val="002077B9"/>
    <w:rsid w:val="00221C70"/>
    <w:rsid w:val="002251AF"/>
    <w:rsid w:val="00227D86"/>
    <w:rsid w:val="00243B68"/>
    <w:rsid w:val="00262D72"/>
    <w:rsid w:val="002800B6"/>
    <w:rsid w:val="002B35D4"/>
    <w:rsid w:val="002C030F"/>
    <w:rsid w:val="002C1276"/>
    <w:rsid w:val="002C6F7E"/>
    <w:rsid w:val="002F3966"/>
    <w:rsid w:val="00320E2C"/>
    <w:rsid w:val="00331D75"/>
    <w:rsid w:val="00355362"/>
    <w:rsid w:val="00363E44"/>
    <w:rsid w:val="00395E86"/>
    <w:rsid w:val="003A2FD8"/>
    <w:rsid w:val="003B40E6"/>
    <w:rsid w:val="003C007A"/>
    <w:rsid w:val="003E1980"/>
    <w:rsid w:val="003F6E14"/>
    <w:rsid w:val="00405336"/>
    <w:rsid w:val="004568BC"/>
    <w:rsid w:val="004571D5"/>
    <w:rsid w:val="00462F1B"/>
    <w:rsid w:val="0046356B"/>
    <w:rsid w:val="00477182"/>
    <w:rsid w:val="004779CB"/>
    <w:rsid w:val="00481118"/>
    <w:rsid w:val="00491026"/>
    <w:rsid w:val="004B2481"/>
    <w:rsid w:val="004D2A8C"/>
    <w:rsid w:val="004D5256"/>
    <w:rsid w:val="004E42D8"/>
    <w:rsid w:val="004E7BA2"/>
    <w:rsid w:val="004F7EDF"/>
    <w:rsid w:val="005001AC"/>
    <w:rsid w:val="00517016"/>
    <w:rsid w:val="00521D1D"/>
    <w:rsid w:val="00527D71"/>
    <w:rsid w:val="00527D84"/>
    <w:rsid w:val="005314B5"/>
    <w:rsid w:val="00543729"/>
    <w:rsid w:val="0054432F"/>
    <w:rsid w:val="00552C23"/>
    <w:rsid w:val="005607DD"/>
    <w:rsid w:val="00572DFF"/>
    <w:rsid w:val="005A558C"/>
    <w:rsid w:val="005B186E"/>
    <w:rsid w:val="005C6651"/>
    <w:rsid w:val="005D6D71"/>
    <w:rsid w:val="005E28F8"/>
    <w:rsid w:val="005E6513"/>
    <w:rsid w:val="00611F9E"/>
    <w:rsid w:val="006237D4"/>
    <w:rsid w:val="00651114"/>
    <w:rsid w:val="006622CF"/>
    <w:rsid w:val="00664A12"/>
    <w:rsid w:val="0066722B"/>
    <w:rsid w:val="00670299"/>
    <w:rsid w:val="0068469F"/>
    <w:rsid w:val="00691985"/>
    <w:rsid w:val="006962C1"/>
    <w:rsid w:val="0069724C"/>
    <w:rsid w:val="006A1B64"/>
    <w:rsid w:val="006B03AD"/>
    <w:rsid w:val="006F602A"/>
    <w:rsid w:val="007108F5"/>
    <w:rsid w:val="00713AF2"/>
    <w:rsid w:val="00713E5B"/>
    <w:rsid w:val="007402FC"/>
    <w:rsid w:val="007411A1"/>
    <w:rsid w:val="00747682"/>
    <w:rsid w:val="007563F2"/>
    <w:rsid w:val="00764008"/>
    <w:rsid w:val="00807D35"/>
    <w:rsid w:val="008115D9"/>
    <w:rsid w:val="00825950"/>
    <w:rsid w:val="008670C0"/>
    <w:rsid w:val="008674A2"/>
    <w:rsid w:val="00885C9B"/>
    <w:rsid w:val="008927D0"/>
    <w:rsid w:val="008D5D2A"/>
    <w:rsid w:val="008E2CF1"/>
    <w:rsid w:val="008F08DC"/>
    <w:rsid w:val="008F5A8A"/>
    <w:rsid w:val="009055D1"/>
    <w:rsid w:val="00914B63"/>
    <w:rsid w:val="00922705"/>
    <w:rsid w:val="00922E7D"/>
    <w:rsid w:val="00924546"/>
    <w:rsid w:val="00932FE5"/>
    <w:rsid w:val="009354F3"/>
    <w:rsid w:val="009447DC"/>
    <w:rsid w:val="00961BA5"/>
    <w:rsid w:val="009743A9"/>
    <w:rsid w:val="00975720"/>
    <w:rsid w:val="009859A7"/>
    <w:rsid w:val="009A5287"/>
    <w:rsid w:val="009B2AC5"/>
    <w:rsid w:val="009B7984"/>
    <w:rsid w:val="009F4BED"/>
    <w:rsid w:val="009F7D93"/>
    <w:rsid w:val="00A276DF"/>
    <w:rsid w:val="00A3084A"/>
    <w:rsid w:val="00A3403B"/>
    <w:rsid w:val="00A50033"/>
    <w:rsid w:val="00A51A12"/>
    <w:rsid w:val="00A627D4"/>
    <w:rsid w:val="00A74DA2"/>
    <w:rsid w:val="00A8217C"/>
    <w:rsid w:val="00A92733"/>
    <w:rsid w:val="00AA76F3"/>
    <w:rsid w:val="00AC7DA6"/>
    <w:rsid w:val="00AD499C"/>
    <w:rsid w:val="00B30334"/>
    <w:rsid w:val="00B3147F"/>
    <w:rsid w:val="00B36869"/>
    <w:rsid w:val="00B43B31"/>
    <w:rsid w:val="00B47CFA"/>
    <w:rsid w:val="00B57F00"/>
    <w:rsid w:val="00B626CB"/>
    <w:rsid w:val="00B7560C"/>
    <w:rsid w:val="00B77E40"/>
    <w:rsid w:val="00B82C22"/>
    <w:rsid w:val="00B93DBA"/>
    <w:rsid w:val="00B9440A"/>
    <w:rsid w:val="00B952C1"/>
    <w:rsid w:val="00B968D7"/>
    <w:rsid w:val="00BA3953"/>
    <w:rsid w:val="00BB2D2A"/>
    <w:rsid w:val="00BD58CF"/>
    <w:rsid w:val="00BF1BEB"/>
    <w:rsid w:val="00BF1BF9"/>
    <w:rsid w:val="00C04CC1"/>
    <w:rsid w:val="00C071FC"/>
    <w:rsid w:val="00C22C02"/>
    <w:rsid w:val="00C27F6F"/>
    <w:rsid w:val="00C30E83"/>
    <w:rsid w:val="00C50C6D"/>
    <w:rsid w:val="00C600D9"/>
    <w:rsid w:val="00C634D7"/>
    <w:rsid w:val="00C73E09"/>
    <w:rsid w:val="00CC1384"/>
    <w:rsid w:val="00CD3720"/>
    <w:rsid w:val="00CE6EAA"/>
    <w:rsid w:val="00CF1848"/>
    <w:rsid w:val="00CF5C2F"/>
    <w:rsid w:val="00D04BCF"/>
    <w:rsid w:val="00D10134"/>
    <w:rsid w:val="00D143D9"/>
    <w:rsid w:val="00D4372A"/>
    <w:rsid w:val="00D60BB0"/>
    <w:rsid w:val="00D65708"/>
    <w:rsid w:val="00D8159F"/>
    <w:rsid w:val="00DA5239"/>
    <w:rsid w:val="00DC0657"/>
    <w:rsid w:val="00DD1D04"/>
    <w:rsid w:val="00DD79D7"/>
    <w:rsid w:val="00DE605F"/>
    <w:rsid w:val="00E20431"/>
    <w:rsid w:val="00E257C8"/>
    <w:rsid w:val="00E40896"/>
    <w:rsid w:val="00E43D2D"/>
    <w:rsid w:val="00E449CB"/>
    <w:rsid w:val="00E63760"/>
    <w:rsid w:val="00E64049"/>
    <w:rsid w:val="00E9773B"/>
    <w:rsid w:val="00EC13A3"/>
    <w:rsid w:val="00EC7C85"/>
    <w:rsid w:val="00ED69CA"/>
    <w:rsid w:val="00EE35AB"/>
    <w:rsid w:val="00EF25A3"/>
    <w:rsid w:val="00EF2A10"/>
    <w:rsid w:val="00F125EE"/>
    <w:rsid w:val="00F12E98"/>
    <w:rsid w:val="00F16D4B"/>
    <w:rsid w:val="00F22029"/>
    <w:rsid w:val="00F23E46"/>
    <w:rsid w:val="00F3515C"/>
    <w:rsid w:val="00F47BA3"/>
    <w:rsid w:val="00F56E67"/>
    <w:rsid w:val="00F630EA"/>
    <w:rsid w:val="00F6474F"/>
    <w:rsid w:val="00F7007E"/>
    <w:rsid w:val="00F73193"/>
    <w:rsid w:val="00F74F95"/>
    <w:rsid w:val="00F77B9C"/>
    <w:rsid w:val="00F80705"/>
    <w:rsid w:val="00FA1481"/>
    <w:rsid w:val="00FB1C42"/>
    <w:rsid w:val="00FB32EC"/>
    <w:rsid w:val="00FD3642"/>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semiHidden="1"/>
    <w:lsdException w:name="annotation reference" w:semiHidden="1" w:uiPriority="99"/>
    <w:lsdException w:name="line number" w:semiHidden="1"/>
    <w:lsdException w:name="endnote reference" w:semiHidden="1"/>
    <w:lsdException w:name="Title" w:qFormat="1"/>
    <w:lsdException w:name="Subtitle" w:qFormat="1"/>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DC0657"/>
    <w:pPr>
      <w:keepLines/>
    </w:pPr>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uiPriority w:val="99"/>
    <w:semiHidden/>
    <w:rsid w:val="00405336"/>
    <w:rPr>
      <w:sz w:val="20"/>
    </w:rPr>
  </w:style>
  <w:style w:type="character" w:customStyle="1" w:styleId="CommentTextChar">
    <w:name w:val="Comment Text Char"/>
    <w:basedOn w:val="DefaultParagraphFont"/>
    <w:link w:val="CommentText"/>
    <w:uiPriority w:val="99"/>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uiPriority w:val="99"/>
    <w:semiHidden/>
    <w:rsid w:val="002800B6"/>
    <w:rPr>
      <w:sz w:val="16"/>
      <w:szCs w:val="16"/>
    </w:rPr>
  </w:style>
  <w:style w:type="paragraph" w:customStyle="1" w:styleId="Affiliation">
    <w:name w:val="Affiliation"/>
    <w:basedOn w:val="Normal"/>
    <w:qFormat/>
    <w:rsid w:val="00DA5239"/>
    <w:pPr>
      <w:spacing w:before="120"/>
    </w:pPr>
    <w:rPr>
      <w:szCs w:val="24"/>
    </w:rPr>
  </w:style>
  <w:style w:type="paragraph" w:customStyle="1" w:styleId="Heading-Main">
    <w:name w:val="Heading-Main"/>
    <w:basedOn w:val="Normal"/>
    <w:rsid w:val="00DA5239"/>
    <w:pPr>
      <w:keepNext/>
      <w:spacing w:before="240" w:after="120"/>
      <w:outlineLvl w:val="0"/>
    </w:pPr>
    <w:rPr>
      <w:b/>
      <w:bCs/>
      <w:kern w:val="28"/>
      <w:szCs w:val="24"/>
    </w:rPr>
  </w:style>
  <w:style w:type="table" w:styleId="TableGrid">
    <w:name w:val="Table Grid"/>
    <w:basedOn w:val="TableNormal"/>
    <w:uiPriority w:val="39"/>
    <w:rsid w:val="00EF2A10"/>
    <w:rPr>
      <w:rFonts w:eastAsiaTheme="minorHAnsi"/>
      <w:sz w:val="24"/>
      <w:szCs w:val="3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4112</Words>
  <Characters>21673</Characters>
  <Application>Microsoft Office Word</Application>
  <DocSecurity>0</DocSecurity>
  <Lines>942</Lines>
  <Paragraphs>586</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ARIVAS</cp:lastModifiedBy>
  <cp:revision>4</cp:revision>
  <cp:lastPrinted>2020-05-12T19:36:00Z</cp:lastPrinted>
  <dcterms:created xsi:type="dcterms:W3CDTF">2020-06-25T22:14:00Z</dcterms:created>
  <dcterms:modified xsi:type="dcterms:W3CDTF">2020-07-29T11:52:00Z</dcterms:modified>
</cp:coreProperties>
</file>