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85AA9" w14:textId="28B3DDBA" w:rsidR="008208CE" w:rsidRPr="008208CE" w:rsidRDefault="008208CE" w:rsidP="00D66021">
      <w:pPr>
        <w:rPr>
          <w:rFonts w:ascii="Palatino Linotype" w:hAnsi="Palatino Linotype"/>
          <w:b/>
          <w:bCs/>
        </w:rPr>
      </w:pPr>
      <w:r w:rsidRPr="008208CE">
        <w:rPr>
          <w:rFonts w:ascii="Palatino Linotype" w:hAnsi="Palatino Linotype"/>
          <w:b/>
          <w:bCs/>
        </w:rPr>
        <w:t>Supplementary Information</w:t>
      </w:r>
      <w:r w:rsidR="00962286">
        <w:rPr>
          <w:rFonts w:ascii="Palatino Linotype" w:hAnsi="Palatino Linotype"/>
          <w:b/>
          <w:bCs/>
        </w:rPr>
        <w:t>:</w:t>
      </w:r>
    </w:p>
    <w:p w14:paraId="14396BCC" w14:textId="36EAF39D" w:rsidR="00660F06" w:rsidRDefault="00660F06" w:rsidP="00D66021">
      <w:pPr>
        <w:rPr>
          <w:rFonts w:ascii="Palatino Linotype" w:hAnsi="Palatino Linotype"/>
          <w:b/>
          <w:bCs/>
        </w:rPr>
      </w:pPr>
      <w:r w:rsidRPr="00A1073B">
        <w:rPr>
          <w:rFonts w:ascii="Palatino Linotype" w:hAnsi="Palatino Linotype"/>
          <w:b/>
          <w:bCs/>
        </w:rPr>
        <w:t>Accounting for urban biogenic fluxes in regional carbon budgets</w:t>
      </w:r>
      <w:r w:rsidRPr="008208CE">
        <w:rPr>
          <w:rFonts w:ascii="Palatino Linotype" w:hAnsi="Palatino Linotype"/>
          <w:b/>
          <w:bCs/>
        </w:rPr>
        <w:t xml:space="preserve"> </w:t>
      </w:r>
    </w:p>
    <w:p w14:paraId="23D887AE" w14:textId="77777777" w:rsidR="00700AAC" w:rsidRDefault="00700AAC" w:rsidP="00D66021">
      <w:pPr>
        <w:rPr>
          <w:rFonts w:ascii="Palatino Linotype" w:hAnsi="Palatino Linotype"/>
          <w:b/>
          <w:bCs/>
        </w:rPr>
      </w:pPr>
      <w:bookmarkStart w:id="0" w:name="_GoBack"/>
      <w:bookmarkEnd w:id="0"/>
    </w:p>
    <w:p w14:paraId="6170913D" w14:textId="09EB3CD8" w:rsidR="00700AAC" w:rsidRPr="00EB5D53" w:rsidRDefault="00700AAC" w:rsidP="00D66021">
      <w:pPr>
        <w:shd w:val="clear" w:color="auto" w:fill="FFFFFF"/>
        <w:spacing w:before="100" w:beforeAutospacing="1" w:after="100" w:afterAutospacing="1" w:line="360" w:lineRule="auto"/>
        <w:outlineLvl w:val="0"/>
        <w:rPr>
          <w:rFonts w:ascii="Palatino Linotype" w:hAnsi="Palatino Linotype"/>
          <w:bCs/>
        </w:rPr>
      </w:pPr>
      <w:r w:rsidRPr="00EB5D53">
        <w:rPr>
          <w:rFonts w:ascii="Palatino Linotype" w:hAnsi="Palatino Linotype"/>
          <w:bCs/>
        </w:rPr>
        <w:t xml:space="preserve">Running title: </w:t>
      </w:r>
      <w:r>
        <w:rPr>
          <w:rFonts w:ascii="Palatino Linotype" w:hAnsi="Palatino Linotype"/>
          <w:bCs/>
        </w:rPr>
        <w:t>SI for U</w:t>
      </w:r>
      <w:r w:rsidRPr="00EB5D53">
        <w:rPr>
          <w:rFonts w:ascii="Palatino Linotype" w:hAnsi="Palatino Linotype"/>
          <w:bCs/>
        </w:rPr>
        <w:t>rban biogenic fluxes</w:t>
      </w:r>
    </w:p>
    <w:p w14:paraId="42E1CE16" w14:textId="14BDC33F" w:rsidR="000847C8" w:rsidRPr="004845FE" w:rsidRDefault="000847C8" w:rsidP="00D66021">
      <w:pPr>
        <w:spacing w:line="360" w:lineRule="auto"/>
        <w:rPr>
          <w:rFonts w:ascii="Palatino Linotype" w:hAnsi="Palatino Linotype"/>
          <w:i/>
          <w:iCs/>
          <w:vertAlign w:val="superscript"/>
        </w:rPr>
      </w:pPr>
      <w:r w:rsidRPr="004845FE">
        <w:rPr>
          <w:rFonts w:ascii="Palatino Linotype" w:hAnsi="Palatino Linotype"/>
          <w:i/>
          <w:iCs/>
        </w:rPr>
        <w:t>Brady S. Hardiman</w:t>
      </w:r>
      <w:r w:rsidRPr="004845FE">
        <w:rPr>
          <w:rFonts w:ascii="Palatino Linotype" w:hAnsi="Palatino Linotype"/>
          <w:i/>
          <w:iCs/>
          <w:vertAlign w:val="superscript"/>
        </w:rPr>
        <w:t>1,</w:t>
      </w:r>
      <w:proofErr w:type="gramStart"/>
      <w:r w:rsidRPr="004845FE">
        <w:rPr>
          <w:rFonts w:ascii="Palatino Linotype" w:hAnsi="Palatino Linotype"/>
          <w:i/>
          <w:iCs/>
          <w:vertAlign w:val="superscript"/>
        </w:rPr>
        <w:t>2,*</w:t>
      </w:r>
      <w:proofErr w:type="gramEnd"/>
      <w:r w:rsidRPr="004845FE">
        <w:rPr>
          <w:rFonts w:ascii="Palatino Linotype" w:hAnsi="Palatino Linotype"/>
          <w:i/>
          <w:iCs/>
        </w:rPr>
        <w:t xml:space="preserve">, </w:t>
      </w:r>
      <w:r w:rsidRPr="004845FE">
        <w:rPr>
          <w:rFonts w:ascii="Palatino Linotype" w:hAnsi="Palatino Linotype"/>
          <w:bCs/>
          <w:i/>
          <w:iCs/>
        </w:rPr>
        <w:t>Jonathan A. Wan</w:t>
      </w:r>
      <w:r>
        <w:rPr>
          <w:rFonts w:ascii="Palatino Linotype" w:hAnsi="Palatino Linotype"/>
          <w:bCs/>
          <w:i/>
          <w:iCs/>
        </w:rPr>
        <w:t>g</w:t>
      </w:r>
      <w:r>
        <w:rPr>
          <w:rFonts w:ascii="Palatino Linotype" w:hAnsi="Palatino Linotype"/>
          <w:bCs/>
          <w:i/>
          <w:iCs/>
          <w:vertAlign w:val="superscript"/>
        </w:rPr>
        <w:t>2</w:t>
      </w:r>
      <w:r w:rsidRPr="004845FE">
        <w:rPr>
          <w:rFonts w:ascii="Palatino Linotype" w:hAnsi="Palatino Linotype"/>
          <w:bCs/>
          <w:i/>
          <w:iCs/>
          <w:vertAlign w:val="superscript"/>
        </w:rPr>
        <w:t>*</w:t>
      </w:r>
      <w:r w:rsidRPr="004845FE">
        <w:rPr>
          <w:rFonts w:ascii="Palatino Linotype" w:hAnsi="Palatino Linotype"/>
          <w:i/>
          <w:iCs/>
        </w:rPr>
        <w:t>, Lucy R. Hutyra</w:t>
      </w:r>
      <w:r>
        <w:rPr>
          <w:rFonts w:ascii="Palatino Linotype" w:hAnsi="Palatino Linotype"/>
          <w:i/>
          <w:iCs/>
          <w:vertAlign w:val="superscript"/>
        </w:rPr>
        <w:t>2</w:t>
      </w:r>
      <w:r w:rsidRPr="004845FE">
        <w:rPr>
          <w:rFonts w:ascii="Palatino Linotype" w:hAnsi="Palatino Linotype"/>
          <w:i/>
          <w:iCs/>
        </w:rPr>
        <w:t>, Conor K. Gately</w:t>
      </w:r>
      <w:r>
        <w:rPr>
          <w:rFonts w:ascii="Palatino Linotype" w:hAnsi="Palatino Linotype"/>
          <w:i/>
          <w:iCs/>
          <w:vertAlign w:val="superscript"/>
        </w:rPr>
        <w:t>2</w:t>
      </w:r>
      <w:r w:rsidRPr="004845FE">
        <w:rPr>
          <w:rFonts w:ascii="Palatino Linotype" w:hAnsi="Palatino Linotype"/>
          <w:i/>
          <w:iCs/>
        </w:rPr>
        <w:t>, Jackie M. Getson</w:t>
      </w:r>
      <w:r>
        <w:rPr>
          <w:rFonts w:ascii="Palatino Linotype" w:hAnsi="Palatino Linotype"/>
          <w:i/>
          <w:iCs/>
          <w:vertAlign w:val="superscript"/>
        </w:rPr>
        <w:t>2</w:t>
      </w:r>
      <w:r w:rsidRPr="004845FE">
        <w:rPr>
          <w:rFonts w:ascii="Palatino Linotype" w:hAnsi="Palatino Linotype"/>
          <w:i/>
          <w:iCs/>
        </w:rPr>
        <w:t>, Mark A. Fried</w:t>
      </w:r>
      <w:r w:rsidR="00B93317">
        <w:rPr>
          <w:rFonts w:ascii="Palatino Linotype" w:hAnsi="Palatino Linotype"/>
          <w:i/>
          <w:iCs/>
        </w:rPr>
        <w:t>l</w:t>
      </w:r>
      <w:r>
        <w:rPr>
          <w:rFonts w:ascii="Palatino Linotype" w:hAnsi="Palatino Linotype"/>
          <w:i/>
          <w:iCs/>
          <w:vertAlign w:val="superscript"/>
        </w:rPr>
        <w:t>2</w:t>
      </w:r>
      <w:r w:rsidRPr="004845FE">
        <w:rPr>
          <w:rFonts w:ascii="Palatino Linotype" w:hAnsi="Palatino Linotype"/>
          <w:i/>
          <w:iCs/>
        </w:rPr>
        <w:t xml:space="preserve"> </w:t>
      </w:r>
    </w:p>
    <w:p w14:paraId="6BAC0379" w14:textId="77777777" w:rsidR="000847C8" w:rsidRPr="004845FE" w:rsidRDefault="000847C8" w:rsidP="00D66021">
      <w:pPr>
        <w:spacing w:line="360" w:lineRule="auto"/>
        <w:rPr>
          <w:rFonts w:ascii="Palatino Linotype" w:hAnsi="Palatino Linotype"/>
          <w:i/>
          <w:iCs/>
        </w:rPr>
      </w:pPr>
    </w:p>
    <w:p w14:paraId="410E1EDC" w14:textId="77777777" w:rsidR="000847C8" w:rsidRDefault="000847C8" w:rsidP="00D66021">
      <w:pPr>
        <w:ind w:left="180" w:hanging="180"/>
        <w:rPr>
          <w:rFonts w:ascii="Palatino Linotype" w:hAnsi="Palatino Linotype"/>
          <w:i/>
          <w:iCs/>
        </w:rPr>
      </w:pPr>
      <w:r>
        <w:rPr>
          <w:rFonts w:ascii="Palatino Linotype" w:hAnsi="Palatino Linotype"/>
          <w:i/>
          <w:iCs/>
        </w:rPr>
        <w:t xml:space="preserve"> </w:t>
      </w:r>
      <w:r>
        <w:rPr>
          <w:rFonts w:ascii="Palatino Linotype" w:hAnsi="Palatino Linotype"/>
          <w:i/>
          <w:iCs/>
          <w:vertAlign w:val="superscript"/>
        </w:rPr>
        <w:t>1</w:t>
      </w:r>
      <w:r>
        <w:rPr>
          <w:rFonts w:ascii="Palatino Linotype" w:hAnsi="Palatino Linotype"/>
          <w:i/>
          <w:iCs/>
        </w:rPr>
        <w:t xml:space="preserve"> Department of Forestry &amp; Natural Resources and Division of Environmental &amp; Ecological Engineering, Purdue University, </w:t>
      </w:r>
      <w:r w:rsidRPr="008208CE">
        <w:rPr>
          <w:rFonts w:ascii="Palatino Linotype" w:hAnsi="Palatino Linotype"/>
          <w:i/>
          <w:iCs/>
        </w:rPr>
        <w:t>715 W State St, West Lafayette, IN 47907</w:t>
      </w:r>
      <w:r>
        <w:rPr>
          <w:rFonts w:ascii="Palatino Linotype" w:hAnsi="Palatino Linotype"/>
          <w:i/>
          <w:iCs/>
        </w:rPr>
        <w:t>, USA</w:t>
      </w:r>
    </w:p>
    <w:p w14:paraId="55C2B8F5" w14:textId="77777777" w:rsidR="000847C8" w:rsidRDefault="000847C8" w:rsidP="00D66021">
      <w:pPr>
        <w:ind w:left="180" w:hanging="180"/>
        <w:rPr>
          <w:rFonts w:ascii="Palatino Linotype" w:hAnsi="Palatino Linotype"/>
          <w:i/>
          <w:iCs/>
        </w:rPr>
      </w:pPr>
      <w:r w:rsidRPr="00AA3D9B">
        <w:rPr>
          <w:rFonts w:ascii="Palatino Linotype" w:hAnsi="Palatino Linotype"/>
          <w:i/>
          <w:iCs/>
          <w:vertAlign w:val="superscript"/>
        </w:rPr>
        <w:t>2</w:t>
      </w:r>
      <w:r>
        <w:rPr>
          <w:rFonts w:ascii="Palatino Linotype" w:hAnsi="Palatino Linotype"/>
          <w:i/>
          <w:iCs/>
        </w:rPr>
        <w:t xml:space="preserve"> Department of Earth and Environment, </w:t>
      </w:r>
      <w:r w:rsidRPr="0069134D">
        <w:rPr>
          <w:rFonts w:ascii="Palatino Linotype" w:hAnsi="Palatino Linotype"/>
          <w:i/>
          <w:iCs/>
        </w:rPr>
        <w:t xml:space="preserve">Boston University, </w:t>
      </w:r>
      <w:r w:rsidRPr="008208CE">
        <w:rPr>
          <w:rFonts w:ascii="Palatino Linotype" w:hAnsi="Palatino Linotype"/>
          <w:i/>
          <w:iCs/>
        </w:rPr>
        <w:t>685 Commonwealth Avenue, Boston, MA 02215</w:t>
      </w:r>
      <w:r>
        <w:rPr>
          <w:rFonts w:ascii="Palatino Linotype" w:hAnsi="Palatino Linotype"/>
          <w:i/>
          <w:iCs/>
        </w:rPr>
        <w:t>, USA</w:t>
      </w:r>
    </w:p>
    <w:p w14:paraId="2A3E8372" w14:textId="77777777" w:rsidR="000847C8" w:rsidRPr="004845FE" w:rsidRDefault="000847C8" w:rsidP="00D66021">
      <w:pPr>
        <w:ind w:left="180" w:hanging="180"/>
        <w:rPr>
          <w:rFonts w:ascii="Palatino Linotype" w:hAnsi="Palatino Linotype"/>
          <w:i/>
          <w:iCs/>
        </w:rPr>
      </w:pPr>
      <w:r w:rsidRPr="008208CE">
        <w:rPr>
          <w:rFonts w:ascii="Palatino Linotype" w:hAnsi="Palatino Linotype"/>
          <w:i/>
          <w:iCs/>
          <w:vertAlign w:val="superscript"/>
        </w:rPr>
        <w:t>*</w:t>
      </w:r>
      <w:r>
        <w:rPr>
          <w:rFonts w:ascii="Palatino Linotype" w:hAnsi="Palatino Linotype"/>
          <w:i/>
          <w:iCs/>
        </w:rPr>
        <w:t xml:space="preserve"> </w:t>
      </w:r>
      <w:r w:rsidRPr="004845FE">
        <w:rPr>
          <w:rFonts w:ascii="Palatino Linotype" w:hAnsi="Palatino Linotype"/>
          <w:i/>
          <w:iCs/>
        </w:rPr>
        <w:t>These authors contributed equally to this work. Correspondence should be addressed to Brady S. Hardiman (e-mail: bhardima@purdue.edu).</w:t>
      </w:r>
    </w:p>
    <w:p w14:paraId="635E6C8E" w14:textId="77777777" w:rsidR="008208CE" w:rsidRDefault="008208CE" w:rsidP="00D66021">
      <w:pPr>
        <w:rPr>
          <w:rFonts w:ascii="Palatino Linotype" w:hAnsi="Palatino Linotype"/>
          <w:b/>
        </w:rPr>
      </w:pPr>
    </w:p>
    <w:p w14:paraId="6F40F551" w14:textId="237231C0" w:rsidR="00CF37BD" w:rsidRPr="0077138F" w:rsidRDefault="00CF37BD" w:rsidP="00D66021">
      <w:pPr>
        <w:rPr>
          <w:rFonts w:ascii="Palatino Linotype" w:hAnsi="Palatino Linotype"/>
          <w:b/>
        </w:rPr>
      </w:pPr>
      <w:r w:rsidRPr="0077138F">
        <w:rPr>
          <w:rFonts w:ascii="Palatino Linotype" w:hAnsi="Palatino Linotype"/>
          <w:b/>
        </w:rPr>
        <w:t xml:space="preserve">Contents </w:t>
      </w:r>
    </w:p>
    <w:p w14:paraId="2A100A08" w14:textId="25BDC3AA" w:rsidR="00CF37BD" w:rsidRPr="00B93317" w:rsidRDefault="00962286" w:rsidP="00B93317">
      <w:pPr>
        <w:jc w:val="both"/>
        <w:rPr>
          <w:rFonts w:ascii="Palatino Linotype" w:hAnsi="Palatino Linotype"/>
          <w:b/>
        </w:rPr>
      </w:pPr>
      <w:r>
        <w:rPr>
          <w:rFonts w:ascii="Palatino Linotype" w:hAnsi="Palatino Linotype"/>
        </w:rPr>
        <w:t>S1</w:t>
      </w:r>
      <w:r w:rsidR="00980F4F">
        <w:rPr>
          <w:rFonts w:ascii="Palatino Linotype" w:hAnsi="Palatino Linotype"/>
        </w:rPr>
        <w:t>:</w:t>
      </w:r>
      <w:r w:rsidR="00520D66" w:rsidRPr="00520D66">
        <w:rPr>
          <w:rFonts w:ascii="Palatino Linotype" w:hAnsi="Palatino Linotype"/>
          <w:b/>
        </w:rPr>
        <w:t xml:space="preserve"> </w:t>
      </w:r>
      <w:r w:rsidR="00520D66" w:rsidRPr="00B93317">
        <w:rPr>
          <w:rFonts w:ascii="Palatino Linotype" w:hAnsi="Palatino Linotype"/>
        </w:rPr>
        <w:t>A Better Urban Biomass Map (BU-</w:t>
      </w:r>
      <w:proofErr w:type="gramStart"/>
      <w:r w:rsidR="00520D66" w:rsidRPr="00B93317">
        <w:rPr>
          <w:rFonts w:ascii="Palatino Linotype" w:hAnsi="Palatino Linotype"/>
        </w:rPr>
        <w:t>BioM)</w:t>
      </w:r>
      <w:r w:rsidR="00980F4F" w:rsidRPr="00B93317">
        <w:rPr>
          <w:rFonts w:ascii="Palatino Linotype" w:hAnsi="Palatino Linotype"/>
        </w:rPr>
        <w:t>…</w:t>
      </w:r>
      <w:proofErr w:type="gramEnd"/>
      <w:r w:rsidR="00980F4F" w:rsidRPr="00B93317">
        <w:rPr>
          <w:rFonts w:ascii="Palatino Linotype" w:hAnsi="Palatino Linotype"/>
        </w:rPr>
        <w:t>……………………………</w:t>
      </w:r>
      <w:r w:rsidR="00980F4F">
        <w:rPr>
          <w:rFonts w:ascii="Palatino Linotype" w:hAnsi="Palatino Linotype"/>
        </w:rPr>
        <w:t>…</w:t>
      </w:r>
      <w:r>
        <w:rPr>
          <w:rFonts w:ascii="Palatino Linotype" w:hAnsi="Palatino Linotype"/>
        </w:rPr>
        <w:t>Page 2</w:t>
      </w:r>
    </w:p>
    <w:p w14:paraId="7D2EDD2B" w14:textId="7C0822CD" w:rsidR="00962286" w:rsidRDefault="00962286" w:rsidP="00B93317">
      <w:pPr>
        <w:jc w:val="both"/>
        <w:rPr>
          <w:rFonts w:ascii="Palatino Linotype" w:hAnsi="Palatino Linotype"/>
        </w:rPr>
      </w:pPr>
      <w:r>
        <w:rPr>
          <w:rFonts w:ascii="Palatino Linotype" w:hAnsi="Palatino Linotype"/>
        </w:rPr>
        <w:t>S2</w:t>
      </w:r>
      <w:r w:rsidR="00980F4F">
        <w:rPr>
          <w:rFonts w:ascii="Palatino Linotype" w:hAnsi="Palatino Linotype"/>
        </w:rPr>
        <w:t>: Urban VPRM……………………………</w:t>
      </w:r>
      <w:proofErr w:type="gramStart"/>
      <w:r w:rsidR="00980F4F">
        <w:rPr>
          <w:rFonts w:ascii="Palatino Linotype" w:hAnsi="Palatino Linotype"/>
        </w:rPr>
        <w:t>…..</w:t>
      </w:r>
      <w:proofErr w:type="gramEnd"/>
      <w:r w:rsidR="00980F4F" w:rsidRPr="007D5E77">
        <w:rPr>
          <w:rFonts w:ascii="Palatino Linotype" w:hAnsi="Palatino Linotype"/>
        </w:rPr>
        <w:t>……………………………….</w:t>
      </w:r>
      <w:r w:rsidR="00980F4F">
        <w:rPr>
          <w:rFonts w:ascii="Palatino Linotype" w:hAnsi="Palatino Linotype"/>
        </w:rPr>
        <w:t xml:space="preserve"> </w:t>
      </w:r>
      <w:r>
        <w:rPr>
          <w:rFonts w:ascii="Palatino Linotype" w:hAnsi="Palatino Linotype"/>
        </w:rPr>
        <w:t>Page 6</w:t>
      </w:r>
    </w:p>
    <w:p w14:paraId="2CF9CC82" w14:textId="5F2C0EB4" w:rsidR="00962286" w:rsidRDefault="00962286" w:rsidP="00B93317">
      <w:pPr>
        <w:jc w:val="both"/>
        <w:rPr>
          <w:rFonts w:ascii="Palatino Linotype" w:hAnsi="Palatino Linotype"/>
        </w:rPr>
      </w:pPr>
      <w:r>
        <w:rPr>
          <w:rFonts w:ascii="Palatino Linotype" w:hAnsi="Palatino Linotype"/>
        </w:rPr>
        <w:t>S3</w:t>
      </w:r>
      <w:r w:rsidR="00980F4F">
        <w:rPr>
          <w:rFonts w:ascii="Palatino Linotype" w:hAnsi="Palatino Linotype"/>
        </w:rPr>
        <w:t xml:space="preserve">: </w:t>
      </w:r>
      <w:r w:rsidR="00980F4F" w:rsidRPr="00B93317">
        <w:rPr>
          <w:rFonts w:ascii="Palatino Linotype" w:hAnsi="Palatino Linotype"/>
        </w:rPr>
        <w:t>Anthropogenic emissions of CO</w:t>
      </w:r>
      <w:r w:rsidR="00980F4F" w:rsidRPr="00980F4F">
        <w:rPr>
          <w:rFonts w:ascii="Palatino Linotype" w:hAnsi="Palatino Linotype"/>
          <w:vertAlign w:val="subscript"/>
        </w:rPr>
        <w:t xml:space="preserve">2 </w:t>
      </w:r>
      <w:r w:rsidR="00980F4F">
        <w:rPr>
          <w:rFonts w:ascii="Palatino Linotype" w:hAnsi="Palatino Linotype"/>
        </w:rPr>
        <w:t>………………</w:t>
      </w:r>
      <w:r w:rsidR="00B93317">
        <w:rPr>
          <w:rFonts w:ascii="Palatino Linotype" w:hAnsi="Palatino Linotype"/>
        </w:rPr>
        <w:t>.</w:t>
      </w:r>
      <w:r w:rsidR="00980F4F">
        <w:rPr>
          <w:rFonts w:ascii="Palatino Linotype" w:hAnsi="Palatino Linotype"/>
        </w:rPr>
        <w:t>…………………………</w:t>
      </w:r>
      <w:r>
        <w:rPr>
          <w:rFonts w:ascii="Palatino Linotype" w:hAnsi="Palatino Linotype"/>
        </w:rPr>
        <w:t>Page 15</w:t>
      </w:r>
    </w:p>
    <w:p w14:paraId="023F9BDF" w14:textId="383CEF86" w:rsidR="00962286" w:rsidRPr="0077138F" w:rsidRDefault="00962286" w:rsidP="00B93317">
      <w:pPr>
        <w:jc w:val="both"/>
        <w:rPr>
          <w:rFonts w:ascii="Palatino Linotype" w:hAnsi="Palatino Linotype"/>
        </w:rPr>
      </w:pPr>
      <w:r>
        <w:rPr>
          <w:rFonts w:ascii="Palatino Linotype" w:hAnsi="Palatino Linotype"/>
        </w:rPr>
        <w:t>S4</w:t>
      </w:r>
      <w:r w:rsidR="00980F4F">
        <w:rPr>
          <w:rFonts w:ascii="Palatino Linotype" w:hAnsi="Palatino Linotype"/>
        </w:rPr>
        <w:t>: Additional factors impacting urban carbon cycli</w:t>
      </w:r>
      <w:r w:rsidR="00B93317">
        <w:rPr>
          <w:rFonts w:ascii="Palatino Linotype" w:hAnsi="Palatino Linotype"/>
        </w:rPr>
        <w:t>ng …………………</w:t>
      </w:r>
      <w:proofErr w:type="gramStart"/>
      <w:r w:rsidR="00B93317">
        <w:rPr>
          <w:rFonts w:ascii="Palatino Linotype" w:hAnsi="Palatino Linotype"/>
        </w:rPr>
        <w:t>….</w:t>
      </w:r>
      <w:r>
        <w:rPr>
          <w:rFonts w:ascii="Palatino Linotype" w:hAnsi="Palatino Linotype"/>
        </w:rPr>
        <w:t>Page</w:t>
      </w:r>
      <w:proofErr w:type="gramEnd"/>
      <w:r>
        <w:rPr>
          <w:rFonts w:ascii="Palatino Linotype" w:hAnsi="Palatino Linotype"/>
        </w:rPr>
        <w:t xml:space="preserve"> 23</w:t>
      </w:r>
    </w:p>
    <w:p w14:paraId="09D35246" w14:textId="67A70843" w:rsidR="005D1846" w:rsidRDefault="00962286" w:rsidP="00B93317">
      <w:pPr>
        <w:spacing w:before="100" w:beforeAutospacing="1" w:after="100" w:afterAutospacing="1" w:line="360" w:lineRule="auto"/>
        <w:rPr>
          <w:rFonts w:ascii="Palatino Linotype" w:hAnsi="Palatino Linotype"/>
        </w:rPr>
      </w:pPr>
      <w:r>
        <w:rPr>
          <w:rFonts w:ascii="Palatino Linotype" w:hAnsi="Palatino Linotype"/>
          <w:b/>
          <w:bCs/>
          <w:szCs w:val="24"/>
        </w:rPr>
        <w:t>Overview</w:t>
      </w:r>
      <w:r w:rsidR="00CF37BD" w:rsidRPr="0077138F">
        <w:rPr>
          <w:rFonts w:ascii="Palatino Linotype" w:hAnsi="Palatino Linotype"/>
          <w:b/>
          <w:szCs w:val="24"/>
        </w:rPr>
        <w:t xml:space="preserve"> </w:t>
      </w:r>
      <w:r w:rsidR="000C51D8">
        <w:rPr>
          <w:rFonts w:ascii="Palatino Linotype" w:hAnsi="Palatino Linotype"/>
          <w:b/>
          <w:szCs w:val="24"/>
        </w:rPr>
        <w:br/>
      </w:r>
      <w:r w:rsidR="000C51D8">
        <w:rPr>
          <w:rFonts w:ascii="Palatino Linotype" w:hAnsi="Palatino Linotype"/>
          <w:sz w:val="22"/>
          <w:szCs w:val="22"/>
        </w:rPr>
        <w:t xml:space="preserve">S1 </w:t>
      </w:r>
      <w:r w:rsidR="00BF1BDE">
        <w:rPr>
          <w:rFonts w:ascii="Palatino Linotype" w:hAnsi="Palatino Linotype"/>
          <w:sz w:val="22"/>
          <w:szCs w:val="22"/>
        </w:rPr>
        <w:t>describes the development of a refined approach to estimate urban aboveground biomass</w:t>
      </w:r>
      <w:r w:rsidR="00700AAC">
        <w:rPr>
          <w:rFonts w:ascii="Palatino Linotype" w:hAnsi="Palatino Linotype"/>
          <w:sz w:val="22"/>
          <w:szCs w:val="22"/>
        </w:rPr>
        <w:t>, discusses considerations involved therein, and provides estimates of model uncertainty and estimate variability</w:t>
      </w:r>
      <w:r w:rsidR="00BF1BDE">
        <w:rPr>
          <w:rFonts w:ascii="Palatino Linotype" w:hAnsi="Palatino Linotype"/>
          <w:sz w:val="22"/>
          <w:szCs w:val="22"/>
        </w:rPr>
        <w:t xml:space="preserve">. S2 </w:t>
      </w:r>
      <w:r w:rsidR="000C51D8">
        <w:rPr>
          <w:rFonts w:ascii="Palatino Linotype" w:hAnsi="Palatino Linotype"/>
          <w:sz w:val="22"/>
          <w:szCs w:val="22"/>
        </w:rPr>
        <w:t>describes the modif</w:t>
      </w:r>
      <w:r w:rsidR="00D07751">
        <w:rPr>
          <w:rFonts w:ascii="Palatino Linotype" w:hAnsi="Palatino Linotype"/>
          <w:sz w:val="22"/>
          <w:szCs w:val="22"/>
        </w:rPr>
        <w:t>ied</w:t>
      </w:r>
      <w:r w:rsidR="000C51D8">
        <w:rPr>
          <w:rFonts w:ascii="Palatino Linotype" w:hAnsi="Palatino Linotype"/>
          <w:sz w:val="22"/>
          <w:szCs w:val="22"/>
        </w:rPr>
        <w:t xml:space="preserve"> </w:t>
      </w:r>
      <w:r w:rsidR="00D07751">
        <w:rPr>
          <w:rFonts w:ascii="Palatino Linotype" w:hAnsi="Palatino Linotype"/>
          <w:sz w:val="22"/>
          <w:szCs w:val="22"/>
        </w:rPr>
        <w:t>V</w:t>
      </w:r>
      <w:r w:rsidR="000C51D8">
        <w:rPr>
          <w:rFonts w:ascii="Palatino Linotype" w:hAnsi="Palatino Linotype"/>
          <w:sz w:val="22"/>
          <w:szCs w:val="22"/>
        </w:rPr>
        <w:t xml:space="preserve">egetation Photosynthesis and Respiration Model </w:t>
      </w:r>
      <w:r w:rsidR="00D07751">
        <w:rPr>
          <w:rFonts w:ascii="Palatino Linotype" w:hAnsi="Palatino Linotype"/>
          <w:sz w:val="22"/>
          <w:szCs w:val="22"/>
        </w:rPr>
        <w:t>and the steps taken to</w:t>
      </w:r>
      <w:r w:rsidR="000C51D8">
        <w:rPr>
          <w:rFonts w:ascii="Palatino Linotype" w:hAnsi="Palatino Linotype"/>
          <w:sz w:val="22"/>
          <w:szCs w:val="22"/>
        </w:rPr>
        <w:t xml:space="preserve"> incorporate urban growing conditions such as urban heat island, altered phenology, and impervious surface</w:t>
      </w:r>
      <w:r w:rsidR="00D07751">
        <w:rPr>
          <w:rFonts w:ascii="Palatino Linotype" w:hAnsi="Palatino Linotype"/>
          <w:sz w:val="22"/>
          <w:szCs w:val="22"/>
        </w:rPr>
        <w:t>s</w:t>
      </w:r>
      <w:r w:rsidR="00BF1BDE">
        <w:rPr>
          <w:rFonts w:ascii="Palatino Linotype" w:hAnsi="Palatino Linotype"/>
          <w:sz w:val="22"/>
          <w:szCs w:val="22"/>
        </w:rPr>
        <w:t>. S3</w:t>
      </w:r>
      <w:r w:rsidR="000C51D8">
        <w:rPr>
          <w:rFonts w:ascii="Palatino Linotype" w:hAnsi="Palatino Linotype"/>
          <w:sz w:val="22"/>
          <w:szCs w:val="22"/>
        </w:rPr>
        <w:t xml:space="preserve"> describes the datasets and methods used to produce our inventory of anthropogenic emissions.</w:t>
      </w:r>
      <w:r w:rsidR="00234AFC">
        <w:rPr>
          <w:rFonts w:ascii="Palatino Linotype" w:hAnsi="Palatino Linotype"/>
          <w:sz w:val="22"/>
          <w:szCs w:val="22"/>
        </w:rPr>
        <w:t xml:space="preserve"> S4 contains additional discussion of factors influencing </w:t>
      </w:r>
      <w:r w:rsidR="008208CE">
        <w:rPr>
          <w:rFonts w:ascii="Palatino Linotype" w:hAnsi="Palatino Linotype"/>
          <w:sz w:val="22"/>
          <w:szCs w:val="22"/>
        </w:rPr>
        <w:t>biogenic carbon fluxes in urban ecosystems.</w:t>
      </w:r>
      <w:r w:rsidR="00CF37BD">
        <w:rPr>
          <w:rFonts w:ascii="Palatino Linotype" w:hAnsi="Palatino Linotype"/>
        </w:rPr>
        <w:br w:type="page"/>
      </w:r>
    </w:p>
    <w:p w14:paraId="43FADB8E" w14:textId="49B2EC39" w:rsidR="0015009E" w:rsidRDefault="005D1846" w:rsidP="00B93317">
      <w:pPr>
        <w:spacing w:line="360" w:lineRule="auto"/>
        <w:rPr>
          <w:rFonts w:ascii="Palatino Linotype" w:hAnsi="Palatino Linotype"/>
          <w:b/>
        </w:rPr>
      </w:pPr>
      <w:r w:rsidRPr="0015009E">
        <w:rPr>
          <w:rFonts w:ascii="Palatino Linotype" w:hAnsi="Palatino Linotype"/>
          <w:b/>
        </w:rPr>
        <w:lastRenderedPageBreak/>
        <w:t>S1 Refined estimates of urban vegetation biomass</w:t>
      </w:r>
      <w:r w:rsidR="00444D44" w:rsidRPr="0015009E">
        <w:rPr>
          <w:rFonts w:ascii="Palatino Linotype" w:hAnsi="Palatino Linotype"/>
          <w:b/>
        </w:rPr>
        <w:t xml:space="preserve">: </w:t>
      </w:r>
      <w:r w:rsidR="00A41E5E" w:rsidRPr="0015009E">
        <w:rPr>
          <w:rFonts w:ascii="Palatino Linotype" w:hAnsi="Palatino Linotype"/>
          <w:b/>
        </w:rPr>
        <w:t>A</w:t>
      </w:r>
      <w:r w:rsidR="00444D44" w:rsidRPr="0015009E">
        <w:rPr>
          <w:rFonts w:ascii="Palatino Linotype" w:hAnsi="Palatino Linotype"/>
          <w:b/>
        </w:rPr>
        <w:t xml:space="preserve"> Better Urban Biomass Map (BU-BioM)</w:t>
      </w:r>
    </w:p>
    <w:p w14:paraId="25A802C6" w14:textId="27679905" w:rsidR="0015009E" w:rsidRDefault="0015009E" w:rsidP="00B93317">
      <w:pPr>
        <w:spacing w:line="360" w:lineRule="auto"/>
        <w:rPr>
          <w:rFonts w:ascii="Palatino Linotype" w:hAnsi="Palatino Linotype"/>
          <w:bCs/>
          <w:kern w:val="32"/>
          <w:szCs w:val="24"/>
        </w:rPr>
      </w:pPr>
      <w:r w:rsidRPr="0015009E">
        <w:rPr>
          <w:rFonts w:ascii="Palatino Linotype" w:hAnsi="Palatino Linotype"/>
          <w:bCs/>
          <w:kern w:val="32"/>
          <w:szCs w:val="24"/>
        </w:rPr>
        <w:t xml:space="preserve">The extent and quantity of vegetation in most urban ecosystems is poorly quantified and varies dramatically. In lower biomass biomes, cities can have higher biomass and/or biodiversity than native vegetation communities due to tree planting, irrigation, etc. </w:t>
      </w:r>
      <w:r w:rsidRPr="0015009E">
        <w:rPr>
          <w:rFonts w:ascii="Palatino Linotype" w:hAnsi="Palatino Linotype"/>
          <w:bCs/>
          <w:kern w:val="32"/>
          <w:szCs w:val="24"/>
        </w:rPr>
        <w:fldChar w:fldCharType="begin" w:fldLock="1"/>
      </w:r>
      <w:r w:rsidR="000C0119">
        <w:rPr>
          <w:rFonts w:ascii="Palatino Linotype" w:hAnsi="Palatino Linotype"/>
          <w:bCs/>
          <w:kern w:val="32"/>
          <w:szCs w:val="24"/>
        </w:rPr>
        <w:instrText>ADDIN CSL_CITATION { "citationItems" : [ { "id" : "ITEM-1", "itemData" : { "DOI" : "10.1007/978-0-387-73412-5_21", "ISBN" : "9780387734118", "ISSN" : "0027-8424", "PMID" : "12847293", "author" : [ { "dropping-particle" : "", "family" : "Hope", "given" : "Diane", "non-dropping-particle" : "", "parse-names" : false, "suffix" : "" }, { "dropping-particle" : "", "family" : "Gries", "given" : "Corinna", "non-dropping-particle" : "", "parse-names" : false, "suffix" : "" }, { "dropping-particle" : "", "family" : "Zhu", "given" : "Weixing", "non-dropping-particle" : "", "parse-names" : false, "suffix" : "" }, { "dropping-particle" : "", "family" : "Fagan", "given" : "William F", "non-dropping-particle" : "", "parse-names" : false, "suffix" : "" }, { "dropping-particle" : "", "family" : "Redman", "given" : "Charles L", "non-dropping-particle" : "", "parse-names" : false, "suffix" : "" }, { "dropping-particle" : "", "family" : "Grimm", "given" : "Nancy B", "non-dropping-particle" : "", "parse-names" : false, "suffix" : "" }, { "dropping-particle" : "", "family" : "Nelson", "given" : "Amy L", "non-dropping-particle" : "", "parse-names" : false, "suffix" : "" }, { "dropping-particle" : "", "family" : "Martin", "given" : "Chris", "non-dropping-particle" : "", "parse-names" : false, "suffix" : "" }, { "dropping-particle" : "", "family" : "Kinzig", "given" : "Ann", "non-dropping-particle" : "", "parse-names" : false, "suffix" : "" } ], "id" : "ITEM-1", "issue" : "15", "issued" : { "date-parts" : [ [ "2003" ] ] }, "page" : "8788-8792", "title" : "Socioeconomics drive urban plant diversity", "type" : "article-journal", "volume" : "100" }, "uris" : [ "http://www.mendeley.com/documents/?uuid=080e228c-b2f3-493f-ad80-4559da7f8f7d" ] } ], "mendeley" : { "formattedCitation" : "(Hope et al., 2003)", "plainTextFormattedCitation" : "(Hope et al., 2003)", "previouslyFormattedCitation" : "(Hope et al., 2003)" }, "properties" : { "noteIndex" : 0 }, "schema" : "https://github.com/citation-style-language/schema/raw/master/csl-citation.json" }</w:instrText>
      </w:r>
      <w:r w:rsidRPr="0015009E">
        <w:rPr>
          <w:rFonts w:ascii="Palatino Linotype" w:hAnsi="Palatino Linotype"/>
          <w:bCs/>
          <w:kern w:val="32"/>
          <w:szCs w:val="24"/>
        </w:rPr>
        <w:fldChar w:fldCharType="separate"/>
      </w:r>
      <w:r w:rsidR="00BF6C71" w:rsidRPr="00BF6C71">
        <w:rPr>
          <w:rFonts w:ascii="Palatino Linotype" w:hAnsi="Palatino Linotype"/>
          <w:bCs/>
          <w:noProof/>
          <w:kern w:val="32"/>
          <w:szCs w:val="24"/>
        </w:rPr>
        <w:t>(Hope et al., 2003)</w:t>
      </w:r>
      <w:r w:rsidRPr="0015009E">
        <w:rPr>
          <w:rFonts w:ascii="Palatino Linotype" w:hAnsi="Palatino Linotype"/>
          <w:bCs/>
          <w:kern w:val="32"/>
          <w:szCs w:val="24"/>
        </w:rPr>
        <w:fldChar w:fldCharType="end"/>
      </w:r>
      <w:r w:rsidRPr="0015009E">
        <w:rPr>
          <w:rFonts w:ascii="Palatino Linotype" w:hAnsi="Palatino Linotype"/>
          <w:bCs/>
          <w:kern w:val="32"/>
          <w:szCs w:val="24"/>
        </w:rPr>
        <w:t xml:space="preserve">, while the opposite can be true in higher biomass biomes (e.g. Boston, MA, USA </w:t>
      </w:r>
      <w:r w:rsidRPr="0015009E">
        <w:rPr>
          <w:rFonts w:ascii="Palatino Linotype" w:hAnsi="Palatino Linotype"/>
          <w:bCs/>
          <w:kern w:val="32"/>
          <w:szCs w:val="24"/>
        </w:rPr>
        <w:fldChar w:fldCharType="begin" w:fldLock="1"/>
      </w:r>
      <w:r w:rsidR="000C0119">
        <w:rPr>
          <w:rFonts w:ascii="Palatino Linotype" w:hAnsi="Palatino Linotype"/>
          <w:bCs/>
          <w:kern w:val="32"/>
          <w:szCs w:val="24"/>
        </w:rPr>
        <w:instrText>ADDIN CSL_CITATION { "citationItems" : [ { "id" : "ITEM-1", "itemData" : { "DOI" : "10.1371/journal.pone.0136237", "ISSN" : "1932-6203", "author" : [ { "dropping-particle" : "", "family" : "Briber", "given" : "Brittain M.", "non-dropping-particle" : "", "parse-names" : false, "suffix" : "" }, { "dropping-particle" : "", "family" : "Hutyra", "given" : "Lucy R.", "non-dropping-particle" : "", "parse-names" : false, "suffix" : "" }, { "dropping-particle" : "", "family" : "Reinmann", "given" : "Andrew B.", "non-dropping-particle" : "", "parse-names" : false, "suffix" : "" }, { "dropping-particle" : "", "family" : "Raciti", "given" : "Steve M.", "non-dropping-particle" : "", "parse-names" : false, "suffix" : "" }, { "dropping-particle" : "", "family" : "Dearborn", "given" : "Victoria K.", "non-dropping-particle" : "", "parse-names" : false, "suffix" : "" }, { "dropping-particle" : "", "family" : "Holden", "given" : "Christopher E.", "non-dropping-particle" : "", "parse-names" : false, "suffix" : "" }, { "dropping-particle" : "", "family" : "Dunn", "given" : "Allison L.", "non-dropping-particle" : "", "parse-names" : false, "suffix" : "" } ], "container-title" : "Plos One", "id" : "ITEM-1", "issue" : "8", "issued" : { "date-parts" : [ [ "2015" ] ] }, "page" : "e0136237", "title" : "Tree Productivity Enhanced with Conversion from Forest to Urban Land Covers", "type" : "article-journal", "volume" : "10" }, "uris" : [ "http://www.mendeley.com/documents/?uuid=86115d03-2e91-4ebf-877b-04975096d6e9" ] } ], "mendeley" : { "formattedCitation" : "(Briber et al., 2015)", "plainTextFormattedCitation" : "(Briber et al., 2015)", "previouslyFormattedCitation" : "(Briber et al., 2015)" }, "properties" : { "noteIndex" : 0 }, "schema" : "https://github.com/citation-style-language/schema/raw/master/csl-citation.json" }</w:instrText>
      </w:r>
      <w:r w:rsidRPr="0015009E">
        <w:rPr>
          <w:rFonts w:ascii="Palatino Linotype" w:hAnsi="Palatino Linotype"/>
          <w:bCs/>
          <w:kern w:val="32"/>
          <w:szCs w:val="24"/>
        </w:rPr>
        <w:fldChar w:fldCharType="separate"/>
      </w:r>
      <w:r w:rsidR="00BF6C71" w:rsidRPr="00BF6C71">
        <w:rPr>
          <w:rFonts w:ascii="Palatino Linotype" w:hAnsi="Palatino Linotype"/>
          <w:bCs/>
          <w:noProof/>
          <w:kern w:val="32"/>
          <w:szCs w:val="24"/>
        </w:rPr>
        <w:t>(Briber et al., 2015)</w:t>
      </w:r>
      <w:r w:rsidRPr="0015009E">
        <w:rPr>
          <w:rFonts w:ascii="Palatino Linotype" w:hAnsi="Palatino Linotype"/>
          <w:bCs/>
          <w:kern w:val="32"/>
          <w:szCs w:val="24"/>
        </w:rPr>
        <w:fldChar w:fldCharType="end"/>
      </w:r>
      <w:r w:rsidRPr="0015009E">
        <w:rPr>
          <w:rFonts w:ascii="Palatino Linotype" w:hAnsi="Palatino Linotype"/>
          <w:bCs/>
          <w:kern w:val="32"/>
          <w:szCs w:val="24"/>
        </w:rPr>
        <w:t xml:space="preserve">, Seattle, WA, USA </w:t>
      </w:r>
      <w:r w:rsidRPr="0015009E">
        <w:rPr>
          <w:rFonts w:ascii="Palatino Linotype" w:hAnsi="Palatino Linotype"/>
          <w:bCs/>
          <w:kern w:val="32"/>
          <w:szCs w:val="24"/>
        </w:rPr>
        <w:fldChar w:fldCharType="begin" w:fldLock="1"/>
      </w:r>
      <w:r w:rsidR="000C0119">
        <w:rPr>
          <w:rFonts w:ascii="Palatino Linotype" w:hAnsi="Palatino Linotype"/>
          <w:bCs/>
          <w:kern w:val="32"/>
          <w:szCs w:val="24"/>
        </w:rPr>
        <w:instrText>ADDIN CSL_CITATION { "citationItems" : [ { "id" : "ITEM-1", "itemData" : { "DOI" : "10.1111/j.1365-2486.2010.02238.x", "author" : [ { "dropping-particle" : "", "family" : "Hutyra", "given" : "Lucy R.", "non-dropping-particle" : "", "parse-names" : false, "suffix" : "" }, { "dropping-particle" : "", "family" : "Yoon", "given" : "Byungman", "non-dropping-particle" : "", "parse-names" : false, "suffix" : "" }, { "dropping-particle" : "", "family" : "Alberti", "given" : "Marina", "non-dropping-particle" : "", "parse-names" : false, "suffix" : "" } ], "container-title" : "Global Change Biology", "id" : "ITEM-1", "issue" : "17", "issued" : { "date-parts" : [ [ "2011" ] ] }, "page" : "783-797", "title" : "Terrestrial carbon stocks across a gradient of urbanization: a study of the Seattle, WA region", "type" : "article-journal" }, "uris" : [ "http://www.mendeley.com/documents/?uuid=afd89bfd-0f49-4eda-a3b1-5981dd914439", "http://www.mendeley.com/documents/?uuid=6e594519-c541-4927-948a-7fb3e86ee9ad" ] } ], "mendeley" : { "formattedCitation" : "(Hutyra et al., 2011)", "plainTextFormattedCitation" : "(Hutyra et al., 2011)", "previouslyFormattedCitation" : "(Hutyra et al., 2011)" }, "properties" : { "noteIndex" : 0 }, "schema" : "https://github.com/citation-style-language/schema/raw/master/csl-citation.json" }</w:instrText>
      </w:r>
      <w:r w:rsidRPr="0015009E">
        <w:rPr>
          <w:rFonts w:ascii="Palatino Linotype" w:hAnsi="Palatino Linotype"/>
          <w:bCs/>
          <w:kern w:val="32"/>
          <w:szCs w:val="24"/>
        </w:rPr>
        <w:fldChar w:fldCharType="separate"/>
      </w:r>
      <w:r w:rsidR="00BF6C71" w:rsidRPr="00BF6C71">
        <w:rPr>
          <w:rFonts w:ascii="Palatino Linotype" w:hAnsi="Palatino Linotype"/>
          <w:bCs/>
          <w:noProof/>
          <w:kern w:val="32"/>
          <w:szCs w:val="24"/>
        </w:rPr>
        <w:t>(Hutyra et al., 2011)</w:t>
      </w:r>
      <w:r w:rsidRPr="0015009E">
        <w:rPr>
          <w:rFonts w:ascii="Palatino Linotype" w:hAnsi="Palatino Linotype"/>
          <w:bCs/>
          <w:kern w:val="32"/>
          <w:szCs w:val="24"/>
        </w:rPr>
        <w:fldChar w:fldCharType="end"/>
      </w:r>
      <w:r w:rsidRPr="0015009E">
        <w:rPr>
          <w:rFonts w:ascii="Palatino Linotype" w:hAnsi="Palatino Linotype"/>
          <w:bCs/>
          <w:kern w:val="32"/>
          <w:szCs w:val="24"/>
        </w:rPr>
        <w:t xml:space="preserve">, Berlin, Germany </w:t>
      </w:r>
      <w:r w:rsidRPr="0015009E">
        <w:rPr>
          <w:rFonts w:ascii="Palatino Linotype" w:hAnsi="Palatino Linotype"/>
          <w:bCs/>
          <w:kern w:val="32"/>
          <w:szCs w:val="24"/>
        </w:rPr>
        <w:fldChar w:fldCharType="begin" w:fldLock="1"/>
      </w:r>
      <w:r w:rsidR="000C0119">
        <w:rPr>
          <w:rFonts w:ascii="Palatino Linotype" w:hAnsi="Palatino Linotype"/>
          <w:bCs/>
          <w:kern w:val="32"/>
          <w:szCs w:val="24"/>
        </w:rPr>
        <w:instrText>ADDIN CSL_CITATION { "citationItems" : [ { "id" : "ITEM-1", "itemData" : { "DOI" : "10.3390/rs61110636", "ISSN" : "2072-4292", "abstract" : "While CO2 emissions of cities are widely discussed, carbon storage in urban vegetation has been rarely empirically analyzed. Remotely sensed data offer considerable benefits for addressing this lack of information. The aim of this paper is to develop and apply an approach that combines airborne LiDAR and QuickBird to assess the carbon stored in urban trees of Berlin, Germany, and to identify differences between urban structure types. For a transect in the city, dendrometric parameters were first derived to estimate individual tree stem diameter and carbon storage with allometric equations. Field survey data were used for validation. Then, the individual tree carbon storage was aggregated at the level of urban structure types and the distribution of carbon storage was analysed. Finally, the results were extrapolated to the entire urban area. High accuracies of the detected tree locations were reached with 65.30% for all trees and 80.1% for dominant trees. The total carbon storage of the study area was 20,964.40 t (\u03c3 = 15,550.11 t). Its carbon density equaled 13.70 t/ha. A general center-to-periphery increase in carbon storage was identified along the transect. Our approach methods can be used by scientists and decision-makers to gain an empirical basis for the comparison of carbon storage capacities between cities and their subunits to develop adaption and mitigation strategies against climate change.", "author" : [ { "dropping-particle" : "", "family" : "Schreyer", "given" : "Johannes", "non-dropping-particle" : "", "parse-names" : false, "suffix" : "" }, { "dropping-particle" : "", "family" : "Tigges", "given" : "Jan", "non-dropping-particle" : "", "parse-names" : false, "suffix" : "" }, { "dropping-particle" : "", "family" : "Lakes", "given" : "Tobia", "non-dropping-particle" : "", "parse-names" : false, "suffix" : "" }, { "dropping-particle" : "", "family" : "Churkina", "given" : "Galina", "non-dropping-particle" : "", "parse-names" : false, "suffix" : "" } ], "container-title" : "Remote Sensing", "id" : "ITEM-1", "issued" : { "date-parts" : [ [ "2014" ] ] }, "page" : "10636-10655", "title" : "Using Airborne LiDAR and QuickBird Data for Modelling Urban Tree Carbon Storage and Its Distribution\u2014A Case Study of Berlin", "type" : "article-journal" }, "uris" : [ "http://www.mendeley.com/documents/?uuid=da9daea9-d2bd-485a-8771-00b28870560c" ] } ], "mendeley" : { "formattedCitation" : "(Schreyer et al., 2014)", "plainTextFormattedCitation" : "(Schreyer et al., 2014)", "previouslyFormattedCitation" : "(Schreyer et al., 2014)" }, "properties" : { "noteIndex" : 0 }, "schema" : "https://github.com/citation-style-language/schema/raw/master/csl-citation.json" }</w:instrText>
      </w:r>
      <w:r w:rsidRPr="0015009E">
        <w:rPr>
          <w:rFonts w:ascii="Palatino Linotype" w:hAnsi="Palatino Linotype"/>
          <w:bCs/>
          <w:kern w:val="32"/>
          <w:szCs w:val="24"/>
        </w:rPr>
        <w:fldChar w:fldCharType="separate"/>
      </w:r>
      <w:r w:rsidR="00BF6C71" w:rsidRPr="00BF6C71">
        <w:rPr>
          <w:rFonts w:ascii="Palatino Linotype" w:hAnsi="Palatino Linotype"/>
          <w:bCs/>
          <w:noProof/>
          <w:kern w:val="32"/>
          <w:szCs w:val="24"/>
        </w:rPr>
        <w:t>(Schreyer et al., 2014)</w:t>
      </w:r>
      <w:r w:rsidRPr="0015009E">
        <w:rPr>
          <w:rFonts w:ascii="Palatino Linotype" w:hAnsi="Palatino Linotype"/>
          <w:bCs/>
          <w:kern w:val="32"/>
          <w:szCs w:val="24"/>
        </w:rPr>
        <w:fldChar w:fldCharType="end"/>
      </w:r>
      <w:r w:rsidRPr="0015009E">
        <w:rPr>
          <w:rFonts w:ascii="Palatino Linotype" w:hAnsi="Palatino Linotype"/>
          <w:bCs/>
          <w:kern w:val="32"/>
          <w:szCs w:val="24"/>
        </w:rPr>
        <w:t xml:space="preserve">). </w:t>
      </w:r>
      <w:r w:rsidRPr="0015009E">
        <w:rPr>
          <w:rFonts w:ascii="Palatino Linotype" w:hAnsi="Palatino Linotype"/>
        </w:rPr>
        <w:t xml:space="preserve">While some areas have developed high-resolution maps of vegetation cover within urban areas, availability of these datasets is not universal. We therefore developed a method of estimating urban biomass that relies on nationally and freely available data sources that can be readily parameterized and implemented in cities located </w:t>
      </w:r>
      <w:r w:rsidRPr="0015009E">
        <w:rPr>
          <w:rFonts w:ascii="Palatino Linotype" w:hAnsi="Palatino Linotype"/>
          <w:bCs/>
          <w:kern w:val="32"/>
          <w:szCs w:val="24"/>
        </w:rPr>
        <w:t>in a wide variety of biomes.</w:t>
      </w:r>
      <w:r w:rsidR="00552CAD">
        <w:rPr>
          <w:rFonts w:ascii="Palatino Linotype" w:hAnsi="Palatino Linotype"/>
          <w:bCs/>
          <w:kern w:val="32"/>
          <w:szCs w:val="24"/>
        </w:rPr>
        <w:t xml:space="preserve"> We caution, however, that application of these methods in other cities, especially those located in differing </w:t>
      </w:r>
      <w:r w:rsidR="00727900">
        <w:rPr>
          <w:rFonts w:ascii="Palatino Linotype" w:hAnsi="Palatino Linotype"/>
          <w:bCs/>
          <w:kern w:val="32"/>
          <w:szCs w:val="24"/>
        </w:rPr>
        <w:t>bioclimatic zones</w:t>
      </w:r>
      <w:r w:rsidR="00552CAD">
        <w:rPr>
          <w:rFonts w:ascii="Palatino Linotype" w:hAnsi="Palatino Linotype"/>
          <w:bCs/>
          <w:kern w:val="32"/>
          <w:szCs w:val="24"/>
        </w:rPr>
        <w:t>, should incorporate information from local inventory plots.</w:t>
      </w:r>
    </w:p>
    <w:p w14:paraId="67702E4A" w14:textId="77777777" w:rsidR="0015009E" w:rsidRDefault="0015009E" w:rsidP="00B93317">
      <w:pPr>
        <w:spacing w:line="360" w:lineRule="auto"/>
        <w:rPr>
          <w:rFonts w:ascii="Palatino Linotype" w:hAnsi="Palatino Linotype"/>
          <w:bCs/>
          <w:kern w:val="32"/>
          <w:szCs w:val="24"/>
        </w:rPr>
      </w:pPr>
    </w:p>
    <w:p w14:paraId="0B07F524" w14:textId="5B5EE6DC" w:rsidR="005D1846" w:rsidRPr="001A3481" w:rsidRDefault="001A3481" w:rsidP="00B93317">
      <w:pPr>
        <w:spacing w:line="360" w:lineRule="auto"/>
        <w:rPr>
          <w:rFonts w:ascii="Palatino Linotype" w:hAnsi="Palatino Linotype"/>
          <w:b/>
        </w:rPr>
      </w:pPr>
      <w:r w:rsidRPr="001A3481">
        <w:rPr>
          <w:rFonts w:ascii="Palatino Linotype" w:hAnsi="Palatino Linotype"/>
        </w:rPr>
        <w:t xml:space="preserve">We used the National Biomass and Carbon Dataset </w:t>
      </w:r>
      <w:r w:rsidR="00625E08">
        <w:rPr>
          <w:rFonts w:ascii="Palatino Linotype" w:hAnsi="Palatino Linotype"/>
        </w:rPr>
        <w:fldChar w:fldCharType="begin" w:fldLock="1"/>
      </w:r>
      <w:r w:rsidR="000C0119">
        <w:rPr>
          <w:rFonts w:ascii="Palatino Linotype" w:hAnsi="Palatino Linotype"/>
        </w:rPr>
        <w:instrText>ADDIN CSL_CITATION { "citationItems" : [ { "id" : "ITEM-1", "itemData" : { "DOI" : "10.3334/ORNLDAAC/1161", "author" : [ { "dropping-particle" : "", "family" : "Kellndorfer", "given" : "J.", "non-dropping-particle" : "", "parse-names" : false, "suffix" : "" }, { "dropping-particle" : "", "family" : "Walker", "given" : "W.", "non-dropping-particle" : "", "parse-names" : false, "suffix" : "" }, { "dropping-particle" : "", "family" : "Kirsch", "given" : "K.", "non-dropping-particle" : "", "parse-names" : false, "suffix" : "" }, { "dropping-particle" : "", "family" : "Fiske", "given" : "G.", "non-dropping-particle" : "", "parse-names" : false, "suffix" : "" }, { "dropping-particle" : "", "family" : "Bishop", "given" : "J.", "non-dropping-particle" : "", "parse-names" : false, "suffix" : "" }, { "dropping-particle" : "", "family" : "LaPoint", "given" : "L.", "non-dropping-particle" : "", "parse-names" : false, "suffix" : "" }, { "dropping-particle" : "", "family" : "Hoppus", "given" : "M.", "non-dropping-particle" : "", "parse-names" : false, "suffix" : "" }, { "dropping-particle" : "", "family" : "Westfall", "given" : "J.", "non-dropping-particle" : "", "parse-names" : false, "suffix" : "" } ], "id" : "ITEM-1", "issued" : { "date-parts" : [ [ "2013" ] ] }, "publisher" : "ORNL DAAC", "publisher-place" : "Oak Ridge, Tennessee, U.S.A", "title" : "NACP Aboveground Biomass and Carbon Baseline Data, V. 2 (NBCD 2000)", "type" : "article" }, "prefix" : "NBCD;", "uris" : [ "http://www.mendeley.com/documents/?uuid=50dc57ac-a0c6-4207-8b1c-85376429adfd" ] } ], "mendeley" : { "formattedCitation" : "(NBCD; Kellndorfer et al., 2013)", "plainTextFormattedCitation" : "(NBCD; Kellndorfer et al., 2013)", "previouslyFormattedCitation" : "(NBCD; Kellndorfer et al., 2013)" }, "properties" : { "noteIndex" : 0 }, "schema" : "https://github.com/citation-style-language/schema/raw/master/csl-citation.json" }</w:instrText>
      </w:r>
      <w:r w:rsidR="00625E08">
        <w:rPr>
          <w:rFonts w:ascii="Palatino Linotype" w:hAnsi="Palatino Linotype"/>
        </w:rPr>
        <w:fldChar w:fldCharType="separate"/>
      </w:r>
      <w:r w:rsidR="00BF6C71" w:rsidRPr="00BF6C71">
        <w:rPr>
          <w:rFonts w:ascii="Palatino Linotype" w:hAnsi="Palatino Linotype"/>
          <w:noProof/>
        </w:rPr>
        <w:t>(NBCD; Kellndorfer et al., 2013)</w:t>
      </w:r>
      <w:r w:rsidR="00625E08">
        <w:rPr>
          <w:rFonts w:ascii="Palatino Linotype" w:hAnsi="Palatino Linotype"/>
        </w:rPr>
        <w:fldChar w:fldCharType="end"/>
      </w:r>
      <w:r w:rsidR="00444D44">
        <w:rPr>
          <w:rFonts w:ascii="Palatino Linotype" w:hAnsi="Palatino Linotype"/>
        </w:rPr>
        <w:t>as the foundation for our</w:t>
      </w:r>
      <w:r w:rsidR="00444D44" w:rsidRPr="001A3481">
        <w:rPr>
          <w:rFonts w:ascii="Palatino Linotype" w:hAnsi="Palatino Linotype"/>
        </w:rPr>
        <w:t xml:space="preserve"> </w:t>
      </w:r>
      <w:r w:rsidRPr="001A3481">
        <w:rPr>
          <w:rFonts w:ascii="Palatino Linotype" w:hAnsi="Palatino Linotype"/>
        </w:rPr>
        <w:t xml:space="preserve">map </w:t>
      </w:r>
      <w:r w:rsidR="00444D44">
        <w:rPr>
          <w:rFonts w:ascii="Palatino Linotype" w:hAnsi="Palatino Linotype"/>
        </w:rPr>
        <w:t>of</w:t>
      </w:r>
      <w:r w:rsidR="00444D44" w:rsidRPr="001A3481">
        <w:rPr>
          <w:rFonts w:ascii="Palatino Linotype" w:hAnsi="Palatino Linotype"/>
        </w:rPr>
        <w:t xml:space="preserve"> </w:t>
      </w:r>
      <w:r w:rsidRPr="001A3481">
        <w:rPr>
          <w:rFonts w:ascii="Palatino Linotype" w:hAnsi="Palatino Linotype"/>
        </w:rPr>
        <w:t>quantity and distribution of biomass across the state</w:t>
      </w:r>
      <w:r>
        <w:rPr>
          <w:rFonts w:ascii="Palatino Linotype" w:hAnsi="Palatino Linotype"/>
        </w:rPr>
        <w:t>. NBCD</w:t>
      </w:r>
      <w:r w:rsidRPr="005D1846">
        <w:rPr>
          <w:rFonts w:ascii="Palatino Linotype" w:hAnsi="Palatino Linotype"/>
        </w:rPr>
        <w:t xml:space="preserve"> uses </w:t>
      </w:r>
      <w:r w:rsidR="00DE03B4">
        <w:rPr>
          <w:rFonts w:ascii="Palatino Linotype" w:hAnsi="Palatino Linotype"/>
        </w:rPr>
        <w:t xml:space="preserve">SRTM forest canopy height data and </w:t>
      </w:r>
      <w:r w:rsidRPr="005D1846">
        <w:rPr>
          <w:rFonts w:ascii="Palatino Linotype" w:hAnsi="Palatino Linotype"/>
        </w:rPr>
        <w:t>Forest Inventory and Analysis (FIA) county-level forest biomass estimates as the basis of a high-resolution (30m), spatially continuous nationwide map of aboveground biomass (AGB</w:t>
      </w:r>
      <w:r>
        <w:rPr>
          <w:rFonts w:ascii="Palatino Linotype" w:hAnsi="Palatino Linotype"/>
        </w:rPr>
        <w:t xml:space="preserve">) </w:t>
      </w:r>
      <w:r w:rsidRPr="001A3481">
        <w:rPr>
          <w:rFonts w:ascii="Palatino Linotype" w:hAnsi="Palatino Linotype"/>
        </w:rPr>
        <w:t>but NBCD was not designed to specifically characterize urban vegetation.</w:t>
      </w:r>
      <w:r>
        <w:rPr>
          <w:rFonts w:ascii="Palatino Linotype" w:hAnsi="Palatino Linotype"/>
        </w:rPr>
        <w:t xml:space="preserve"> </w:t>
      </w:r>
      <w:r w:rsidR="005D1846" w:rsidRPr="001A3481">
        <w:rPr>
          <w:rFonts w:ascii="Palatino Linotype" w:hAnsi="Palatino Linotype"/>
        </w:rPr>
        <w:t xml:space="preserve">While NBCD biomass estimates are consistent with inventory data at county scales, it tends to overestimate biomass quantity while underestimating vegetation extent in urban areas </w:t>
      </w:r>
      <w:r w:rsidR="001B3508" w:rsidRPr="001A3481">
        <w:rPr>
          <w:rFonts w:ascii="Palatino Linotype" w:hAnsi="Palatino Linotype"/>
          <w:b/>
        </w:rPr>
        <w:fldChar w:fldCharType="begin" w:fldLock="1"/>
      </w:r>
      <w:r w:rsidR="000C0119">
        <w:rPr>
          <w:rFonts w:ascii="Palatino Linotype" w:hAnsi="Palatino Linotype"/>
        </w:rPr>
        <w:instrText>ADDIN CSL_CITATION { "citationItems" : [ { "id" : "ITEM-1", "itemData" : { "DOI" : "10.1016/j.scitotenv.2014.08.070", "ISSN" : "1879-1026", "PMID" : "25217746", "abstract" : "High resolution maps of urban vegetation and biomass are powerful tools for policy-makers and community groups seeking to reduce rates of urban runoff, moderate urban heat island effects, and mitigate the effects of greenhouse gas emissions. We developed a very high resolution map of urban tree biomass, assessed the scale sensitivities in biomass estimation, compared our results with lower resolution estimates, and explored the demographic relationships in biomass distribution across the City of Boston. We integrated remote sensing data (including LiDAR-based tree height estimates) and field-based observations to map canopy cover and aboveground tree carbon storage at ~1m spatial scale. Mean tree canopy cover was estimated to be 25.5\u00b11.5% and carbon storage was 355Gg (28.8MgCha(-1)) for the City of Boston. Tree biomass was highest in forest patches (110.7MgCha(-1)), but residential (32.8MgCha(-1)) and developed open (23.5MgCha(-1)) land uses also contained relatively high carbon stocks. In contrast with previous studies, we did not find significant correlations between tree biomass and the demographic characteristics of Boston neighborhoods, including income, education, race, or population density. The proportion of households that rent was negatively correlated with urban tree biomass (R(2)=0.26, p=0.04) and correlated with Priority Planting Index values (R(2)=0.55, p=0.001), potentially reflecting differences in land management among rented and owner-occupied residential properties. We compared our very high resolution biomass map to lower resolution biomass products from other sources and found that those products consistently underestimated biomass within urban areas. This underestimation became more severe as spatial resolution decreased. This research demonstrates that 1) urban areas contain considerable tree carbon stocks; 2) canopy cover and biomass may not be related to the demographic characteristics of Boston neighborhoods; and 3) that recent advances in high resolution remote sensing have the potential to improve the characterization and management of urban vegetation.", "author" : [ { "dropping-particle" : "", "family" : "Raciti", "given" : "Steve M.", "non-dropping-particle" : "", "parse-names" : false, "suffix" : "" }, { "dropping-particle" : "", "family" : "Hutyra", "given" : "Lucy R.", "non-dropping-particle" : "", "parse-names" : false, "suffix" : "" }, { "dropping-particle" : "", "family" : "Newell", "given" : "Jared D.", "non-dropping-particle" : "", "parse-names" : false, "suffix" : "" } ], "container-title" : "Science of the Total Environment", "id" : "ITEM-1", "issued" : { "date-parts" : [ [ "2014", "12", "1" ] ] }, "page" : "72-83", "publisher" : "Elsevier B.V.", "title" : "Mapping carbon storage in urban trees with multi-source remote sensing data: Relationships between biomass, land use, and demographics in Boston neighborhoods.", "type" : "article-journal", "volume" : "500-501" }, "uris" : [ "http://www.mendeley.com/documents/?uuid=4f9aa60b-f8d1-473a-ba52-0b3132c38138" ] } ], "mendeley" : { "formattedCitation" : "(Raciti et al., 2014)", "plainTextFormattedCitation" : "(Raciti et al., 2014)", "previouslyFormattedCitation" : "(Raciti et al., 2014)" }, "properties" : { "noteIndex" : 0 }, "schema" : "https://github.com/citation-style-language/schema/raw/master/csl-citation.json" }</w:instrText>
      </w:r>
      <w:r w:rsidR="001B3508" w:rsidRPr="001A3481">
        <w:rPr>
          <w:rFonts w:ascii="Palatino Linotype" w:hAnsi="Palatino Linotype"/>
          <w:b/>
        </w:rPr>
        <w:fldChar w:fldCharType="separate"/>
      </w:r>
      <w:r w:rsidR="00BF6C71" w:rsidRPr="00BF6C71">
        <w:rPr>
          <w:rFonts w:ascii="Palatino Linotype" w:hAnsi="Palatino Linotype"/>
          <w:noProof/>
        </w:rPr>
        <w:t>(Raciti et al., 2014)</w:t>
      </w:r>
      <w:r w:rsidR="001B3508" w:rsidRPr="001A3481">
        <w:rPr>
          <w:rFonts w:ascii="Palatino Linotype" w:hAnsi="Palatino Linotype"/>
          <w:b/>
        </w:rPr>
        <w:fldChar w:fldCharType="end"/>
      </w:r>
      <w:r w:rsidR="005D1846" w:rsidRPr="001A3481">
        <w:rPr>
          <w:rFonts w:ascii="Palatino Linotype" w:hAnsi="Palatino Linotype"/>
        </w:rPr>
        <w:t>.  We combined field and remotely sensed data sources to correct this bias.</w:t>
      </w:r>
    </w:p>
    <w:p w14:paraId="4B5411E9" w14:textId="77777777" w:rsidR="00E34398" w:rsidRPr="001A3481" w:rsidRDefault="00E34398" w:rsidP="00B93317">
      <w:pPr>
        <w:spacing w:line="360" w:lineRule="auto"/>
        <w:rPr>
          <w:rFonts w:ascii="Palatino Linotype" w:hAnsi="Palatino Linotype"/>
        </w:rPr>
      </w:pPr>
    </w:p>
    <w:p w14:paraId="733FFB72" w14:textId="03E1CB0D" w:rsidR="00E34398" w:rsidRDefault="00E34398" w:rsidP="00B64FB7">
      <w:pPr>
        <w:spacing w:line="360" w:lineRule="auto"/>
        <w:rPr>
          <w:rFonts w:ascii="Palatino Linotype" w:hAnsi="Palatino Linotype"/>
        </w:rPr>
      </w:pPr>
      <w:r w:rsidRPr="004F77C0">
        <w:rPr>
          <w:rFonts w:ascii="Palatino Linotype" w:hAnsi="Palatino Linotype"/>
        </w:rPr>
        <w:t>Field plots (</w:t>
      </w:r>
      <w:r w:rsidRPr="004F77C0">
        <w:rPr>
          <w:rFonts w:ascii="Palatino Linotype" w:hAnsi="Palatino Linotype"/>
          <w:i/>
        </w:rPr>
        <w:t>n</w:t>
      </w:r>
      <w:r w:rsidRPr="004F77C0">
        <w:rPr>
          <w:rFonts w:ascii="Palatino Linotype" w:hAnsi="Palatino Linotype"/>
        </w:rPr>
        <w:t xml:space="preserve">=299) were established in 2010 in two transects extending from downtown Boston westward into rural portions of the state </w:t>
      </w:r>
      <w:r w:rsidR="001B3508">
        <w:rPr>
          <w:rFonts w:ascii="Palatino Linotype" w:hAnsi="Palatino Linotype"/>
        </w:rPr>
        <w:fldChar w:fldCharType="begin" w:fldLock="1"/>
      </w:r>
      <w:r w:rsidR="000C0119">
        <w:rPr>
          <w:rFonts w:ascii="Palatino Linotype" w:hAnsi="Palatino Linotype"/>
        </w:rPr>
        <w:instrText>ADDIN CSL_CITATION { "citationItems" : [ { "id" : "ITEM-1", "itemData" : { "DOI" : "10.1890/11-1250.1", "ISBN" : "1051-0761", "ISSN" : "10510761", "PMID" : "22645829", "abstract" : "There is conflicting evidence about the importance of urban soils and vegetation in regional C budgets that is caused, in part, by inconsistent definitions of \"urban\" land use. We quantified urban ecosystem contributions to C stocks in the Boston (Massachusetts, USA) Metropolitan Statistical Area (MSA) using several alternative urban definitions. Development altered aboveground and belowground C and N stocks, and the sign and magnitude of these changes varied by land use and development intensity. Aboveground biomass (live trees, dbh &gt; or = 5 cm) for the MSA was 7.2 +/- 0.4 kg C/m2 (mean +/- SE), reflecting a high proportion of forest cover. Vegetation C was highest in forest (11.6 +/- 0.5 kg C/m2), followed by residential (4.6 +/- 0.5 kg C/m2), and then other developed (2.0 +/- 0.4 kg C/m2) land uses. Soil C (0-10 cm depth) followed the same pattern of decreasing C concentration from forest, to residential, to other developed land uses (4.1 +/- 0.1, 4.0 +/- 0.2, and 3.3 +/- 0.2 kg C/m2, respectively). Within a land use type, urban areas (which we defined as &gt; 25% impervious surface area [ISA] within a 1-km(2) moving window) generally contained less vegetation C, but slightly more soil C, than nonurban areas. Soil N concentrations were higher in urban areas than nonurban areas of the same land use type, except for residential areas, which had similarly high soil N concentrations. When we compared our definition of urban to other commonly used urban extents (U.S. Census Bureau, Global Rural-Urban Mapping Project [GRUMP], and the MSA itself), we found that urban soil (1 m depth) and vegetation C stocks spanned a wide range, from 14.4 +/- 0.8 to 54.5 +/- 3.4 Tg C and from 4.2 +/- 0.4 to 27.3 +/- 3.2 Tg C, respectively. Conclusions about the importance of urban soils and vegetation to regional C and N stocks are very sensitive to the definition of urban used by the investigators. Urban areas, regardless of definition, are rapidly expanding in their extent; a systematic understanding of how our development patterns influence ecosystems is necessary to inform future development choices.", "author" : [ { "dropping-particle" : "", "family" : "Raciti", "given" : "Steve M.", "non-dropping-particle" : "", "parse-names" : false, "suffix" : "" }, { "dropping-particle" : "", "family" : "Hutyra", "given" : "Lucy R.", "non-dropping-particle" : "", "parse-names" : false, "suffix" : "" }, { "dropping-particle" : "", "family" : "Rao", "given" : "Preeti", "non-dropping-particle" : "", "parse-names" : false, "suffix" : "" }, { "dropping-particle" : "", "family" : "Finzi", "given" : "Adrien C.", "non-dropping-particle" : "", "parse-names" : false, "suffix" : "" } ], "container-title" : "Ecological Applications", "id" : "ITEM-1", "issue" : "3", "issued" : { "date-parts" : [ [ "2012" ] ] }, "page" : "1015-1035", "title" : "Inconsistent definitions of \"urban\" result in different conclusions about the size of urban carbon and nitrogen stocks", "type" : "article-journal", "volume" : "22" }, "uris" : [ "http://www.mendeley.com/documents/?uuid=0c1d9db6-a8f4-4c20-9b5a-501459f79591" ] } ], "mendeley" : { "formattedCitation" : "(Raciti et al., 2012b)", "plainTextFormattedCitation" : "(Raciti et al., 2012b)", "previouslyFormattedCitation" : "(Raciti et al., 2012b)" }, "properties" : { "noteIndex" : 0 }, "schema" : "https://github.com/citation-style-language/schema/raw/master/csl-citation.json" }</w:instrText>
      </w:r>
      <w:r w:rsidR="001B3508">
        <w:rPr>
          <w:rFonts w:ascii="Palatino Linotype" w:hAnsi="Palatino Linotype"/>
        </w:rPr>
        <w:fldChar w:fldCharType="separate"/>
      </w:r>
      <w:r w:rsidR="00BF6C71" w:rsidRPr="00BF6C71">
        <w:rPr>
          <w:rFonts w:ascii="Palatino Linotype" w:hAnsi="Palatino Linotype"/>
          <w:noProof/>
        </w:rPr>
        <w:t>(Raciti et al., 2012b)</w:t>
      </w:r>
      <w:r w:rsidR="001B3508">
        <w:rPr>
          <w:rFonts w:ascii="Palatino Linotype" w:hAnsi="Palatino Linotype"/>
        </w:rPr>
        <w:fldChar w:fldCharType="end"/>
      </w:r>
      <w:r>
        <w:rPr>
          <w:rFonts w:ascii="Palatino Linotype" w:hAnsi="Palatino Linotype"/>
        </w:rPr>
        <w:t xml:space="preserve">, supplemented by additional plots </w:t>
      </w:r>
      <w:r w:rsidRPr="004F77C0">
        <w:rPr>
          <w:rFonts w:ascii="Palatino Linotype" w:hAnsi="Palatino Linotype"/>
        </w:rPr>
        <w:t>in areas surrounding the city of Boston</w:t>
      </w:r>
      <w:r>
        <w:rPr>
          <w:rFonts w:ascii="Palatino Linotype" w:hAnsi="Palatino Linotype"/>
        </w:rPr>
        <w:t xml:space="preserve"> in 2013 </w:t>
      </w:r>
      <w:r w:rsidR="001B3508">
        <w:rPr>
          <w:rFonts w:ascii="Palatino Linotype" w:hAnsi="Palatino Linotype"/>
        </w:rPr>
        <w:fldChar w:fldCharType="begin" w:fldLock="1"/>
      </w:r>
      <w:r w:rsidR="000C0119">
        <w:rPr>
          <w:rFonts w:ascii="Palatino Linotype" w:hAnsi="Palatino Linotype"/>
        </w:rPr>
        <w:instrText>ADDIN CSL_CITATION { "citationItems" : [ { "id" : "ITEM-1", "itemData" : { "DOI" : "10.1371/journal.pone.0136237", "ISSN" : "1932-6203", "author" : [ { "dropping-particle" : "", "family" : "Briber", "given" : "Brittain M.", "non-dropping-particle" : "", "parse-names" : false, "suffix" : "" }, { "dropping-particle" : "", "family" : "Hutyra", "given" : "Lucy R.", "non-dropping-particle" : "", "parse-names" : false, "suffix" : "" }, { "dropping-particle" : "", "family" : "Reinmann", "given" : "Andrew B.", "non-dropping-particle" : "", "parse-names" : false, "suffix" : "" }, { "dropping-particle" : "", "family" : "Raciti", "given" : "Steve M.", "non-dropping-particle" : "", "parse-names" : false, "suffix" : "" }, { "dropping-particle" : "", "family" : "Dearborn", "given" : "Victoria K.", "non-dropping-particle" : "", "parse-names" : false, "suffix" : "" }, { "dropping-particle" : "", "family" : "Holden", "given" : "Christopher E.", "non-dropping-particle" : "", "parse-names" : false, "suffix" : "" }, { "dropping-particle" : "", "family" : "Dunn", "given" : "Allison L.", "non-dropping-particle" : "", "parse-names" : false, "suffix" : "" } ], "container-title" : "Plos One", "id" : "ITEM-1", "issue" : "8", "issued" : { "date-parts" : [ [ "2015" ] ] }, "page" : "e0136237", "title" : "Tree Productivity Enhanced with Conversion from Forest to Urban Land Covers", "type" : "article-journal", "volume" : "10" }, "uris" : [ "http://www.mendeley.com/documents/?uuid=86115d03-2e91-4ebf-877b-04975096d6e9" ] } ], "mendeley" : { "formattedCitation" : "(Briber et al., 2015)", "plainTextFormattedCitation" : "(Briber et al., 2015)", "previouslyFormattedCitation" : "(Briber et al., 2015)" }, "properties" : { "noteIndex" : 0 }, "schema" : "https://github.com/citation-style-language/schema/raw/master/csl-citation.json" }</w:instrText>
      </w:r>
      <w:r w:rsidR="001B3508">
        <w:rPr>
          <w:rFonts w:ascii="Palatino Linotype" w:hAnsi="Palatino Linotype"/>
        </w:rPr>
        <w:fldChar w:fldCharType="separate"/>
      </w:r>
      <w:r w:rsidR="00BF6C71" w:rsidRPr="00BF6C71">
        <w:rPr>
          <w:rFonts w:ascii="Palatino Linotype" w:hAnsi="Palatino Linotype"/>
          <w:noProof/>
        </w:rPr>
        <w:t>(Briber et al., 2015)</w:t>
      </w:r>
      <w:r w:rsidR="001B3508">
        <w:rPr>
          <w:rFonts w:ascii="Palatino Linotype" w:hAnsi="Palatino Linotype"/>
        </w:rPr>
        <w:fldChar w:fldCharType="end"/>
      </w:r>
      <w:r>
        <w:rPr>
          <w:rFonts w:ascii="Palatino Linotype" w:hAnsi="Palatino Linotype"/>
        </w:rPr>
        <w:t>.</w:t>
      </w:r>
      <w:r w:rsidR="001A3481">
        <w:rPr>
          <w:rFonts w:ascii="Palatino Linotype" w:hAnsi="Palatino Linotype"/>
        </w:rPr>
        <w:t xml:space="preserve"> Field-based measurements of AGB were compared to</w:t>
      </w:r>
      <w:r w:rsidR="00DF6C60">
        <w:rPr>
          <w:rFonts w:ascii="Palatino Linotype" w:hAnsi="Palatino Linotype"/>
        </w:rPr>
        <w:t xml:space="preserve"> two</w:t>
      </w:r>
      <w:r w:rsidR="001A3481">
        <w:rPr>
          <w:rFonts w:ascii="Palatino Linotype" w:hAnsi="Palatino Linotype"/>
        </w:rPr>
        <w:t xml:space="preserve"> remote sensing-derived metrics of vegetation quantity and extent: enhanced vegetation index (EVI) and the 2011 National Land Cover Database</w:t>
      </w:r>
      <w:r w:rsidR="001A3481" w:rsidRPr="004F77C0">
        <w:rPr>
          <w:rFonts w:ascii="Palatino Linotype" w:hAnsi="Palatino Linotype"/>
        </w:rPr>
        <w:t xml:space="preserve"> </w:t>
      </w:r>
      <w:r w:rsidR="00625E08">
        <w:rPr>
          <w:rFonts w:ascii="Palatino Linotype" w:hAnsi="Palatino Linotype"/>
        </w:rPr>
        <w:fldChar w:fldCharType="begin" w:fldLock="1"/>
      </w:r>
      <w:r w:rsidR="000C0119">
        <w:rPr>
          <w:rFonts w:ascii="Palatino Linotype" w:hAnsi="Palatino Linotype"/>
        </w:rPr>
        <w:instrText>ADDIN CSL_CITATION { "citationItems" : [ { "id" : "ITEM-1", "itemData" : { "author" : [ { "dropping-particle" : "", "family" : "Homer", "given" : "C.G.", "non-dropping-particle" : "", "parse-names" : false, "suffix" : "" }, { "dropping-particle" : "", "family" : "Dewitz", "given" : "J.A.", "non-dropping-particle" : "", "parse-names" : false, "suffix" : "" }, { "dropping-particle" : "", "family" : "Yang", "given" : "L.", "non-dropping-particle" : "", "parse-names" : false, "suffix" : "" }, { "dropping-particle" : "", "family" : "Jin", "given" : "S.", "non-dropping-particle" : "", "parse-names" : false, "suffix" : "" }, { "dropping-particle" : "", "family" : "Danielson", "given" : "P.", "non-dropping-particle" : "", "parse-names" : false, "suffix" : "" }, { "dropping-particle" : "", "family" : "Xian", "given" : "G.", "non-dropping-particle" : "", "parse-names" : false, "suffix" : "" }, { "dropping-particle" : "", "family" : "Coulston", "given" : "J.", "non-dropping-particle" : "", "parse-names" : false, "suffix" : "" }, { "dropping-particle" : "", "family" : "Herold", "given" : "N.D.", "non-dropping-particle" : "", "parse-names" : false, "suffix" : "" }, { "dropping-particle" : "", "family" : "Wickham", "given" : "J.D.", "non-dropping-particle" : "", "parse-names" : false, "suffix" : "" }, { "dropping-particle" : "", "family" : "Megown", "given" : "K.", "non-dropping-particle" : "", "parse-names" : false, "suffix" : "" } ], "container-title" : "Photogrammetric Engineering and Remote Sensing", "id" : "ITEM-1", "issue" : "5", "issued" : { "date-parts" : [ [ "2015" ] ] }, "page" : "345-354", "title" : "Completion of the 2011 National Land Cover Database for the conterminous United States-Representing a decade of land cover change information", "type" : "article-journal", "volume" : "81" }, "prefix" : "NLCD;", "uris" : [ "http://www.mendeley.com/documents/?uuid=8a142662-1527-41aa-a678-14fced854968" ] } ], "mendeley" : { "formattedCitation" : "(NLCD; Homer et al., 2015)", "plainTextFormattedCitation" : "(NLCD; Homer et al., 2015)", "previouslyFormattedCitation" : "(NLCD; Homer et al., 2015)" }, "properties" : { "noteIndex" : 0 }, "schema" : "https://github.com/citation-style-language/schema/raw/master/csl-citation.json" }</w:instrText>
      </w:r>
      <w:r w:rsidR="00625E08">
        <w:rPr>
          <w:rFonts w:ascii="Palatino Linotype" w:hAnsi="Palatino Linotype"/>
        </w:rPr>
        <w:fldChar w:fldCharType="separate"/>
      </w:r>
      <w:r w:rsidR="00BF6C71" w:rsidRPr="00BF6C71">
        <w:rPr>
          <w:rFonts w:ascii="Palatino Linotype" w:hAnsi="Palatino Linotype"/>
          <w:noProof/>
        </w:rPr>
        <w:t>(NLCD; Homer et al., 2015)</w:t>
      </w:r>
      <w:r w:rsidR="00625E08">
        <w:rPr>
          <w:rFonts w:ascii="Palatino Linotype" w:hAnsi="Palatino Linotype"/>
        </w:rPr>
        <w:fldChar w:fldCharType="end"/>
      </w:r>
      <w:r w:rsidR="00625E08">
        <w:rPr>
          <w:rFonts w:ascii="Palatino Linotype" w:hAnsi="Palatino Linotype"/>
        </w:rPr>
        <w:t xml:space="preserve"> </w:t>
      </w:r>
      <w:r w:rsidR="001A3481" w:rsidRPr="004F77C0">
        <w:rPr>
          <w:rFonts w:ascii="Palatino Linotype" w:hAnsi="Palatino Linotype"/>
        </w:rPr>
        <w:t xml:space="preserve">30m </w:t>
      </w:r>
      <w:r w:rsidR="001A3481">
        <w:rPr>
          <w:rFonts w:ascii="Palatino Linotype" w:hAnsi="Palatino Linotype"/>
        </w:rPr>
        <w:t xml:space="preserve">forest canopy cover </w:t>
      </w:r>
      <w:r w:rsidR="001A3481" w:rsidRPr="004F77C0">
        <w:rPr>
          <w:rFonts w:ascii="Palatino Linotype" w:hAnsi="Palatino Linotype"/>
        </w:rPr>
        <w:t>layer</w:t>
      </w:r>
      <w:r w:rsidR="001A3481">
        <w:rPr>
          <w:rFonts w:ascii="Palatino Linotype" w:hAnsi="Palatino Linotype"/>
        </w:rPr>
        <w:t xml:space="preserve"> (cartographic version). </w:t>
      </w:r>
      <w:r>
        <w:rPr>
          <w:rFonts w:ascii="Palatino Linotype" w:hAnsi="Palatino Linotype"/>
        </w:rPr>
        <w:t>G</w:t>
      </w:r>
      <w:r w:rsidRPr="004F77C0">
        <w:rPr>
          <w:rFonts w:ascii="Palatino Linotype" w:hAnsi="Palatino Linotype"/>
        </w:rPr>
        <w:t xml:space="preserve">rowing season (June-August) mean EVI for 2011 </w:t>
      </w:r>
      <w:r>
        <w:rPr>
          <w:rFonts w:ascii="Palatino Linotype" w:hAnsi="Palatino Linotype"/>
        </w:rPr>
        <w:t xml:space="preserve">was calculated for each field plot using </w:t>
      </w:r>
      <w:r w:rsidRPr="004F77C0">
        <w:rPr>
          <w:rFonts w:ascii="Palatino Linotype" w:hAnsi="Palatino Linotype"/>
        </w:rPr>
        <w:t>atmospherically co</w:t>
      </w:r>
      <w:r>
        <w:rPr>
          <w:rFonts w:ascii="Palatino Linotype" w:hAnsi="Palatino Linotype"/>
        </w:rPr>
        <w:t>rrected and cloud screened Landsat</w:t>
      </w:r>
      <w:r w:rsidRPr="004F77C0">
        <w:rPr>
          <w:rFonts w:ascii="Palatino Linotype" w:hAnsi="Palatino Linotype"/>
        </w:rPr>
        <w:t xml:space="preserve"> ETM</w:t>
      </w:r>
      <w:r>
        <w:rPr>
          <w:rFonts w:ascii="Palatino Linotype" w:hAnsi="Palatino Linotype"/>
        </w:rPr>
        <w:t>+</w:t>
      </w:r>
      <w:r w:rsidRPr="004F77C0">
        <w:rPr>
          <w:rFonts w:ascii="Palatino Linotype" w:hAnsi="Palatino Linotype"/>
        </w:rPr>
        <w:t xml:space="preserve"> imagery.</w:t>
      </w:r>
    </w:p>
    <w:p w14:paraId="789E4284" w14:textId="77777777" w:rsidR="00E34398" w:rsidRDefault="00E34398">
      <w:pPr>
        <w:spacing w:line="360" w:lineRule="auto"/>
        <w:rPr>
          <w:rFonts w:ascii="Palatino Linotype" w:hAnsi="Palatino Linotype"/>
        </w:rPr>
      </w:pPr>
    </w:p>
    <w:p w14:paraId="6A6AB6C4" w14:textId="77777777" w:rsidR="00E34398" w:rsidRDefault="00E34398">
      <w:pPr>
        <w:spacing w:line="360" w:lineRule="auto"/>
        <w:rPr>
          <w:rFonts w:ascii="Palatino Linotype" w:hAnsi="Palatino Linotype"/>
        </w:rPr>
      </w:pPr>
      <w:r>
        <w:rPr>
          <w:rFonts w:ascii="Palatino Linotype" w:hAnsi="Palatino Linotype"/>
        </w:rPr>
        <w:t xml:space="preserve">Candidate models to estimate urban biomass were based on relationships between plot AGB and six covariates (NLCD canopy, NLCD land cover, a state-level map of land cover, EVI, and ISA) evaluated singly and in combination. Further, land cover classes in each land cover variable were grouped in several alternate permutations and added to candidate models. Model fit was evaluated on the basis of goodness of fit and corrected </w:t>
      </w:r>
      <w:r w:rsidRPr="00F73945">
        <w:rPr>
          <w:rFonts w:ascii="Palatino Linotype" w:hAnsi="Palatino Linotype"/>
        </w:rPr>
        <w:t xml:space="preserve">Akaike </w:t>
      </w:r>
      <w:r w:rsidRPr="00D14978">
        <w:rPr>
          <w:rFonts w:ascii="Palatino Linotype" w:hAnsi="Palatino Linotype"/>
        </w:rPr>
        <w:t xml:space="preserve">Information Criterion. The best model was </w:t>
      </w:r>
      <w:r>
        <w:rPr>
          <w:rFonts w:ascii="Palatino Linotype" w:hAnsi="Palatino Linotype"/>
        </w:rPr>
        <w:t xml:space="preserve">then </w:t>
      </w:r>
      <w:r w:rsidRPr="00D14978">
        <w:rPr>
          <w:rFonts w:ascii="Palatino Linotype" w:hAnsi="Palatino Linotype"/>
        </w:rPr>
        <w:t>used to estimate biomass (</w:t>
      </w:r>
      <w:r w:rsidRPr="00D14978">
        <w:rPr>
          <w:rFonts w:ascii="Palatino Linotype" w:hAnsi="Palatino Linotype"/>
          <w:i/>
        </w:rPr>
        <w:t>B</w:t>
      </w:r>
      <w:r w:rsidRPr="00D14978">
        <w:rPr>
          <w:rFonts w:ascii="Palatino Linotype" w:hAnsi="Palatino Linotype"/>
        </w:rPr>
        <w:t>;</w:t>
      </w:r>
      <w:r>
        <w:rPr>
          <w:rFonts w:ascii="Palatino Linotype" w:hAnsi="Palatino Linotype"/>
        </w:rPr>
        <w:t xml:space="preserve"> MgC ha</w:t>
      </w:r>
      <w:r w:rsidRPr="00D14978">
        <w:rPr>
          <w:rFonts w:ascii="Palatino Linotype" w:hAnsi="Palatino Linotype"/>
          <w:vertAlign w:val="superscript"/>
        </w:rPr>
        <w:t>-1</w:t>
      </w:r>
      <w:r>
        <w:rPr>
          <w:rFonts w:ascii="Palatino Linotype" w:hAnsi="Palatino Linotype"/>
        </w:rPr>
        <w:t>) as</w:t>
      </w:r>
    </w:p>
    <w:p w14:paraId="4A72A28C" w14:textId="77777777" w:rsidR="00FC58B4" w:rsidRDefault="00FC58B4">
      <w:pPr>
        <w:spacing w:line="360" w:lineRule="auto"/>
        <w:rPr>
          <w:rFonts w:ascii="Palatino Linotype" w:hAnsi="Palatino Linotype"/>
        </w:rPr>
      </w:pPr>
    </w:p>
    <w:p w14:paraId="1AF25DF0" w14:textId="2C095A7B" w:rsidR="00E34398" w:rsidRPr="00FC58B4" w:rsidRDefault="00E34398" w:rsidP="00E0089D">
      <w:pPr>
        <w:spacing w:line="360" w:lineRule="auto"/>
        <w:jc w:val="right"/>
        <w:rPr>
          <w:rFonts w:ascii="Palatino Linotype" w:hAnsi="Palatino Linotype"/>
        </w:rPr>
      </w:pPr>
      <m:oMath>
        <m:r>
          <w:rPr>
            <w:rFonts w:ascii="Cambria Math" w:hAnsi="Cambria Math"/>
          </w:rPr>
          <m:t>B=</m:t>
        </m:r>
        <m:sSup>
          <m:sSupPr>
            <m:ctrlPr>
              <w:rPr>
                <w:rFonts w:ascii="Cambria Math" w:hAnsi="Cambria Math"/>
                <w:i/>
              </w:rPr>
            </m:ctrlPr>
          </m:sSupPr>
          <m:e>
            <m:r>
              <w:rPr>
                <w:rFonts w:ascii="Cambria Math" w:hAnsi="Cambria Math"/>
              </w:rPr>
              <m:t>10</m:t>
            </m:r>
          </m:e>
          <m:sup>
            <m:r>
              <w:rPr>
                <w:rFonts w:ascii="Cambria Math" w:hAnsi="Cambria Math"/>
              </w:rPr>
              <m:t>0.03+0.02*C+3.07*E</m:t>
            </m:r>
          </m:sup>
        </m:sSup>
      </m:oMath>
      <w:r w:rsidR="008D7573">
        <w:rPr>
          <w:rFonts w:ascii="Palatino Linotype" w:hAnsi="Palatino Linotype"/>
        </w:rPr>
        <w:t xml:space="preserve">                                         SI Eqn. 1</w:t>
      </w:r>
    </w:p>
    <w:p w14:paraId="7B863447" w14:textId="77777777" w:rsidR="00FC58B4" w:rsidRDefault="00FC58B4" w:rsidP="00D66021">
      <w:pPr>
        <w:spacing w:line="360" w:lineRule="auto"/>
        <w:jc w:val="center"/>
        <w:rPr>
          <w:rFonts w:ascii="Palatino Linotype" w:hAnsi="Palatino Linotype"/>
        </w:rPr>
      </w:pPr>
    </w:p>
    <w:p w14:paraId="31E11174" w14:textId="49361863" w:rsidR="00BF1BDE" w:rsidRDefault="00E34398" w:rsidP="00D66021">
      <w:pPr>
        <w:spacing w:line="360" w:lineRule="auto"/>
        <w:rPr>
          <w:rFonts w:ascii="Palatino Linotype" w:hAnsi="Palatino Linotype"/>
          <w:bCs/>
          <w:kern w:val="32"/>
          <w:szCs w:val="24"/>
        </w:rPr>
      </w:pPr>
      <w:r w:rsidRPr="00E34398">
        <w:rPr>
          <w:rFonts w:ascii="Palatino Linotype" w:hAnsi="Palatino Linotype"/>
        </w:rPr>
        <w:t xml:space="preserve">where </w:t>
      </w:r>
      <w:r w:rsidRPr="00E34398">
        <w:rPr>
          <w:rFonts w:ascii="Palatino Linotype" w:hAnsi="Palatino Linotype"/>
          <w:i/>
        </w:rPr>
        <w:t xml:space="preserve">C </w:t>
      </w:r>
      <w:r w:rsidRPr="00E34398">
        <w:rPr>
          <w:rFonts w:ascii="Palatino Linotype" w:hAnsi="Palatino Linotype"/>
        </w:rPr>
        <w:t xml:space="preserve">is percent forest canopy and </w:t>
      </w:r>
      <w:r w:rsidRPr="00E34398">
        <w:rPr>
          <w:rFonts w:ascii="Palatino Linotype" w:hAnsi="Palatino Linotype"/>
          <w:i/>
        </w:rPr>
        <w:t>E</w:t>
      </w:r>
      <w:r w:rsidRPr="00E34398">
        <w:rPr>
          <w:rFonts w:ascii="Palatino Linotype" w:hAnsi="Palatino Linotype"/>
        </w:rPr>
        <w:t xml:space="preserve"> is EVI (model adjusted </w:t>
      </w:r>
      <w:r w:rsidRPr="00E34398">
        <w:rPr>
          <w:rFonts w:ascii="Palatino Linotype" w:hAnsi="Palatino Linotype"/>
          <w:i/>
        </w:rPr>
        <w:t>R</w:t>
      </w:r>
      <w:r w:rsidRPr="00E34398">
        <w:rPr>
          <w:rFonts w:ascii="Palatino Linotype" w:hAnsi="Palatino Linotype"/>
          <w:i/>
          <w:vertAlign w:val="superscript"/>
        </w:rPr>
        <w:t>2</w:t>
      </w:r>
      <w:r w:rsidRPr="00E34398">
        <w:rPr>
          <w:rFonts w:ascii="Palatino Linotype" w:hAnsi="Palatino Linotype"/>
        </w:rPr>
        <w:t xml:space="preserve">=0.51, </w:t>
      </w:r>
      <w:r w:rsidRPr="00E34398">
        <w:rPr>
          <w:rFonts w:ascii="Palatino Linotype" w:hAnsi="Palatino Linotype"/>
          <w:i/>
        </w:rPr>
        <w:t>p</w:t>
      </w:r>
      <w:r w:rsidRPr="00E34398">
        <w:rPr>
          <w:rFonts w:ascii="Palatino Linotype" w:hAnsi="Palatino Linotype"/>
        </w:rPr>
        <w:t xml:space="preserve">&lt;0.01). An alternate model which used normalized difference vegetation index (NDVI) instead of EVI performed similarly but EVI was chosen since it is less prone to saturation over areas with high leaf area than NDVI </w:t>
      </w:r>
      <w:r w:rsidR="001B3508" w:rsidRPr="00E34398">
        <w:rPr>
          <w:rFonts w:ascii="Palatino Linotype" w:hAnsi="Palatino Linotype"/>
        </w:rPr>
        <w:fldChar w:fldCharType="begin" w:fldLock="1"/>
      </w:r>
      <w:r w:rsidR="000C0119">
        <w:rPr>
          <w:rFonts w:ascii="Palatino Linotype" w:hAnsi="Palatino Linotype"/>
        </w:rPr>
        <w:instrText>ADDIN CSL_CITATION { "citationItems" : [ { "id" : "ITEM-1", "itemData" : { "DOI" : "10.1016/S0034-4257(02)00096-2", "ISBN" : "0034-4257", "ISSN" : "00344257", "PMID" : "22129206", "abstract" : "We evaluated the initial 12 months of vegetation index product availability from the Moderate Resolution Imaging Spectroradiometer (MODIS) on board the Earth Observing System-Terra platform. Two MODIS vegetation indices (VI), the normalized difference vegetation index (NDVI) and enhanced vegetation index (EVI), are produced at 1-km and 500-m resolutions and 16-day compositing periods. This paper presents an initial analysis of the MODIS NDVI and EVI performance from both radiometric and biophysical perspectives. We utilize a combination of site-intensive and regionally extensive approaches to demonstrate the performance and validity of the two indices. Our results showed a good correspondence between airborne-measured, top-of-canopy reflectances and VI values with those from the MODIS sensor at four intensively measured test sites representing semi-arid grass/shrub, savanna, and tropical forest biomes. Simultaneously derived field biophysical measures also demonstrated the scientific utility of the MODIS VI. Multitemporal profiles of the MODIS VIs over numerous biome types in North and South America well represented their seasonal phenologies. Comparisons of the MODIS-NDVI with the NOAA-14, 1-km AVHRR-NDVI temporal profiles showed that the MODIS-based index performed with higher fidelity. The dynamic range of the MODIS VIs are presented and their sensitivities in discriminating vegetation differences are evaluated in sparse and dense vegetation areas. We found the NDVI to asymptotically saturate in high biomass regions such as in the Amazon while the EVI remained sensitive to canopy variations. ?? 2002 Elsevier Science Inc. All rights reserved.", "author" : [ { "dropping-particle" : "", "family" : "Huete", "given" : "A", "non-dropping-particle" : "", "parse-names" : false, "suffix" : "" }, { "dropping-particle" : "", "family" : "Didan", "given" : "K", "non-dropping-particle" : "", "parse-names" : false, "suffix" : "" }, { "dropping-particle" : "", "family" : "Miura", "given" : "T", "non-dropping-particle" : "", "parse-names" : false, "suffix" : "" }, { "dropping-particle" : "", "family" : "Rodriguez", "given" : "E P", "non-dropping-particle" : "", "parse-names" : false, "suffix" : "" }, { "dropping-particle" : "", "family" : "Gao", "given" : "X", "non-dropping-particle" : "", "parse-names" : false, "suffix" : "" }, { "dropping-particle" : "", "family" : "Ferreira", "given" : "L G", "non-dropping-particle" : "", "parse-names" : false, "suffix" : "" } ], "container-title" : "Remote Sensing of Environment", "id" : "ITEM-1", "issued" : { "date-parts" : [ [ "2002" ] ] }, "page" : "195-213", "title" : "Overview of the radiometric and biophysical performance of the MODIS vegetation indices", "type" : "article-journal", "volume" : "83" }, "uris" : [ "http://www.mendeley.com/documents/?uuid=07535e13-fa8e-48a2-9bc1-15e5439c2308" ] } ], "mendeley" : { "formattedCitation" : "(Huete et al., 2002)", "plainTextFormattedCitation" : "(Huete et al., 2002)", "previouslyFormattedCitation" : "(Huete et al., 2002)" }, "properties" : { "noteIndex" : 0 }, "schema" : "https://github.com/citation-style-language/schema/raw/master/csl-citation.json" }</w:instrText>
      </w:r>
      <w:r w:rsidR="001B3508" w:rsidRPr="00E34398">
        <w:rPr>
          <w:rFonts w:ascii="Palatino Linotype" w:hAnsi="Palatino Linotype"/>
        </w:rPr>
        <w:fldChar w:fldCharType="separate"/>
      </w:r>
      <w:r w:rsidR="00BF6C71" w:rsidRPr="00BF6C71">
        <w:rPr>
          <w:rFonts w:ascii="Palatino Linotype" w:hAnsi="Palatino Linotype"/>
          <w:noProof/>
        </w:rPr>
        <w:t>(Huete et al., 2002)</w:t>
      </w:r>
      <w:r w:rsidR="001B3508" w:rsidRPr="00E34398">
        <w:rPr>
          <w:rFonts w:ascii="Palatino Linotype" w:hAnsi="Palatino Linotype"/>
        </w:rPr>
        <w:fldChar w:fldCharType="end"/>
      </w:r>
      <w:r w:rsidRPr="00E34398">
        <w:rPr>
          <w:rFonts w:ascii="Palatino Linotype" w:hAnsi="Palatino Linotype"/>
        </w:rPr>
        <w:t xml:space="preserve">. To avoid out of sample issues, EVI values greater than the range observed at any of our </w:t>
      </w:r>
      <w:r w:rsidRPr="00E34398">
        <w:rPr>
          <w:rFonts w:ascii="Palatino Linotype" w:hAnsi="Palatino Linotype"/>
        </w:rPr>
        <w:lastRenderedPageBreak/>
        <w:t xml:space="preserve">field sites were replaced with the mean EVI value for the state. </w:t>
      </w:r>
      <w:r w:rsidR="00E92D4C">
        <w:rPr>
          <w:rFonts w:ascii="Palatino Linotype" w:hAnsi="Palatino Linotype"/>
        </w:rPr>
        <w:t>If n</w:t>
      </w:r>
      <w:r w:rsidR="00B30CD7">
        <w:rPr>
          <w:rFonts w:ascii="Palatino Linotype" w:hAnsi="Palatino Linotype"/>
        </w:rPr>
        <w:t>ot replac</w:t>
      </w:r>
      <w:r w:rsidR="00E92D4C">
        <w:rPr>
          <w:rFonts w:ascii="Palatino Linotype" w:hAnsi="Palatino Linotype"/>
        </w:rPr>
        <w:t>ed,</w:t>
      </w:r>
      <w:r w:rsidR="00B30CD7">
        <w:rPr>
          <w:rFonts w:ascii="Palatino Linotype" w:hAnsi="Palatino Linotype"/>
        </w:rPr>
        <w:t xml:space="preserve"> these values </w:t>
      </w:r>
      <w:r w:rsidR="00E92D4C">
        <w:rPr>
          <w:rFonts w:ascii="Palatino Linotype" w:hAnsi="Palatino Linotype"/>
        </w:rPr>
        <w:t>produced</w:t>
      </w:r>
      <w:r w:rsidR="00B30CD7">
        <w:rPr>
          <w:rFonts w:ascii="Palatino Linotype" w:hAnsi="Palatino Linotype"/>
        </w:rPr>
        <w:t xml:space="preserve"> in unrealistically high predicted biomass values. </w:t>
      </w:r>
      <w:r w:rsidRPr="00E34398">
        <w:rPr>
          <w:rFonts w:ascii="Palatino Linotype" w:hAnsi="Palatino Linotype"/>
        </w:rPr>
        <w:t>This approach is conservative because it will tend to pull estimated AGB values toward the regional mean. This change affected 10.7% of pixels corresponding to 2,277.5 km</w:t>
      </w:r>
      <w:r w:rsidRPr="00E34398">
        <w:rPr>
          <w:rFonts w:ascii="Palatino Linotype" w:hAnsi="Palatino Linotype"/>
          <w:vertAlign w:val="superscript"/>
        </w:rPr>
        <w:t>2</w:t>
      </w:r>
      <w:r w:rsidRPr="00E34398">
        <w:rPr>
          <w:rFonts w:ascii="Palatino Linotype" w:hAnsi="Palatino Linotype"/>
        </w:rPr>
        <w:t>, only 2.5% of which were located in urban areas for which we estimate biomass with this approach. A similar correction for NLCD canopy was unnecessary.</w:t>
      </w:r>
      <w:r w:rsidR="00325F2B">
        <w:rPr>
          <w:rFonts w:ascii="Palatino Linotype" w:hAnsi="Palatino Linotype"/>
        </w:rPr>
        <w:t xml:space="preserve"> </w:t>
      </w:r>
      <w:r w:rsidR="00325F2B" w:rsidRPr="004845FE">
        <w:rPr>
          <w:rFonts w:ascii="Palatino Linotype" w:hAnsi="Palatino Linotype"/>
        </w:rPr>
        <w:t xml:space="preserve">Importantly, our objective was to improve urban AGB estimates, not to revise the NBCD product in its entirety, and pixel level differences in AGB </w:t>
      </w:r>
      <w:r w:rsidR="00062EAA" w:rsidRPr="00062EAA">
        <w:rPr>
          <w:rFonts w:ascii="Palatino Linotype" w:hAnsi="Palatino Linotype"/>
          <w:noProof/>
        </w:rPr>
        <w:drawing>
          <wp:anchor distT="0" distB="0" distL="114300" distR="114300" simplePos="0" relativeHeight="251658240" behindDoc="0" locked="0" layoutInCell="1" allowOverlap="1" wp14:anchorId="4B783CDD" wp14:editId="1201BA96">
            <wp:simplePos x="0" y="0"/>
            <wp:positionH relativeFrom="column">
              <wp:posOffset>612398</wp:posOffset>
            </wp:positionH>
            <wp:positionV relativeFrom="paragraph">
              <wp:posOffset>2472055</wp:posOffset>
            </wp:positionV>
            <wp:extent cx="4123944" cy="3657600"/>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23944" cy="3657600"/>
                    </a:xfrm>
                    <a:prstGeom prst="rect">
                      <a:avLst/>
                    </a:prstGeom>
                  </pic:spPr>
                </pic:pic>
              </a:graphicData>
            </a:graphic>
            <wp14:sizeRelH relativeFrom="margin">
              <wp14:pctWidth>0</wp14:pctWidth>
            </wp14:sizeRelH>
            <wp14:sizeRelV relativeFrom="margin">
              <wp14:pctHeight>0</wp14:pctHeight>
            </wp14:sizeRelV>
          </wp:anchor>
        </w:drawing>
      </w:r>
      <w:r w:rsidR="00325F2B" w:rsidRPr="004845FE">
        <w:rPr>
          <w:rFonts w:ascii="Palatino Linotype" w:hAnsi="Palatino Linotype"/>
        </w:rPr>
        <w:t xml:space="preserve">estimates between different maps are to be expected </w:t>
      </w:r>
      <w:r w:rsidR="00325F2B" w:rsidRPr="004845FE">
        <w:rPr>
          <w:rFonts w:ascii="Palatino Linotype" w:hAnsi="Palatino Linotype"/>
        </w:rPr>
        <w:fldChar w:fldCharType="begin" w:fldLock="1"/>
      </w:r>
      <w:r w:rsidR="000C0119">
        <w:rPr>
          <w:rFonts w:ascii="Palatino Linotype" w:hAnsi="Palatino Linotype"/>
        </w:rPr>
        <w:instrText>ADDIN CSL_CITATION { "citationItems" : [ { "id" : "ITEM-1", "itemData" : { "DOI" : "10.1186/s13021-015-0030-9", "ISSN" : "1750-0680", "author" : [ { "dropping-particle" : "", "family" : "Huang", "given" : "Wenli", "non-dropping-particle" : "", "parse-names" : false, "suffix" : "" }, { "dropping-particle" : "", "family" : "Swatantran", "given" : "Anu", "non-dropping-particle" : "", "parse-names" : false, "suffix" : "" }, { "dropping-particle" : "", "family" : "Johnson", "given" : "Kristofer", "non-dropping-particle" : "", "parse-names" : false, "suffix" : "" }, { "dropping-particle" : "", "family" : "Duncanson", "given" : "Laura", "non-dropping-particle" : "", "parse-names" : false, "suffix" : "" }, { "dropping-particle" : "", "family" : "Tang", "given" : "Hao", "non-dropping-particle" : "", "parse-names" : false, "suffix" : "" }, { "dropping-particle" : "", "family" : "O\u2019Neil Dunne", "given" : "Jarlath", "non-dropping-particle" : "", "parse-names" : false, "suffix" : "" }, { "dropping-particle" : "", "family" : "Hurtt", "given" : "George", "non-dropping-particle" : "", "parse-names" : false, "suffix" : "" }, { "dropping-particle" : "", "family" : "Dubayah", "given" : "Ralph", "non-dropping-particle" : "", "parse-names" : false, "suffix" : "" } ], "container-title" : "Carbon Balance and Management", "id" : "ITEM-1", "issue" : "1", "issued" : { "date-parts" : [ [ "2015" ] ] }, "page" : "19", "publisher" : "Springer International Publishing", "title" : "Local discrepancies in continental scale biomass maps: a case study over forested and non-forested landscapes in Maryland, USA", "type" : "article-journal", "volume" : "10" }, "uris" : [ "http://www.mendeley.com/documents/?uuid=78c4a65c-4735-46b9-99aa-de891527d37a" ] } ], "mendeley" : { "formattedCitation" : "(Huang et al., 2015)", "plainTextFormattedCitation" : "(Huang et al., 2015)", "previouslyFormattedCitation" : "(Huang et al., 2015)" }, "properties" : { "noteIndex" : 0 }, "schema" : "https://github.com/citation-style-language/schema/raw/master/csl-citation.json" }</w:instrText>
      </w:r>
      <w:r w:rsidR="00325F2B" w:rsidRPr="004845FE">
        <w:rPr>
          <w:rFonts w:ascii="Palatino Linotype" w:hAnsi="Palatino Linotype"/>
        </w:rPr>
        <w:fldChar w:fldCharType="separate"/>
      </w:r>
      <w:r w:rsidR="00BF6C71" w:rsidRPr="00BF6C71">
        <w:rPr>
          <w:rFonts w:ascii="Palatino Linotype" w:hAnsi="Palatino Linotype"/>
          <w:noProof/>
        </w:rPr>
        <w:t>(Huang et al., 2015)</w:t>
      </w:r>
      <w:r w:rsidR="00325F2B" w:rsidRPr="004845FE">
        <w:rPr>
          <w:rFonts w:ascii="Palatino Linotype" w:hAnsi="Palatino Linotype"/>
        </w:rPr>
        <w:fldChar w:fldCharType="end"/>
      </w:r>
      <w:r w:rsidR="00325F2B" w:rsidRPr="004845FE">
        <w:rPr>
          <w:rFonts w:ascii="Palatino Linotype" w:hAnsi="Palatino Linotype"/>
        </w:rPr>
        <w:t>.</w:t>
      </w:r>
    </w:p>
    <w:p w14:paraId="57E7F7FF" w14:textId="77777777" w:rsidR="00062EAA" w:rsidRDefault="00062EAA" w:rsidP="00D66021">
      <w:pPr>
        <w:spacing w:line="360" w:lineRule="auto"/>
        <w:ind w:left="360"/>
        <w:rPr>
          <w:rFonts w:ascii="Palatino Linotype" w:hAnsi="Palatino Linotype"/>
        </w:rPr>
      </w:pPr>
    </w:p>
    <w:p w14:paraId="1628264D" w14:textId="5D5663CC" w:rsidR="00487F35" w:rsidRDefault="00062EAA" w:rsidP="00D66021">
      <w:pPr>
        <w:spacing w:line="360" w:lineRule="auto"/>
        <w:rPr>
          <w:rFonts w:ascii="Palatino Linotype" w:hAnsi="Palatino Linotype"/>
        </w:rPr>
      </w:pPr>
      <w:r w:rsidRPr="00062EAA">
        <w:rPr>
          <w:rFonts w:ascii="Palatino Linotype" w:hAnsi="Palatino Linotype"/>
          <w:b/>
        </w:rPr>
        <w:t>Figure S1-1.</w:t>
      </w:r>
      <w:r>
        <w:rPr>
          <w:rFonts w:ascii="Palatino Linotype" w:hAnsi="Palatino Linotype"/>
        </w:rPr>
        <w:t xml:space="preserve"> </w:t>
      </w:r>
      <w:r w:rsidR="00C40479" w:rsidRPr="00062EAA">
        <w:rPr>
          <w:rFonts w:ascii="Palatino Linotype" w:hAnsi="Palatino Linotype"/>
        </w:rPr>
        <w:t>Comparison of AGB measured</w:t>
      </w:r>
      <w:r>
        <w:rPr>
          <w:rFonts w:ascii="Palatino Linotype" w:hAnsi="Palatino Linotype"/>
        </w:rPr>
        <w:t xml:space="preserve"> in ground plots </w:t>
      </w:r>
      <w:r w:rsidR="00C40479" w:rsidRPr="00062EAA">
        <w:rPr>
          <w:rFonts w:ascii="Palatino Linotype" w:hAnsi="Palatino Linotype"/>
        </w:rPr>
        <w:t xml:space="preserve">with AGB predicted for those plots using EVI and NLCD % canopy. The smooth line is a regression </w:t>
      </w:r>
      <w:r>
        <w:rPr>
          <w:rFonts w:ascii="Palatino Linotype" w:hAnsi="Palatino Linotype"/>
        </w:rPr>
        <w:t xml:space="preserve">model </w:t>
      </w:r>
      <w:r w:rsidR="00C40479" w:rsidRPr="00062EAA">
        <w:rPr>
          <w:rFonts w:ascii="Palatino Linotype" w:hAnsi="Palatino Linotype"/>
        </w:rPr>
        <w:t>between the two. Dark and light grey bands represent 95% confidence</w:t>
      </w:r>
      <w:r>
        <w:rPr>
          <w:rFonts w:ascii="Palatino Linotype" w:hAnsi="Palatino Linotype"/>
        </w:rPr>
        <w:t xml:space="preserve"> (CI)</w:t>
      </w:r>
      <w:r w:rsidR="00C40479" w:rsidRPr="00062EAA">
        <w:rPr>
          <w:rFonts w:ascii="Palatino Linotype" w:hAnsi="Palatino Linotype"/>
        </w:rPr>
        <w:t xml:space="preserve"> and predictive intervals</w:t>
      </w:r>
      <w:r>
        <w:rPr>
          <w:rFonts w:ascii="Palatino Linotype" w:hAnsi="Palatino Linotype"/>
        </w:rPr>
        <w:t xml:space="preserve"> (PI)</w:t>
      </w:r>
      <w:r w:rsidR="00C40479" w:rsidRPr="00062EAA">
        <w:rPr>
          <w:rFonts w:ascii="Palatino Linotype" w:hAnsi="Palatino Linotype"/>
        </w:rPr>
        <w:t xml:space="preserve">, respectively. </w:t>
      </w:r>
    </w:p>
    <w:p w14:paraId="2F90C205" w14:textId="77777777" w:rsidR="00062EAA" w:rsidRDefault="00062EAA" w:rsidP="00D66021">
      <w:pPr>
        <w:spacing w:line="360" w:lineRule="auto"/>
        <w:rPr>
          <w:rFonts w:ascii="Palatino Linotype" w:hAnsi="Palatino Linotype"/>
          <w:b/>
        </w:rPr>
      </w:pPr>
    </w:p>
    <w:p w14:paraId="6C7A5AAB" w14:textId="77777777" w:rsidR="00062EAA" w:rsidRDefault="00062EAA" w:rsidP="00B93317">
      <w:pPr>
        <w:spacing w:line="360" w:lineRule="auto"/>
        <w:rPr>
          <w:rFonts w:ascii="Palatino Linotype" w:hAnsi="Palatino Linotype"/>
          <w:b/>
        </w:rPr>
      </w:pPr>
    </w:p>
    <w:p w14:paraId="5B22491A" w14:textId="7608EE84" w:rsidR="00062EAA" w:rsidRDefault="00062EAA" w:rsidP="00B93317">
      <w:pPr>
        <w:spacing w:line="360" w:lineRule="auto"/>
        <w:rPr>
          <w:rFonts w:ascii="Palatino Linotype" w:hAnsi="Palatino Linotype"/>
          <w:b/>
        </w:rPr>
      </w:pPr>
      <w:r w:rsidRPr="00062EAA">
        <w:rPr>
          <w:rFonts w:ascii="Palatino Linotype" w:hAnsi="Palatino Linotype"/>
          <w:b/>
        </w:rPr>
        <w:t>Figure S1-</w:t>
      </w:r>
      <w:r>
        <w:rPr>
          <w:rFonts w:ascii="Palatino Linotype" w:hAnsi="Palatino Linotype"/>
          <w:b/>
        </w:rPr>
        <w:t>2</w:t>
      </w:r>
      <w:r w:rsidRPr="00062EAA">
        <w:rPr>
          <w:rFonts w:ascii="Palatino Linotype" w:hAnsi="Palatino Linotype"/>
          <w:b/>
        </w:rPr>
        <w:t>.</w:t>
      </w:r>
      <w:r>
        <w:rPr>
          <w:rFonts w:ascii="Palatino Linotype" w:hAnsi="Palatino Linotype"/>
        </w:rPr>
        <w:t xml:space="preserve"> </w:t>
      </w:r>
      <w:r w:rsidR="00C40479" w:rsidRPr="00062EAA">
        <w:rPr>
          <w:rFonts w:ascii="Palatino Linotype" w:hAnsi="Palatino Linotype"/>
        </w:rPr>
        <w:t>Comparison of four methods of es</w:t>
      </w:r>
      <w:r>
        <w:rPr>
          <w:rFonts w:ascii="Palatino Linotype" w:hAnsi="Palatino Linotype"/>
        </w:rPr>
        <w:t>timating urban biomass: observed AGB</w:t>
      </w:r>
      <w:r w:rsidR="00C40479" w:rsidRPr="00062EAA">
        <w:rPr>
          <w:rFonts w:ascii="Palatino Linotype" w:hAnsi="Palatino Linotype"/>
        </w:rPr>
        <w:t xml:space="preserve"> in </w:t>
      </w:r>
      <w:r>
        <w:rPr>
          <w:rFonts w:ascii="Palatino Linotype" w:hAnsi="Palatino Linotype"/>
        </w:rPr>
        <w:t>ground</w:t>
      </w:r>
      <w:r w:rsidR="00C40479" w:rsidRPr="00062EAA">
        <w:rPr>
          <w:rFonts w:ascii="Palatino Linotype" w:hAnsi="Palatino Linotype"/>
        </w:rPr>
        <w:t xml:space="preserve"> plots through</w:t>
      </w:r>
      <w:r>
        <w:rPr>
          <w:rFonts w:ascii="Palatino Linotype" w:hAnsi="Palatino Linotype"/>
        </w:rPr>
        <w:t>out the g</w:t>
      </w:r>
      <w:r w:rsidR="00C40479" w:rsidRPr="00062EAA">
        <w:rPr>
          <w:rFonts w:ascii="Palatino Linotype" w:hAnsi="Palatino Linotype"/>
        </w:rPr>
        <w:t>reater Boston area, predicted</w:t>
      </w:r>
      <w:r>
        <w:rPr>
          <w:rFonts w:ascii="Palatino Linotype" w:hAnsi="Palatino Linotype"/>
        </w:rPr>
        <w:t xml:space="preserve"> AGB</w:t>
      </w:r>
      <w:r w:rsidR="00C40479" w:rsidRPr="00062EAA">
        <w:rPr>
          <w:rFonts w:ascii="Palatino Linotype" w:hAnsi="Palatino Linotype"/>
        </w:rPr>
        <w:t xml:space="preserve"> for those plots using EVI and NLCD % canopy, NBCD </w:t>
      </w:r>
      <w:r>
        <w:rPr>
          <w:rFonts w:ascii="Palatino Linotype" w:hAnsi="Palatino Linotype"/>
        </w:rPr>
        <w:t xml:space="preserve">AGB </w:t>
      </w:r>
      <w:r w:rsidR="00C40479" w:rsidRPr="00062EAA">
        <w:rPr>
          <w:rFonts w:ascii="Palatino Linotype" w:hAnsi="Palatino Linotype"/>
        </w:rPr>
        <w:t>values in urban areas, and BU-BioM</w:t>
      </w:r>
      <w:r>
        <w:rPr>
          <w:rFonts w:ascii="Palatino Linotype" w:hAnsi="Palatino Linotype"/>
        </w:rPr>
        <w:t xml:space="preserve"> AGB</w:t>
      </w:r>
      <w:r w:rsidR="00C40479" w:rsidRPr="00062EAA">
        <w:rPr>
          <w:rFonts w:ascii="Palatino Linotype" w:hAnsi="Palatino Linotype"/>
        </w:rPr>
        <w:t xml:space="preserve">. </w:t>
      </w:r>
      <w:r w:rsidRPr="00062EAA">
        <w:rPr>
          <w:rFonts w:ascii="Palatino Linotype" w:hAnsi="Palatino Linotype"/>
          <w:noProof/>
        </w:rPr>
        <w:drawing>
          <wp:anchor distT="0" distB="0" distL="114300" distR="114300" simplePos="0" relativeHeight="251659264" behindDoc="0" locked="0" layoutInCell="1" allowOverlap="1" wp14:anchorId="64D6F750" wp14:editId="3CA2F928">
            <wp:simplePos x="0" y="0"/>
            <wp:positionH relativeFrom="margin">
              <wp:align>center</wp:align>
            </wp:positionH>
            <wp:positionV relativeFrom="margin">
              <wp:align>top</wp:align>
            </wp:positionV>
            <wp:extent cx="4251960" cy="3657600"/>
            <wp:effectExtent l="0" t="0" r="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1960" cy="3657600"/>
                    </a:xfrm>
                    <a:prstGeom prst="rect">
                      <a:avLst/>
                    </a:prstGeom>
                  </pic:spPr>
                </pic:pic>
              </a:graphicData>
            </a:graphic>
          </wp:anchor>
        </w:drawing>
      </w:r>
      <w:r>
        <w:rPr>
          <w:rFonts w:ascii="Palatino Linotype" w:hAnsi="Palatino Linotype"/>
          <w:b/>
        </w:rPr>
        <w:br w:type="page"/>
      </w:r>
    </w:p>
    <w:p w14:paraId="22675979" w14:textId="75BC7D5D" w:rsidR="00CF37BD" w:rsidRDefault="005D1846" w:rsidP="00B93317">
      <w:pPr>
        <w:spacing w:line="360" w:lineRule="auto"/>
        <w:rPr>
          <w:rFonts w:ascii="Palatino Linotype" w:hAnsi="Palatino Linotype"/>
          <w:b/>
        </w:rPr>
      </w:pPr>
      <w:r w:rsidRPr="00BF1BDE">
        <w:rPr>
          <w:rFonts w:ascii="Palatino Linotype" w:hAnsi="Palatino Linotype"/>
          <w:b/>
        </w:rPr>
        <w:lastRenderedPageBreak/>
        <w:t>S2</w:t>
      </w:r>
      <w:r w:rsidR="00CF37BD" w:rsidRPr="00BF1BDE">
        <w:rPr>
          <w:rFonts w:ascii="Palatino Linotype" w:hAnsi="Palatino Linotype"/>
          <w:b/>
        </w:rPr>
        <w:t xml:space="preserve"> Modeling urban biogenic carbon fluxes</w:t>
      </w:r>
    </w:p>
    <w:p w14:paraId="71E031A0" w14:textId="692A83BC" w:rsidR="00CF37BD" w:rsidRPr="0086350F" w:rsidRDefault="00681EB8" w:rsidP="00B93317">
      <w:pPr>
        <w:spacing w:line="360" w:lineRule="auto"/>
        <w:rPr>
          <w:rFonts w:ascii="Palatino Linotype" w:hAnsi="Palatino Linotype"/>
          <w:szCs w:val="24"/>
        </w:rPr>
      </w:pPr>
      <w:r>
        <w:rPr>
          <w:rFonts w:ascii="Palatino Linotype" w:hAnsi="Palatino Linotype"/>
        </w:rPr>
        <w:t>M</w:t>
      </w:r>
      <w:r w:rsidRPr="004845FE">
        <w:rPr>
          <w:rFonts w:ascii="Palatino Linotype" w:hAnsi="Palatino Linotype"/>
        </w:rPr>
        <w:t>ost remote-sensing derived estimates of landscape-level biogenic fluxes omit urban areas from their analysis. For example, t</w:t>
      </w:r>
      <w:r w:rsidRPr="004845FE">
        <w:rPr>
          <w:rFonts w:ascii="Palatino Linotype" w:hAnsi="Palatino Linotype"/>
          <w:shd w:val="clear" w:color="auto" w:fill="FFFFFF"/>
        </w:rPr>
        <w:t>he MODIS NPP</w:t>
      </w:r>
      <w:r w:rsidRPr="004845FE">
        <w:rPr>
          <w:rFonts w:ascii="Palatino Linotype" w:hAnsi="Palatino Linotype"/>
        </w:rPr>
        <w:t xml:space="preserve"> product omits 13.6% of MA land area that is classified as urban (Figure 1C).</w:t>
      </w:r>
      <w:r w:rsidRPr="004845FE">
        <w:rPr>
          <w:rFonts w:ascii="Palatino Linotype" w:hAnsi="Palatino Linotype"/>
          <w:i/>
        </w:rPr>
        <w:t xml:space="preserve"> </w:t>
      </w:r>
      <w:r w:rsidR="00CF37BD" w:rsidRPr="0086350F">
        <w:rPr>
          <w:rFonts w:ascii="Palatino Linotype" w:hAnsi="Palatino Linotype"/>
          <w:szCs w:val="24"/>
        </w:rPr>
        <w:t xml:space="preserve">We estimated biogenic carbon fluxes over Massachusetts for 2013 at an hourly time step and over a 500m grid cell using the Vegetation Photosynthesis and Respiration Model (VPRM), a data-driven, spatially explicit model for ecosystem fluxes that uses remote sensing and climate reanalysis data </w:t>
      </w:r>
      <w:r w:rsidR="001B3508" w:rsidRPr="0086350F">
        <w:rPr>
          <w:rFonts w:ascii="Palatino Linotype" w:hAnsi="Palatino Linotype"/>
          <w:szCs w:val="24"/>
        </w:rPr>
        <w:fldChar w:fldCharType="begin" w:fldLock="1"/>
      </w:r>
      <w:r w:rsidR="000C0119">
        <w:rPr>
          <w:rFonts w:ascii="Palatino Linotype" w:hAnsi="Palatino Linotype"/>
          <w:szCs w:val="24"/>
        </w:rPr>
        <w:instrText>ADDIN CSL_CITATION { "citationItems" : [ { "id" : "ITEM-1", "itemData" : { "DOI" : "10.1029/2006GB002735", "ISBN" : "0886-6236", "ISSN" : "08866236", "abstract" : "We present the Vegetation Photosynthesis and Respiration Model (VPRM), a satellite-based assimilation scheme that estimates hourly values of Net Ecosystem Exchange (NEE) of CO2 for 12 North American biomes using the Enhanced Vegetation Index (EVI) and Land Surface Water Index (LSWI), derived from reflectance data of the Moderate Resolution Imaging Spectroradiometer (MODIS), plus high-resolution data for sunlight and air temperature. The motivation is to provide reliable, fine-grained first-guess fields of surface CO2 fluxes for application in inverse models at continental and smaller scales. An extremely simple mathematical structure, with minimal numbers of parameters, facilitates optimization using in situ data, with finesse provided by maximal infusion of observed NEE and environmental data from networks of eddy covariance towers across North America (AmeriFlux and Fluxnet Canada). Cross validation showed that the VPRM has strong prediction ability for hourly to monthly timescales for sites with similar vegetation. The VPRM also provides consistent partitioning of NEE into Gross Ecosystem Exchange (GEE, the light-dependent part of NEE) and ecosystem respiration (R, the light-independent part), half-saturation irradiance of ecosystem photosynthesis, and annual sum of NEE at all eddy flux sites for which it is optimized. The capability to provide reliable patterns of surface flux for fine-scale inversions is presently limited by the number of vegetation classes for which NEE can be constrained by the current network of eddy flux sites and by the accuracy of MODIS data and data for sunlight.", "author" : [ { "dropping-particle" : "", "family" : "Mahadevan", "given" : "Pathmathevan", "non-dropping-particle" : "", "parse-names" : false, "suffix" : "" }, { "dropping-particle" : "", "family" : "Wofsy", "given" : "Steven C.", "non-dropping-particle" : "", "parse-names" : false, "suffix" : "" }, { "dropping-particle" : "", "family" : "Matross", "given" : "Daniel M.", "non-dropping-particle" : "", "parse-names" : false, "suffix" : "" }, { "dropping-particle" : "", "family" : "Xiao", "given" : "Xiangming", "non-dropping-particle" : "", "parse-names" : false, "suffix" : "" }, { "dropping-particle" : "", "family" : "Dunn", "given" : "Allison L.", "non-dropping-particle" : "", "parse-names" : false, "suffix" : "" }, { "dropping-particle" : "", "family" : "Lin", "given" : "John C.", "non-dropping-particle" : "", "parse-names" : false, "suffix" : "" }, { "dropping-particle" : "", "family" : "Gerbig", "given" : "Christoph", "non-dropping-particle" : "", "parse-names" : false, "suffix" : "" }, { "dropping-particle" : "", "family" : "Munger", "given" : "J. William", "non-dropping-particle" : "", "parse-names" : false, "suffix" : "" }, { "dropping-particle" : "", "family" : "Chow", "given" : "Victoria Y.", "non-dropping-particle" : "", "parse-names" : false, "suffix" : "" }, { "dropping-particle" : "", "family" : "Gottlieb", "given" : "Elaine W.", "non-dropping-particle" : "", "parse-names" : false, "suffix" : "" } ], "container-title" : "Global Biogeochemical Cycles", "id" : "ITEM-1", "issue" : "2", "issued" : { "date-parts" : [ [ "2008" ] ] }, "title" : "A satellite-based biosphere parameterization for net ecosystem CO2 exchange: Vegetation Photosynthesis and Respiration Model (VPRM)", "type" : "article-journal", "volume" : "22" }, "uris" : [ "http://www.mendeley.com/documents/?uuid=0b5a7a4a-a72c-43d1-b19d-d4cbbc9b07f5" ] } ], "mendeley" : { "formattedCitation" : "(Mahadevan et al., 2008)", "plainTextFormattedCitation" : "(Mahadevan et al., 2008)", "previouslyFormattedCitation" : "(Mahadevan et al., 2008)" }, "properties" : { "noteIndex" : 0 }, "schema" : "https://github.com/citation-style-language/schema/raw/master/csl-citation.json" }</w:instrText>
      </w:r>
      <w:r w:rsidR="001B3508" w:rsidRPr="0086350F">
        <w:rPr>
          <w:rFonts w:ascii="Palatino Linotype" w:hAnsi="Palatino Linotype"/>
          <w:szCs w:val="24"/>
        </w:rPr>
        <w:fldChar w:fldCharType="separate"/>
      </w:r>
      <w:r w:rsidR="00BF6C71" w:rsidRPr="00BF6C71">
        <w:rPr>
          <w:rFonts w:ascii="Palatino Linotype" w:hAnsi="Palatino Linotype"/>
          <w:noProof/>
          <w:szCs w:val="24"/>
        </w:rPr>
        <w:t>(Mahadevan et al., 2008)</w:t>
      </w:r>
      <w:r w:rsidR="001B3508" w:rsidRPr="0086350F">
        <w:rPr>
          <w:rFonts w:ascii="Palatino Linotype" w:hAnsi="Palatino Linotype"/>
          <w:szCs w:val="24"/>
        </w:rPr>
        <w:fldChar w:fldCharType="end"/>
      </w:r>
      <w:r w:rsidR="00CF37BD" w:rsidRPr="0086350F">
        <w:rPr>
          <w:rFonts w:ascii="Palatino Linotype" w:hAnsi="Palatino Linotype"/>
          <w:szCs w:val="24"/>
        </w:rPr>
        <w:t xml:space="preserve">. A number of modifications were made to the model structure and parameterization in order to correct for </w:t>
      </w:r>
      <w:r w:rsidR="006334D9">
        <w:rPr>
          <w:rFonts w:ascii="Palatino Linotype" w:hAnsi="Palatino Linotype"/>
          <w:szCs w:val="24"/>
        </w:rPr>
        <w:t xml:space="preserve">urban </w:t>
      </w:r>
      <w:r w:rsidR="00CF37BD" w:rsidRPr="0086350F">
        <w:rPr>
          <w:rFonts w:ascii="Palatino Linotype" w:hAnsi="Palatino Linotype"/>
          <w:szCs w:val="24"/>
        </w:rPr>
        <w:t xml:space="preserve">land cover misrepresentations and to account for </w:t>
      </w:r>
      <w:r w:rsidR="006334D9">
        <w:rPr>
          <w:rFonts w:ascii="Palatino Linotype" w:hAnsi="Palatino Linotype"/>
          <w:szCs w:val="24"/>
        </w:rPr>
        <w:t xml:space="preserve">aspects of </w:t>
      </w:r>
      <w:r w:rsidR="00CF37BD" w:rsidRPr="0086350F">
        <w:rPr>
          <w:rFonts w:ascii="Palatino Linotype" w:hAnsi="Palatino Linotype"/>
          <w:szCs w:val="24"/>
        </w:rPr>
        <w:t xml:space="preserve">biogenic carbon fluxes </w:t>
      </w:r>
      <w:r w:rsidR="006334D9">
        <w:rPr>
          <w:rFonts w:ascii="Palatino Linotype" w:hAnsi="Palatino Linotype"/>
          <w:szCs w:val="24"/>
        </w:rPr>
        <w:t xml:space="preserve">unique to </w:t>
      </w:r>
      <w:r w:rsidR="00CF37BD" w:rsidRPr="0086350F">
        <w:rPr>
          <w:rFonts w:ascii="Palatino Linotype" w:hAnsi="Palatino Linotype"/>
          <w:szCs w:val="24"/>
        </w:rPr>
        <w:t xml:space="preserve">urban areas, which are </w:t>
      </w:r>
      <w:r w:rsidR="00DF6C60">
        <w:rPr>
          <w:rFonts w:ascii="Palatino Linotype" w:hAnsi="Palatino Linotype"/>
          <w:szCs w:val="24"/>
        </w:rPr>
        <w:t>typically</w:t>
      </w:r>
      <w:r w:rsidR="00DF6C60" w:rsidRPr="0086350F">
        <w:rPr>
          <w:rFonts w:ascii="Palatino Linotype" w:hAnsi="Palatino Linotype"/>
          <w:szCs w:val="24"/>
        </w:rPr>
        <w:t xml:space="preserve"> </w:t>
      </w:r>
      <w:r w:rsidR="00CF37BD" w:rsidRPr="0086350F">
        <w:rPr>
          <w:rFonts w:ascii="Palatino Linotype" w:hAnsi="Palatino Linotype"/>
          <w:szCs w:val="24"/>
        </w:rPr>
        <w:t xml:space="preserve">excluded from flux models. We refer to our urban-enabled version VPRM as the Urban Vegetation Photosynthesis and Respiration Model, or </w:t>
      </w:r>
      <w:r w:rsidR="00D07751">
        <w:rPr>
          <w:rFonts w:ascii="Palatino Linotype" w:hAnsi="Palatino Linotype"/>
          <w:szCs w:val="24"/>
        </w:rPr>
        <w:t>UrbanVPRM</w:t>
      </w:r>
      <w:r w:rsidR="00CF37BD" w:rsidRPr="0086350F">
        <w:rPr>
          <w:rFonts w:ascii="Palatino Linotype" w:hAnsi="Palatino Linotype"/>
          <w:szCs w:val="24"/>
        </w:rPr>
        <w:t xml:space="preserve">. In our study, </w:t>
      </w:r>
      <w:r w:rsidR="00D07751">
        <w:rPr>
          <w:rFonts w:ascii="Palatino Linotype" w:hAnsi="Palatino Linotype"/>
          <w:szCs w:val="24"/>
        </w:rPr>
        <w:t>UrbanVPRM</w:t>
      </w:r>
      <w:r w:rsidR="00CF37BD" w:rsidRPr="0086350F">
        <w:rPr>
          <w:rFonts w:ascii="Palatino Linotype" w:hAnsi="Palatino Linotype"/>
          <w:szCs w:val="24"/>
        </w:rPr>
        <w:t xml:space="preserve"> was driven by a combination of MODIS remote sensing data products (</w:t>
      </w:r>
      <w:r w:rsidR="00325F2B" w:rsidRPr="004845FE">
        <w:rPr>
          <w:rFonts w:ascii="Palatino Linotype" w:hAnsi="Palatino Linotype"/>
        </w:rPr>
        <w:t xml:space="preserve">Land cover: MCD12Q1 </w:t>
      </w:r>
      <w:r w:rsidR="00325F2B" w:rsidRPr="004845FE">
        <w:rPr>
          <w:rFonts w:ascii="Palatino Linotype" w:hAnsi="Palatino Linotype"/>
        </w:rPr>
        <w:fldChar w:fldCharType="begin" w:fldLock="1"/>
      </w:r>
      <w:r w:rsidR="000C0119">
        <w:rPr>
          <w:rFonts w:ascii="Palatino Linotype" w:hAnsi="Palatino Linotype"/>
        </w:rPr>
        <w:instrText>ADDIN CSL_CITATION { "citationItems" : [ { "id" : "ITEM-1", "itemData" : { "DOI" : "10.1016/j.rse.2009.08.016", "ISSN" : "00344257", "author" : [ { "dropping-particle" : "", "family" : "Friedl", "given" : "Mark A.", "non-dropping-particle" : "", "parse-names" : false, "suffix" : "" }, { "dropping-particle" : "", "family" : "Sulla-Menashe", "given" : "Damien", "non-dropping-particle" : "", "parse-names" : false, "suffix" : "" }, { "dropping-particle" : "", "family" : "Tan", "given" : "Bin", "non-dropping-particle" : "", "parse-names" : false, "suffix" : "" }, { "dropping-particle" : "", "family" : "Schneider", "given" : "Annemarie", "non-dropping-particle" : "", "parse-names" : false, "suffix" : "" }, { "dropping-particle" : "", "family" : "Ramankutty", "given" : "Navin", "non-dropping-particle" : "", "parse-names" : false, "suffix" : "" }, { "dropping-particle" : "", "family" : "Sibley", "given" : "Adam", "non-dropping-particle" : "", "parse-names" : false, "suffix" : "" }, { "dropping-particle" : "", "family" : "Huang", "given" : "Xiaoman", "non-dropping-particle" : "", "parse-names" : false, "suffix" : "" } ], "container-title" : "Remote Sensing of Environment", "id" : "ITEM-1", "issue" : "1", "issued" : { "date-parts" : [ [ "2010" ] ] }, "page" : "168-182", "title" : "MODIS Collection 5 global land cover: Algorithm refinements and characterization of new datasets", "type" : "article-journal", "volume" : "114" }, "uris" : [ "http://www.mendeley.com/documents/?uuid=7e261ea4-ee4c-4f67-81db-3cc490945547" ] } ], "mendeley" : { "formattedCitation" : "(Friedl et al., 2010)", "plainTextFormattedCitation" : "(Friedl et al., 2010)", "previouslyFormattedCitation" : "(Friedl et al., 2010)" }, "properties" : { "noteIndex" : 0 }, "schema" : "https://github.com/citation-style-language/schema/raw/master/csl-citation.json" }</w:instrText>
      </w:r>
      <w:r w:rsidR="00325F2B" w:rsidRPr="004845FE">
        <w:rPr>
          <w:rFonts w:ascii="Palatino Linotype" w:hAnsi="Palatino Linotype"/>
        </w:rPr>
        <w:fldChar w:fldCharType="separate"/>
      </w:r>
      <w:r w:rsidR="00BF6C71" w:rsidRPr="00BF6C71">
        <w:rPr>
          <w:rFonts w:ascii="Palatino Linotype" w:hAnsi="Palatino Linotype"/>
          <w:noProof/>
        </w:rPr>
        <w:t>(Friedl et al., 2010)</w:t>
      </w:r>
      <w:r w:rsidR="00325F2B" w:rsidRPr="004845FE">
        <w:rPr>
          <w:rFonts w:ascii="Palatino Linotype" w:hAnsi="Palatino Linotype"/>
        </w:rPr>
        <w:fldChar w:fldCharType="end"/>
      </w:r>
      <w:r w:rsidR="00325F2B" w:rsidRPr="004845FE">
        <w:rPr>
          <w:rFonts w:ascii="Palatino Linotype" w:hAnsi="Palatino Linotype"/>
        </w:rPr>
        <w:t xml:space="preserve">, Land cover dynamics: MCD12Q2 </w:t>
      </w:r>
      <w:r w:rsidR="00325F2B" w:rsidRPr="004845FE">
        <w:rPr>
          <w:rFonts w:ascii="Palatino Linotype" w:hAnsi="Palatino Linotype"/>
        </w:rPr>
        <w:fldChar w:fldCharType="begin" w:fldLock="1"/>
      </w:r>
      <w:r w:rsidR="000C0119">
        <w:rPr>
          <w:rFonts w:ascii="Palatino Linotype" w:hAnsi="Palatino Linotype"/>
        </w:rPr>
        <w:instrText>ADDIN CSL_CITATION { "citationItems" : [ { "id" : "ITEM-1", "itemData" : { "DOI" : "10.1029/2006JG000217", "ISBN" : "0148-0227", "ISSN" : "01480227", "abstract" : "In the last two decades the availability of global remote sensing data sets has provided a new means of studying global patterns and dynamics in vegetation. The vast majority of previous work in this domain has used data from the Advanced Very High Resolution Radiometer, which until recently was the primary source of global land remote sensing data. In recent years, however, a number of new remote sensing data sources have become available that have significantly improved the capability of remote sensing to monitor global ecosystem dynamics. In this paper, we describe recent results using data from NASA's Moderate Resolution Imaging Spectroradiometer to study global vegetation phenology. Using a novel new method based on fitting piecewise logistic models to time series data from MODIS, key transition dates in the annual cycle(s) of vegetation growth can be estimated in an ecologically realistic fashion. Using this method we have produced global maps of seven phenological metrics at 1-km spatial resolution for all ecosystems exhibiting identifiable annual phenologies. These metrics include the date of year for (1) the onset of greenness increase (greenup), (2) the onset of greenness maximum (maturity), (3) the onset of greenness decrease (senescence), and (4) the onset of greenness minimum (dormancy). The three remaining metrics are the growing season minimum, maximum, and summation of the enhanced vegetation index derived from MODIS. Comparison of vegetation phenology retrieved from MODIS with in situ measurements shows that these metrics provide realistic estimates of the four transition dates identified above. More generally, the spatial distribution of phenological metrics estimated from MODIS data is qualitatively realistic, and exhibits strong correspondence with temperature patterns in mid- and high-latitude climates, with rainfall seasonality in seasonally dry climates, and with cropping patterns in agricultural areas.", "author" : [ { "dropping-particle" : "", "family" : "Zhang", "given" : "Xiaoyang", "non-dropping-particle" : "", "parse-names" : false, "suffix" : "" }, { "dropping-particle" : "", "family" : "Friedl", "given" : "Mark a.", "non-dropping-particle" : "", "parse-names" : false, "suffix" : "" }, { "dropping-particle" : "", "family" : "Schaaf", "given" : "Crystal B.", "non-dropping-particle" : "", "parse-names" : false, "suffix" : "" } ], "container-title" : "Journal of Geophysical Research: Biogeosciences", "id" : "ITEM-1", "issue" : "4", "issued" : { "date-parts" : [ [ "2006" ] ] }, "page" : "1-14", "title" : "Global vegetation phenology from Moderate Resolution Imaging Spectroradiometer (MODIS): Evaluation of global patterns and comparison with in situ measurements", "type" : "article-journal", "volume" : "111" }, "uris" : [ "http://www.mendeley.com/documents/?uuid=c3231791-400c-4560-b5e7-eed96c41bc89" ] } ], "mendeley" : { "formattedCitation" : "(Zhang et al., 2006)", "plainTextFormattedCitation" : "(Zhang et al., 2006)", "previouslyFormattedCitation" : "(Zhang et al., 2006)" }, "properties" : { "noteIndex" : 0 }, "schema" : "https://github.com/citation-style-language/schema/raw/master/csl-citation.json" }</w:instrText>
      </w:r>
      <w:r w:rsidR="00325F2B" w:rsidRPr="004845FE">
        <w:rPr>
          <w:rFonts w:ascii="Palatino Linotype" w:hAnsi="Palatino Linotype"/>
        </w:rPr>
        <w:fldChar w:fldCharType="separate"/>
      </w:r>
      <w:r w:rsidR="00BF6C71" w:rsidRPr="00BF6C71">
        <w:rPr>
          <w:rFonts w:ascii="Palatino Linotype" w:hAnsi="Palatino Linotype"/>
          <w:noProof/>
        </w:rPr>
        <w:t>(Zhang et al., 2006)</w:t>
      </w:r>
      <w:r w:rsidR="00325F2B" w:rsidRPr="004845FE">
        <w:rPr>
          <w:rFonts w:ascii="Palatino Linotype" w:hAnsi="Palatino Linotype"/>
        </w:rPr>
        <w:fldChar w:fldCharType="end"/>
      </w:r>
      <w:r w:rsidR="00325F2B" w:rsidRPr="004845FE">
        <w:rPr>
          <w:rFonts w:ascii="Palatino Linotype" w:hAnsi="Palatino Linotype"/>
        </w:rPr>
        <w:t xml:space="preserve">, and Vegetation indices derived from Nadir BRDF-Adjusted </w:t>
      </w:r>
      <w:proofErr w:type="spellStart"/>
      <w:r w:rsidR="00325F2B" w:rsidRPr="004845FE">
        <w:rPr>
          <w:rFonts w:ascii="Palatino Linotype" w:hAnsi="Palatino Linotype"/>
        </w:rPr>
        <w:t>Reflectances</w:t>
      </w:r>
      <w:proofErr w:type="spellEnd"/>
      <w:r w:rsidR="00325F2B" w:rsidRPr="004845FE">
        <w:rPr>
          <w:rFonts w:ascii="Palatino Linotype" w:hAnsi="Palatino Linotype"/>
        </w:rPr>
        <w:t xml:space="preserve">: MCD43A4 </w:t>
      </w:r>
      <w:r w:rsidR="00325F2B" w:rsidRPr="004845FE">
        <w:rPr>
          <w:rFonts w:ascii="Palatino Linotype" w:hAnsi="Palatino Linotype"/>
        </w:rPr>
        <w:fldChar w:fldCharType="begin" w:fldLock="1"/>
      </w:r>
      <w:r w:rsidR="000C0119">
        <w:rPr>
          <w:rFonts w:ascii="Palatino Linotype" w:hAnsi="Palatino Linotype"/>
        </w:rPr>
        <w:instrText>ADDIN CSL_CITATION { "citationItems" : [ { "id" : "ITEM-1", "itemData" : { "DOI" : "http://doi.org/10.5067/MODIS/MCD43A4.006", "author" : [ { "dropping-particle" : "", "family" : "Schaaf", "given" : "Crystal", "non-dropping-particle" : "", "parse-names" : false, "suffix" : "" }, { "dropping-particle" : "", "family" : "Wang", "given" : "Z", "non-dropping-particle" : "", "parse-names" : false, "suffix" : "" } ], "container-title" : "NASA EOSDIS Land Processes DAAC", "id" : "ITEM-1", "issued" : { "date-parts" : [ [ "2015" ] ] }, "title" : "MCD43A4 MODIS/Terra+Aqua BRDF/Albedo Nadir BRDF Adjusted RefDaily L3 Global - 500m V006", "type" : "article-journal" }, "uris" : [ "http://www.mendeley.com/documents/?uuid=f34138a7-f493-42ed-bb28-5eb3884b3be9" ] } ], "mendeley" : { "formattedCitation" : "(Schaaf and Wang, 2015)", "plainTextFormattedCitation" : "(Schaaf and Wang, 2015)", "previouslyFormattedCitation" : "(Schaaf and Wang, 2015)" }, "properties" : { "noteIndex" : 0 }, "schema" : "https://github.com/citation-style-language/schema/raw/master/csl-citation.json" }</w:instrText>
      </w:r>
      <w:r w:rsidR="00325F2B" w:rsidRPr="004845FE">
        <w:rPr>
          <w:rFonts w:ascii="Palatino Linotype" w:hAnsi="Palatino Linotype"/>
        </w:rPr>
        <w:fldChar w:fldCharType="separate"/>
      </w:r>
      <w:r w:rsidR="00BF6C71" w:rsidRPr="00BF6C71">
        <w:rPr>
          <w:rFonts w:ascii="Palatino Linotype" w:hAnsi="Palatino Linotype"/>
          <w:noProof/>
        </w:rPr>
        <w:t>(Schaaf and Wang, 2015)</w:t>
      </w:r>
      <w:r w:rsidR="00325F2B" w:rsidRPr="004845FE">
        <w:rPr>
          <w:rFonts w:ascii="Palatino Linotype" w:hAnsi="Palatino Linotype"/>
        </w:rPr>
        <w:fldChar w:fldCharType="end"/>
      </w:r>
      <w:r w:rsidR="00325F2B" w:rsidRPr="004845FE">
        <w:rPr>
          <w:rFonts w:ascii="Palatino Linotype" w:hAnsi="Palatino Linotype"/>
        </w:rPr>
        <w:t xml:space="preserve">), meteorological reanalysis (3-hourly irradiance and air temperature at 2m) from NCEP’s North American Regional Reanalysis (NARR), and Landsat-based NLCD ISA and Land Cover </w:t>
      </w:r>
      <w:r w:rsidR="00325F2B" w:rsidRPr="004845FE">
        <w:rPr>
          <w:rFonts w:ascii="Palatino Linotype" w:hAnsi="Palatino Linotype"/>
        </w:rPr>
        <w:fldChar w:fldCharType="begin" w:fldLock="1"/>
      </w:r>
      <w:r w:rsidR="000C0119">
        <w:rPr>
          <w:rFonts w:ascii="Palatino Linotype" w:hAnsi="Palatino Linotype"/>
        </w:rPr>
        <w:instrText>ADDIN CSL_CITATION { "citationItems" : [ { "id" : "ITEM-1", "itemData" : { "author" : [ { "dropping-particle" : "", "family" : "Homer", "given" : "C.G.", "non-dropping-particle" : "", "parse-names" : false, "suffix" : "" }, { "dropping-particle" : "", "family" : "Dewitz", "given" : "J.A.", "non-dropping-particle" : "", "parse-names" : false, "suffix" : "" }, { "dropping-particle" : "", "family" : "Yang", "given" : "L.", "non-dropping-particle" : "", "parse-names" : false, "suffix" : "" }, { "dropping-particle" : "", "family" : "Jin", "given" : "S.", "non-dropping-particle" : "", "parse-names" : false, "suffix" : "" }, { "dropping-particle" : "", "family" : "Danielson", "given" : "P.", "non-dropping-particle" : "", "parse-names" : false, "suffix" : "" }, { "dropping-particle" : "", "family" : "Xian", "given" : "G.", "non-dropping-particle" : "", "parse-names" : false, "suffix" : "" }, { "dropping-particle" : "", "family" : "Coulston", "given" : "J.", "non-dropping-particle" : "", "parse-names" : false, "suffix" : "" }, { "dropping-particle" : "", "family" : "Herold", "given" : "N.D.", "non-dropping-particle" : "", "parse-names" : false, "suffix" : "" }, { "dropping-particle" : "", "family" : "Wickham", "given" : "J.D.", "non-dropping-particle" : "", "parse-names" : false, "suffix" : "" }, { "dropping-particle" : "", "family" : "Megown", "given" : "K.", "non-dropping-particle" : "", "parse-names" : false, "suffix" : "" } ], "container-title" : "Photogrammetric Engineering and Remote Sensing", "id" : "ITEM-1", "issue" : "5", "issued" : { "date-parts" : [ [ "2015" ] ] }, "page" : "345-354", "title" : "Completion of the 2011 National Land Cover Database for the conterminous United States-Representing a decade of land cover change information", "type" : "article-journal", "volume" : "81" }, "uris" : [ "http://www.mendeley.com/documents/?uuid=8a142662-1527-41aa-a678-14fced854968" ] } ], "mendeley" : { "formattedCitation" : "(Homer et al., 2015)", "plainTextFormattedCitation" : "(Homer et al., 2015)", "previouslyFormattedCitation" : "(Homer et al., 2015)" }, "properties" : { "noteIndex" : 0 }, "schema" : "https://github.com/citation-style-language/schema/raw/master/csl-citation.json" }</w:instrText>
      </w:r>
      <w:r w:rsidR="00325F2B" w:rsidRPr="004845FE">
        <w:rPr>
          <w:rFonts w:ascii="Palatino Linotype" w:hAnsi="Palatino Linotype"/>
        </w:rPr>
        <w:fldChar w:fldCharType="separate"/>
      </w:r>
      <w:r w:rsidR="00BF6C71" w:rsidRPr="00BF6C71">
        <w:rPr>
          <w:rFonts w:ascii="Palatino Linotype" w:hAnsi="Palatino Linotype"/>
          <w:noProof/>
        </w:rPr>
        <w:t>(Homer et al., 2015)</w:t>
      </w:r>
      <w:r w:rsidR="00325F2B" w:rsidRPr="004845FE">
        <w:rPr>
          <w:rFonts w:ascii="Palatino Linotype" w:hAnsi="Palatino Linotype"/>
        </w:rPr>
        <w:fldChar w:fldCharType="end"/>
      </w:r>
      <w:r w:rsidR="00325F2B" w:rsidRPr="004845FE">
        <w:rPr>
          <w:rFonts w:ascii="Palatino Linotype" w:hAnsi="Palatino Linotype"/>
        </w:rPr>
        <w:t xml:space="preserve">. </w:t>
      </w:r>
      <w:r w:rsidR="007B7EA4" w:rsidRPr="004845FE">
        <w:rPr>
          <w:rFonts w:ascii="Palatino Linotype" w:hAnsi="Palatino Linotype"/>
          <w:iCs/>
        </w:rPr>
        <w:t xml:space="preserve">NARR data </w:t>
      </w:r>
      <w:r w:rsidR="007B7EA4">
        <w:rPr>
          <w:rFonts w:ascii="Palatino Linotype" w:hAnsi="Palatino Linotype"/>
          <w:iCs/>
        </w:rPr>
        <w:t xml:space="preserve">was </w:t>
      </w:r>
      <w:r w:rsidR="007B7EA4" w:rsidRPr="004845FE">
        <w:rPr>
          <w:rFonts w:ascii="Palatino Linotype" w:hAnsi="Palatino Linotype"/>
          <w:iCs/>
        </w:rPr>
        <w:t>provided by the NOAA/OAR/ESRL PSD, Boulder, Colorado, USA, from their Web site at</w:t>
      </w:r>
      <w:r w:rsidR="007B7EA4" w:rsidRPr="004845FE">
        <w:rPr>
          <w:rStyle w:val="Emphasis"/>
          <w:rFonts w:ascii="Palatino Linotype" w:hAnsi="Palatino Linotype"/>
          <w:color w:val="444444"/>
          <w:shd w:val="clear" w:color="auto" w:fill="FFFFFF"/>
        </w:rPr>
        <w:t xml:space="preserve"> </w:t>
      </w:r>
      <w:hyperlink r:id="rId10" w:history="1">
        <w:r w:rsidR="007B7EA4" w:rsidRPr="004845FE">
          <w:rPr>
            <w:rStyle w:val="Hyperlink"/>
            <w:rFonts w:ascii="Palatino Linotype" w:hAnsi="Palatino Linotype"/>
            <w:shd w:val="clear" w:color="auto" w:fill="FFFFFF"/>
          </w:rPr>
          <w:t>http://www.esrl.noaa.gov/psd/</w:t>
        </w:r>
      </w:hyperlink>
      <w:r w:rsidR="007B7EA4" w:rsidRPr="004845FE">
        <w:rPr>
          <w:rFonts w:ascii="Palatino Linotype" w:hAnsi="Palatino Linotype"/>
        </w:rPr>
        <w:t xml:space="preserve">. </w:t>
      </w:r>
      <w:r w:rsidR="00676D6B">
        <w:rPr>
          <w:rFonts w:ascii="Palatino Linotype" w:hAnsi="Palatino Linotype"/>
          <w:szCs w:val="24"/>
        </w:rPr>
        <w:t>While the approach of UrbanVPRM is essentially the same as the original VPRM, there are several significant modifications as explained below.</w:t>
      </w:r>
    </w:p>
    <w:p w14:paraId="40DCA995" w14:textId="77777777" w:rsidR="00CF37BD" w:rsidRPr="0086350F" w:rsidRDefault="00CF37BD" w:rsidP="00B64FB7">
      <w:pPr>
        <w:spacing w:line="360" w:lineRule="auto"/>
        <w:rPr>
          <w:rFonts w:ascii="Palatino Linotype" w:hAnsi="Palatino Linotype"/>
          <w:szCs w:val="24"/>
        </w:rPr>
      </w:pPr>
    </w:p>
    <w:p w14:paraId="6C6286AD" w14:textId="2880D1B9" w:rsidR="00CF37BD" w:rsidRPr="0086350F" w:rsidRDefault="00307F30">
      <w:pPr>
        <w:spacing w:line="360" w:lineRule="auto"/>
        <w:rPr>
          <w:rFonts w:ascii="Palatino Linotype" w:hAnsi="Palatino Linotype"/>
          <w:szCs w:val="24"/>
        </w:rPr>
      </w:pPr>
      <w:r>
        <w:rPr>
          <w:rFonts w:ascii="Palatino Linotype" w:hAnsi="Palatino Linotype"/>
          <w:i/>
          <w:szCs w:val="24"/>
          <w:u w:val="single"/>
        </w:rPr>
        <w:t xml:space="preserve">S2.1 </w:t>
      </w:r>
      <w:r w:rsidR="00CF37BD" w:rsidRPr="0086350F">
        <w:rPr>
          <w:rFonts w:ascii="Palatino Linotype" w:hAnsi="Palatino Linotype"/>
          <w:i/>
          <w:szCs w:val="24"/>
          <w:u w:val="single"/>
        </w:rPr>
        <w:t>Land Cover</w:t>
      </w:r>
    </w:p>
    <w:p w14:paraId="37D14CCF" w14:textId="75D7633D" w:rsidR="003A3C52" w:rsidRPr="006334D9" w:rsidRDefault="000D7ECA">
      <w:pPr>
        <w:tabs>
          <w:tab w:val="left" w:pos="1440"/>
        </w:tabs>
        <w:spacing w:line="360" w:lineRule="auto"/>
        <w:rPr>
          <w:rFonts w:ascii="Palatino Linotype" w:hAnsi="Palatino Linotype"/>
        </w:rPr>
      </w:pPr>
      <w:r>
        <w:rPr>
          <w:rFonts w:ascii="Palatino Linotype" w:hAnsi="Palatino Linotype"/>
        </w:rPr>
        <w:lastRenderedPageBreak/>
        <w:t>Since VPRM was originally developed and calibrated for several common land cover types, none of which are urban, w</w:t>
      </w:r>
      <w:r w:rsidRPr="0086350F">
        <w:rPr>
          <w:rFonts w:ascii="Palatino Linotype" w:hAnsi="Palatino Linotype"/>
          <w:szCs w:val="24"/>
        </w:rPr>
        <w:t xml:space="preserve">e implemented various changes </w:t>
      </w:r>
      <w:r>
        <w:rPr>
          <w:rFonts w:ascii="Palatino Linotype" w:hAnsi="Palatino Linotype"/>
          <w:szCs w:val="24"/>
        </w:rPr>
        <w:t xml:space="preserve">to the model structure </w:t>
      </w:r>
      <w:r w:rsidRPr="0086350F">
        <w:rPr>
          <w:rFonts w:ascii="Palatino Linotype" w:hAnsi="Palatino Linotype"/>
          <w:szCs w:val="24"/>
        </w:rPr>
        <w:t>to account for unique features</w:t>
      </w:r>
      <w:r w:rsidRPr="000D7ECA">
        <w:rPr>
          <w:rFonts w:ascii="Palatino Linotype" w:hAnsi="Palatino Linotype"/>
          <w:szCs w:val="24"/>
        </w:rPr>
        <w:t xml:space="preserve"> </w:t>
      </w:r>
      <w:r w:rsidRPr="0086350F">
        <w:rPr>
          <w:rFonts w:ascii="Palatino Linotype" w:hAnsi="Palatino Linotype"/>
          <w:szCs w:val="24"/>
        </w:rPr>
        <w:t>of urban ecosystems, such as f</w:t>
      </w:r>
      <w:r>
        <w:rPr>
          <w:rFonts w:ascii="Palatino Linotype" w:hAnsi="Palatino Linotype"/>
          <w:szCs w:val="24"/>
        </w:rPr>
        <w:t>ine-scale spatial heterogeneity</w:t>
      </w:r>
      <w:r w:rsidRPr="0086350F">
        <w:rPr>
          <w:rFonts w:ascii="Palatino Linotype" w:hAnsi="Palatino Linotype"/>
          <w:szCs w:val="24"/>
        </w:rPr>
        <w:t>.</w:t>
      </w:r>
      <w:r w:rsidRPr="000D7ECA">
        <w:rPr>
          <w:rFonts w:ascii="Palatino Linotype" w:hAnsi="Palatino Linotype"/>
          <w:szCs w:val="24"/>
        </w:rPr>
        <w:t xml:space="preserve"> </w:t>
      </w:r>
      <w:r w:rsidR="0095605C" w:rsidRPr="004845FE">
        <w:rPr>
          <w:rFonts w:ascii="Palatino Linotype" w:hAnsi="Palatino Linotype"/>
        </w:rPr>
        <w:t xml:space="preserve">Boston and other urban areas include significant fractions of non-native species as well as planted native species at higher densities than found in the wild </w:t>
      </w:r>
      <w:r w:rsidR="0095605C" w:rsidRPr="004845FE">
        <w:rPr>
          <w:rFonts w:ascii="Palatino Linotype" w:hAnsi="Palatino Linotype"/>
        </w:rPr>
        <w:fldChar w:fldCharType="begin" w:fldLock="1"/>
      </w:r>
      <w:r w:rsidR="000C0119">
        <w:rPr>
          <w:rFonts w:ascii="Palatino Linotype" w:hAnsi="Palatino Linotype"/>
        </w:rPr>
        <w:instrText>ADDIN CSL_CITATION { "citationItems" : [ { "id" : "ITEM-1", "itemData" : { "author" : [ { "dropping-particle" : "", "family" : "Clemants", "given" : "Steven", "non-dropping-particle" : "", "parse-names" : false, "suffix" : "" }, { "dropping-particle" : "", "family" : "Moore", "given" : "Gerry", "non-dropping-particle" : "", "parse-names" : false, "suffix" : "" } ], "container-title" : "Urban Habitats", "id" : "ITEM-1", "issue" : "1", "issued" : { "date-parts" : [ [ "2003" ] ] }, "page" : "4-16", "title" : "Patterns of Species Richness in Eight Northeastern United States Cities", "type" : "article-journal", "volume" : "1" }, "uris" : [ "http://www.mendeley.com/documents/?uuid=5433f26e-40b1-44fe-962d-c16beb11ade2" ] } ], "mendeley" : { "formattedCitation" : "(Clemants and Moore, 2003)", "plainTextFormattedCitation" : "(Clemants and Moore, 2003)", "previouslyFormattedCitation" : "(Clemants and Moore, 2003)" }, "properties" : { "noteIndex" : 0 }, "schema" : "https://github.com/citation-style-language/schema/raw/master/csl-citation.json" }</w:instrText>
      </w:r>
      <w:r w:rsidR="0095605C" w:rsidRPr="004845FE">
        <w:rPr>
          <w:rFonts w:ascii="Palatino Linotype" w:hAnsi="Palatino Linotype"/>
        </w:rPr>
        <w:fldChar w:fldCharType="separate"/>
      </w:r>
      <w:r w:rsidR="00BF6C71" w:rsidRPr="00BF6C71">
        <w:rPr>
          <w:rFonts w:ascii="Palatino Linotype" w:hAnsi="Palatino Linotype"/>
          <w:noProof/>
        </w:rPr>
        <w:t>(Clemants and Moore, 2003)</w:t>
      </w:r>
      <w:r w:rsidR="0095605C" w:rsidRPr="004845FE">
        <w:rPr>
          <w:rFonts w:ascii="Palatino Linotype" w:hAnsi="Palatino Linotype"/>
        </w:rPr>
        <w:fldChar w:fldCharType="end"/>
      </w:r>
      <w:r w:rsidR="0095605C" w:rsidRPr="004845FE">
        <w:rPr>
          <w:rFonts w:ascii="Palatino Linotype" w:hAnsi="Palatino Linotype"/>
        </w:rPr>
        <w:t xml:space="preserve">. </w:t>
      </w:r>
      <w:r w:rsidRPr="0086350F">
        <w:rPr>
          <w:rFonts w:ascii="Palatino Linotype" w:hAnsi="Palatino Linotype"/>
          <w:szCs w:val="24"/>
        </w:rPr>
        <w:t>We assumed that urban land use conversion in Massachusetts replaces some, but not necessarily all, of the natural</w:t>
      </w:r>
      <w:r w:rsidR="00DF6C60">
        <w:rPr>
          <w:rFonts w:ascii="Palatino Linotype" w:hAnsi="Palatino Linotype"/>
          <w:szCs w:val="24"/>
        </w:rPr>
        <w:t>ly occurring</w:t>
      </w:r>
      <w:r w:rsidRPr="0086350F">
        <w:rPr>
          <w:rFonts w:ascii="Palatino Linotype" w:hAnsi="Palatino Linotype"/>
          <w:szCs w:val="24"/>
        </w:rPr>
        <w:t xml:space="preserve"> deciduous broadleaf vegetation, and that the urban forest featu</w:t>
      </w:r>
      <w:r w:rsidR="006334D9">
        <w:rPr>
          <w:rFonts w:ascii="Palatino Linotype" w:hAnsi="Palatino Linotype"/>
          <w:szCs w:val="24"/>
        </w:rPr>
        <w:t>res similar species composition</w:t>
      </w:r>
      <w:r w:rsidRPr="0086350F">
        <w:rPr>
          <w:rFonts w:ascii="Palatino Linotype" w:hAnsi="Palatino Linotype"/>
          <w:szCs w:val="24"/>
        </w:rPr>
        <w:t xml:space="preserve"> as the surrounding natural forest</w:t>
      </w:r>
      <w:r w:rsidR="00DF6C60">
        <w:rPr>
          <w:rFonts w:ascii="Palatino Linotype" w:hAnsi="Palatino Linotype"/>
          <w:szCs w:val="24"/>
        </w:rPr>
        <w:t>; the reduced vegetative cover will be evident in the lower observed values of greenness in urban areas</w:t>
      </w:r>
      <w:r w:rsidRPr="0086350F">
        <w:rPr>
          <w:rFonts w:ascii="Palatino Linotype" w:hAnsi="Palatino Linotype"/>
          <w:szCs w:val="24"/>
        </w:rPr>
        <w:t>.</w:t>
      </w:r>
      <w:r>
        <w:rPr>
          <w:rFonts w:ascii="Palatino Linotype" w:hAnsi="Palatino Linotype"/>
          <w:szCs w:val="24"/>
        </w:rPr>
        <w:t xml:space="preserve"> </w:t>
      </w:r>
      <w:r>
        <w:rPr>
          <w:rFonts w:ascii="Palatino Linotype" w:hAnsi="Palatino Linotype"/>
        </w:rPr>
        <w:t>Therefore, we used deciduous bro</w:t>
      </w:r>
      <w:r w:rsidR="00FC58B4">
        <w:rPr>
          <w:rFonts w:ascii="Palatino Linotype" w:hAnsi="Palatino Linotype"/>
        </w:rPr>
        <w:t xml:space="preserve">adleaf forest parameter values </w:t>
      </w:r>
      <w:r w:rsidR="004D479E">
        <w:rPr>
          <w:rFonts w:ascii="Palatino Linotype" w:hAnsi="Palatino Linotype"/>
        </w:rPr>
        <w:t>(</w:t>
      </w:r>
      <w:r w:rsidR="004D479E" w:rsidRPr="003A3C52">
        <w:rPr>
          <w:rFonts w:ascii="Palatino Linotype" w:hAnsi="Palatino Linotype"/>
          <w:i/>
        </w:rPr>
        <w:t>λ, α, β, T</w:t>
      </w:r>
      <w:r w:rsidR="004D479E" w:rsidRPr="003A3C52">
        <w:rPr>
          <w:rFonts w:ascii="Palatino Linotype" w:hAnsi="Palatino Linotype"/>
          <w:i/>
          <w:vertAlign w:val="subscript"/>
        </w:rPr>
        <w:t>opt</w:t>
      </w:r>
      <w:r w:rsidR="004D479E" w:rsidRPr="003A3C52">
        <w:rPr>
          <w:rFonts w:ascii="Palatino Linotype" w:hAnsi="Palatino Linotype"/>
          <w:i/>
        </w:rPr>
        <w:t>, T</w:t>
      </w:r>
      <w:r w:rsidR="004D479E" w:rsidRPr="003A3C52">
        <w:rPr>
          <w:rFonts w:ascii="Palatino Linotype" w:hAnsi="Palatino Linotype"/>
          <w:i/>
          <w:vertAlign w:val="subscript"/>
        </w:rPr>
        <w:t>min</w:t>
      </w:r>
      <w:r w:rsidR="004D479E" w:rsidRPr="003A3C52">
        <w:rPr>
          <w:rFonts w:ascii="Palatino Linotype" w:hAnsi="Palatino Linotype"/>
          <w:i/>
        </w:rPr>
        <w:t>, T</w:t>
      </w:r>
      <w:r w:rsidR="004D479E" w:rsidRPr="003A3C52">
        <w:rPr>
          <w:rFonts w:ascii="Palatino Linotype" w:hAnsi="Palatino Linotype"/>
          <w:i/>
          <w:vertAlign w:val="subscript"/>
        </w:rPr>
        <w:t>max</w:t>
      </w:r>
      <w:r w:rsidR="004D479E" w:rsidRPr="003A3C52">
        <w:rPr>
          <w:rFonts w:ascii="Palatino Linotype" w:hAnsi="Palatino Linotype"/>
          <w:i/>
        </w:rPr>
        <w:t>, T</w:t>
      </w:r>
      <w:r w:rsidR="004D479E" w:rsidRPr="003A3C52">
        <w:rPr>
          <w:rFonts w:ascii="Palatino Linotype" w:hAnsi="Palatino Linotype"/>
          <w:i/>
          <w:vertAlign w:val="subscript"/>
        </w:rPr>
        <w:t>low</w:t>
      </w:r>
      <w:r w:rsidR="004D479E" w:rsidRPr="003A3C52">
        <w:rPr>
          <w:rFonts w:ascii="Palatino Linotype" w:hAnsi="Palatino Linotype"/>
          <w:i/>
        </w:rPr>
        <w:t xml:space="preserve">, </w:t>
      </w:r>
      <w:r w:rsidR="004D479E" w:rsidRPr="00ED4B9A">
        <w:rPr>
          <w:rFonts w:ascii="Palatino Linotype" w:hAnsi="Palatino Linotype"/>
        </w:rPr>
        <w:t>and</w:t>
      </w:r>
      <w:r w:rsidR="004D479E" w:rsidRPr="003A3C52">
        <w:rPr>
          <w:rFonts w:ascii="Palatino Linotype" w:hAnsi="Palatino Linotype"/>
          <w:i/>
        </w:rPr>
        <w:t xml:space="preserve"> PAR</w:t>
      </w:r>
      <w:r w:rsidR="004D479E" w:rsidRPr="003A3C52">
        <w:rPr>
          <w:rFonts w:ascii="Palatino Linotype" w:hAnsi="Palatino Linotype"/>
          <w:i/>
          <w:vertAlign w:val="subscript"/>
        </w:rPr>
        <w:t>0</w:t>
      </w:r>
      <w:r w:rsidR="004D479E">
        <w:rPr>
          <w:rFonts w:ascii="Palatino Linotype" w:hAnsi="Palatino Linotype"/>
        </w:rPr>
        <w:t xml:space="preserve">, </w:t>
      </w:r>
      <w:r w:rsidR="003A3C52">
        <w:rPr>
          <w:rFonts w:ascii="Palatino Linotype" w:hAnsi="Palatino Linotype"/>
        </w:rPr>
        <w:t>Table 1</w:t>
      </w:r>
      <w:r w:rsidR="004D479E">
        <w:rPr>
          <w:rFonts w:ascii="Palatino Linotype" w:hAnsi="Palatino Linotype"/>
        </w:rPr>
        <w:t xml:space="preserve">) </w:t>
      </w:r>
      <w:r>
        <w:rPr>
          <w:rFonts w:ascii="Palatino Linotype" w:hAnsi="Palatino Linotype"/>
        </w:rPr>
        <w:t xml:space="preserve">based on data from Harvard Forest, Petersham, MA) for the entire </w:t>
      </w:r>
      <w:r w:rsidR="00DF6C60">
        <w:rPr>
          <w:rFonts w:ascii="Palatino Linotype" w:hAnsi="Palatino Linotype"/>
        </w:rPr>
        <w:t>study area</w:t>
      </w:r>
      <w:r w:rsidR="006C5895">
        <w:rPr>
          <w:rFonts w:ascii="Palatino Linotype" w:hAnsi="Palatino Linotype"/>
        </w:rPr>
        <w:t xml:space="preserve">. This </w:t>
      </w:r>
      <w:r w:rsidR="00DF6C60">
        <w:rPr>
          <w:rFonts w:ascii="Palatino Linotype" w:hAnsi="Palatino Linotype"/>
        </w:rPr>
        <w:t xml:space="preserve">choice </w:t>
      </w:r>
      <w:r w:rsidR="006C5895">
        <w:rPr>
          <w:rFonts w:ascii="Palatino Linotype" w:hAnsi="Palatino Linotype"/>
        </w:rPr>
        <w:t xml:space="preserve">was necessary for several reasons: 1) deciduous broadleaf forest is the dominant cover for the state </w:t>
      </w:r>
      <w:r w:rsidR="006C5895">
        <w:rPr>
          <w:rFonts w:ascii="Palatino Linotype" w:hAnsi="Palatino Linotype"/>
        </w:rPr>
        <w:fldChar w:fldCharType="begin" w:fldLock="1"/>
      </w:r>
      <w:r w:rsidR="000C0119">
        <w:rPr>
          <w:rFonts w:ascii="Palatino Linotype" w:hAnsi="Palatino Linotype"/>
        </w:rPr>
        <w:instrText>ADDIN CSL_CITATION { "citationItems" : [ { "id" : "ITEM-1", "itemData" : { "author" : [ { "dropping-particle" : "", "family" : "Homer", "given" : "C.G.", "non-dropping-particle" : "", "parse-names" : false, "suffix" : "" }, { "dropping-particle" : "", "family" : "Dewitz", "given" : "J.A.", "non-dropping-particle" : "", "parse-names" : false, "suffix" : "" }, { "dropping-particle" : "", "family" : "Yang", "given" : "L.", "non-dropping-particle" : "", "parse-names" : false, "suffix" : "" }, { "dropping-particle" : "", "family" : "Jin", "given" : "S.", "non-dropping-particle" : "", "parse-names" : false, "suffix" : "" }, { "dropping-particle" : "", "family" : "Danielson", "given" : "P.", "non-dropping-particle" : "", "parse-names" : false, "suffix" : "" }, { "dropping-particle" : "", "family" : "Xian", "given" : "G.", "non-dropping-particle" : "", "parse-names" : false, "suffix" : "" }, { "dropping-particle" : "", "family" : "Coulston", "given" : "J.", "non-dropping-particle" : "", "parse-names" : false, "suffix" : "" }, { "dropping-particle" : "", "family" : "Herold", "given" : "N.D.", "non-dropping-particle" : "", "parse-names" : false, "suffix" : "" }, { "dropping-particle" : "", "family" : "Wickham", "given" : "J.D.", "non-dropping-particle" : "", "parse-names" : false, "suffix" : "" }, { "dropping-particle" : "", "family" : "Megown", "given" : "K.", "non-dropping-particle" : "", "parse-names" : false, "suffix" : "" } ], "container-title" : "Photogrammetric Engineering and Remote Sensing", "id" : "ITEM-1", "issue" : "5", "issued" : { "date-parts" : [ [ "2015" ] ] }, "page" : "345-354", "title" : "Completion of the 2011 National Land Cover Database for the conterminous United States-Representing a decade of land cover change information", "type" : "article-journal", "volume" : "81" }, "uris" : [ "http://www.mendeley.com/documents/?uuid=8a142662-1527-41aa-a678-14fced854968" ] } ], "mendeley" : { "formattedCitation" : "(Homer et al., 2015)", "plainTextFormattedCitation" : "(Homer et al., 2015)", "previouslyFormattedCitation" : "(Homer et al., 2015)" }, "properties" : { "noteIndex" : 0 }, "schema" : "https://github.com/citation-style-language/schema/raw/master/csl-citation.json" }</w:instrText>
      </w:r>
      <w:r w:rsidR="006C5895">
        <w:rPr>
          <w:rFonts w:ascii="Palatino Linotype" w:hAnsi="Palatino Linotype"/>
        </w:rPr>
        <w:fldChar w:fldCharType="separate"/>
      </w:r>
      <w:r w:rsidR="00BF6C71" w:rsidRPr="00BF6C71">
        <w:rPr>
          <w:rFonts w:ascii="Palatino Linotype" w:hAnsi="Palatino Linotype"/>
          <w:noProof/>
        </w:rPr>
        <w:t>(Homer et al., 2015)</w:t>
      </w:r>
      <w:r w:rsidR="006C5895">
        <w:rPr>
          <w:rFonts w:ascii="Palatino Linotype" w:hAnsi="Palatino Linotype"/>
        </w:rPr>
        <w:fldChar w:fldCharType="end"/>
      </w:r>
      <w:r w:rsidR="006C5895">
        <w:rPr>
          <w:rFonts w:ascii="Palatino Linotype" w:hAnsi="Palatino Linotype"/>
        </w:rPr>
        <w:t>; 2) no parameterization exists for urban ecosystems; 3) the vegetation in urban portions of MA is dominated by species native to temperate deciduous broadleaf forests; and 4) other ecosystem types present in MA (e.g. grasslands, small-scale agriculture) are poorly represented</w:t>
      </w:r>
      <w:r w:rsidR="006C5895" w:rsidRPr="000630AE">
        <w:rPr>
          <w:rFonts w:ascii="Palatino Linotype" w:hAnsi="Palatino Linotype"/>
        </w:rPr>
        <w:t xml:space="preserve"> </w:t>
      </w:r>
      <w:r w:rsidR="006C5895">
        <w:rPr>
          <w:rFonts w:ascii="Palatino Linotype" w:hAnsi="Palatino Linotype"/>
        </w:rPr>
        <w:t>by existing VPRM parameterizations (e.g. tall grass prairie/steppe/savannah</w:t>
      </w:r>
      <w:r w:rsidR="00593AF1">
        <w:rPr>
          <w:rFonts w:ascii="Palatino Linotype" w:hAnsi="Palatino Linotype"/>
        </w:rPr>
        <w:t>, Mediterranean grasslands,</w:t>
      </w:r>
      <w:r w:rsidR="006C5895">
        <w:rPr>
          <w:rFonts w:ascii="Palatino Linotype" w:hAnsi="Palatino Linotype"/>
        </w:rPr>
        <w:t xml:space="preserve"> and corn/soybeans)</w:t>
      </w:r>
      <w:r w:rsidR="006334D9">
        <w:rPr>
          <w:rFonts w:ascii="Palatino Linotype" w:hAnsi="Palatino Linotype"/>
        </w:rPr>
        <w:t xml:space="preserve"> </w:t>
      </w:r>
      <w:r w:rsidR="006334D9">
        <w:rPr>
          <w:rFonts w:ascii="Palatino Linotype" w:hAnsi="Palatino Linotype"/>
        </w:rPr>
        <w:fldChar w:fldCharType="begin" w:fldLock="1"/>
      </w:r>
      <w:r w:rsidR="000C0119">
        <w:rPr>
          <w:rFonts w:ascii="Palatino Linotype" w:hAnsi="Palatino Linotype"/>
        </w:rPr>
        <w:instrText>ADDIN CSL_CITATION { "citationItems" : [ { "id" : "ITEM-1", "itemData" : { "DOI" : "10.1029/2006GB002735", "ISBN" : "0886-6236", "ISSN" : "08866236", "abstract" : "We present the Vegetation Photosynthesis and Respiration Model (VPRM), a satellite-based assimilation scheme that estimates hourly values of Net Ecosystem Exchange (NEE) of CO2 for 12 North American biomes using the Enhanced Vegetation Index (EVI) and Land Surface Water Index (LSWI), derived from reflectance data of the Moderate Resolution Imaging Spectroradiometer (MODIS), plus high-resolution data for sunlight and air temperature. The motivation is to provide reliable, fine-grained first-guess fields of surface CO2 fluxes for application in inverse models at continental and smaller scales. An extremely simple mathematical structure, with minimal numbers of parameters, facilitates optimization using in situ data, with finesse provided by maximal infusion of observed NEE and environmental data from networks of eddy covariance towers across North America (AmeriFlux and Fluxnet Canada). Cross validation showed that the VPRM has strong prediction ability for hourly to monthly timescales for sites with similar vegetation. The VPRM also provides consistent partitioning of NEE into Gross Ecosystem Exchange (GEE, the light-dependent part of NEE) and ecosystem respiration (R, the light-independent part), half-saturation irradiance of ecosystem photosynthesis, and annual sum of NEE at all eddy flux sites for which it is optimized. The capability to provide reliable patterns of surface flux for fine-scale inversions is presently limited by the number of vegetation classes for which NEE can be constrained by the current network of eddy flux sites and by the accuracy of MODIS data and data for sunlight.", "author" : [ { "dropping-particle" : "", "family" : "Mahadevan", "given" : "Pathmathevan", "non-dropping-particle" : "", "parse-names" : false, "suffix" : "" }, { "dropping-particle" : "", "family" : "Wofsy", "given" : "Steven C.", "non-dropping-particle" : "", "parse-names" : false, "suffix" : "" }, { "dropping-particle" : "", "family" : "Matross", "given" : "Daniel M.", "non-dropping-particle" : "", "parse-names" : false, "suffix" : "" }, { "dropping-particle" : "", "family" : "Xiao", "given" : "Xiangming", "non-dropping-particle" : "", "parse-names" : false, "suffix" : "" }, { "dropping-particle" : "", "family" : "Dunn", "given" : "Allison L.", "non-dropping-particle" : "", "parse-names" : false, "suffix" : "" }, { "dropping-particle" : "", "family" : "Lin", "given" : "John C.", "non-dropping-particle" : "", "parse-names" : false, "suffix" : "" }, { "dropping-particle" : "", "family" : "Gerbig", "given" : "Christoph", "non-dropping-particle" : "", "parse-names" : false, "suffix" : "" }, { "dropping-particle" : "", "family" : "Munger", "given" : "J. William", "non-dropping-particle" : "", "parse-names" : false, "suffix" : "" }, { "dropping-particle" : "", "family" : "Chow", "given" : "Victoria Y.", "non-dropping-particle" : "", "parse-names" : false, "suffix" : "" }, { "dropping-particle" : "", "family" : "Gottlieb", "given" : "Elaine W.", "non-dropping-particle" : "", "parse-names" : false, "suffix" : "" } ], "container-title" : "Global Biogeochemical Cycles", "id" : "ITEM-1", "issue" : "2", "issued" : { "date-parts" : [ [ "2008" ] ] }, "title" : "A satellite-based biosphere parameterization for net ecosystem CO2 exchange: Vegetation Photosynthesis and Respiration Model (VPRM)", "type" : "article-journal", "volume" : "22" }, "uris" : [ "http://www.mendeley.com/documents/?uuid=0b5a7a4a-a72c-43d1-b19d-d4cbbc9b07f5" ] } ], "mendeley" : { "formattedCitation" : "(Mahadevan et al., 2008)", "plainTextFormattedCitation" : "(Mahadevan et al., 2008)", "previouslyFormattedCitation" : "(Mahadevan et al., 2008)" }, "properties" : { "noteIndex" : 0 }, "schema" : "https://github.com/citation-style-language/schema/raw/master/csl-citation.json" }</w:instrText>
      </w:r>
      <w:r w:rsidR="006334D9">
        <w:rPr>
          <w:rFonts w:ascii="Palatino Linotype" w:hAnsi="Palatino Linotype"/>
        </w:rPr>
        <w:fldChar w:fldCharType="separate"/>
      </w:r>
      <w:r w:rsidR="00BF6C71" w:rsidRPr="00BF6C71">
        <w:rPr>
          <w:rFonts w:ascii="Palatino Linotype" w:hAnsi="Palatino Linotype"/>
          <w:noProof/>
        </w:rPr>
        <w:t>(Mahadevan et al., 2008)</w:t>
      </w:r>
      <w:r w:rsidR="006334D9">
        <w:rPr>
          <w:rFonts w:ascii="Palatino Linotype" w:hAnsi="Palatino Linotype"/>
        </w:rPr>
        <w:fldChar w:fldCharType="end"/>
      </w:r>
      <w:r>
        <w:rPr>
          <w:rFonts w:ascii="Palatino Linotype" w:hAnsi="Palatino Linotype"/>
        </w:rPr>
        <w:t xml:space="preserve">.  The impact of this approximation was </w:t>
      </w:r>
      <w:r w:rsidR="00DF6C60">
        <w:rPr>
          <w:rFonts w:ascii="Palatino Linotype" w:hAnsi="Palatino Linotype"/>
        </w:rPr>
        <w:t xml:space="preserve">relatively </w:t>
      </w:r>
      <w:r>
        <w:rPr>
          <w:rFonts w:ascii="Palatino Linotype" w:hAnsi="Palatino Linotype"/>
        </w:rPr>
        <w:t xml:space="preserve">minor </w:t>
      </w:r>
      <w:r w:rsidRPr="006334D9">
        <w:rPr>
          <w:rFonts w:ascii="Palatino Linotype" w:hAnsi="Palatino Linotype"/>
        </w:rPr>
        <w:t xml:space="preserve">because these classes </w:t>
      </w:r>
      <w:r w:rsidR="006334D9">
        <w:rPr>
          <w:rFonts w:ascii="Palatino Linotype" w:hAnsi="Palatino Linotype"/>
        </w:rPr>
        <w:t xml:space="preserve">only </w:t>
      </w:r>
      <w:r w:rsidRPr="006334D9">
        <w:rPr>
          <w:rFonts w:ascii="Palatino Linotype" w:hAnsi="Palatino Linotype"/>
        </w:rPr>
        <w:t>occupy 14% of the landscape, most of which is outside of urban areas</w:t>
      </w:r>
      <w:r w:rsidR="00B30CD7" w:rsidRPr="006334D9">
        <w:rPr>
          <w:rFonts w:ascii="Palatino Linotype" w:hAnsi="Palatino Linotype"/>
        </w:rPr>
        <w:t>. Model resolution was 500m and</w:t>
      </w:r>
      <w:r w:rsidR="00593AF1" w:rsidRPr="006334D9">
        <w:rPr>
          <w:rFonts w:ascii="Palatino Linotype" w:hAnsi="Palatino Linotype"/>
        </w:rPr>
        <w:t xml:space="preserve"> at this spatial scale (500m), we expect that instances of grasslands and croplands in New England are likely to </w:t>
      </w:r>
      <w:r w:rsidR="00B30CD7" w:rsidRPr="006334D9">
        <w:rPr>
          <w:rFonts w:ascii="Palatino Linotype" w:hAnsi="Palatino Linotype"/>
        </w:rPr>
        <w:t>also contain</w:t>
      </w:r>
      <w:r w:rsidR="00593AF1" w:rsidRPr="006334D9">
        <w:rPr>
          <w:rFonts w:ascii="Palatino Linotype" w:hAnsi="Palatino Linotype"/>
        </w:rPr>
        <w:t xml:space="preserve"> </w:t>
      </w:r>
      <w:r w:rsidR="006334D9">
        <w:rPr>
          <w:rFonts w:ascii="Palatino Linotype" w:hAnsi="Palatino Linotype"/>
        </w:rPr>
        <w:t xml:space="preserve">substantial </w:t>
      </w:r>
      <w:r w:rsidR="00593AF1" w:rsidRPr="006334D9">
        <w:rPr>
          <w:rFonts w:ascii="Palatino Linotype" w:hAnsi="Palatino Linotype"/>
        </w:rPr>
        <w:t>deciduous broadleaf forest</w:t>
      </w:r>
      <w:r w:rsidRPr="006334D9">
        <w:rPr>
          <w:rFonts w:ascii="Palatino Linotype" w:hAnsi="Palatino Linotype"/>
        </w:rPr>
        <w:t>.</w:t>
      </w:r>
    </w:p>
    <w:p w14:paraId="5494C0F8" w14:textId="77777777" w:rsidR="003A3C52" w:rsidRPr="003A3C52" w:rsidRDefault="003A3C52">
      <w:pPr>
        <w:spacing w:line="360" w:lineRule="auto"/>
        <w:rPr>
          <w:color w:val="000000" w:themeColor="text1"/>
          <w:szCs w:val="24"/>
        </w:rPr>
      </w:pPr>
    </w:p>
    <w:p w14:paraId="69BBCF9F" w14:textId="11FA185C" w:rsidR="003A3C52" w:rsidRPr="00FC58B4" w:rsidRDefault="003A3C52">
      <w:pPr>
        <w:pStyle w:val="Caption"/>
        <w:keepNext/>
        <w:spacing w:line="360" w:lineRule="auto"/>
        <w:rPr>
          <w:i w:val="0"/>
          <w:noProof/>
          <w:color w:val="000000" w:themeColor="text1"/>
          <w:sz w:val="24"/>
          <w:szCs w:val="24"/>
        </w:rPr>
      </w:pPr>
      <w:r w:rsidRPr="006334D9">
        <w:rPr>
          <w:color w:val="000000" w:themeColor="text1"/>
          <w:sz w:val="24"/>
          <w:szCs w:val="24"/>
        </w:rPr>
        <w:lastRenderedPageBreak/>
        <w:t xml:space="preserve">Table </w:t>
      </w:r>
      <w:r w:rsidRPr="006334D9">
        <w:rPr>
          <w:color w:val="000000" w:themeColor="text1"/>
          <w:sz w:val="24"/>
          <w:szCs w:val="24"/>
        </w:rPr>
        <w:fldChar w:fldCharType="begin"/>
      </w:r>
      <w:r w:rsidRPr="006334D9">
        <w:rPr>
          <w:color w:val="000000" w:themeColor="text1"/>
          <w:sz w:val="24"/>
          <w:szCs w:val="24"/>
        </w:rPr>
        <w:instrText xml:space="preserve"> SEQ Table \* ARABIC </w:instrText>
      </w:r>
      <w:r w:rsidRPr="006334D9">
        <w:rPr>
          <w:color w:val="000000" w:themeColor="text1"/>
          <w:sz w:val="24"/>
          <w:szCs w:val="24"/>
        </w:rPr>
        <w:fldChar w:fldCharType="separate"/>
      </w:r>
      <w:r w:rsidRPr="006334D9">
        <w:rPr>
          <w:noProof/>
          <w:color w:val="000000" w:themeColor="text1"/>
          <w:sz w:val="24"/>
          <w:szCs w:val="24"/>
        </w:rPr>
        <w:t>1</w:t>
      </w:r>
      <w:r w:rsidRPr="006334D9">
        <w:rPr>
          <w:color w:val="000000" w:themeColor="text1"/>
          <w:sz w:val="24"/>
          <w:szCs w:val="24"/>
        </w:rPr>
        <w:fldChar w:fldCharType="end"/>
      </w:r>
      <w:r w:rsidR="006334D9">
        <w:rPr>
          <w:color w:val="000000" w:themeColor="text1"/>
          <w:sz w:val="24"/>
          <w:szCs w:val="24"/>
        </w:rPr>
        <w:t xml:space="preserve">. </w:t>
      </w:r>
      <w:r w:rsidRPr="006334D9">
        <w:rPr>
          <w:i w:val="0"/>
          <w:color w:val="000000" w:themeColor="text1"/>
          <w:sz w:val="24"/>
          <w:szCs w:val="24"/>
        </w:rPr>
        <w:t>Deciduous Broadleaf Forest Model Parameters</w:t>
      </w:r>
      <w:r w:rsidR="006334D9" w:rsidRPr="006334D9">
        <w:rPr>
          <w:i w:val="0"/>
          <w:noProof/>
          <w:color w:val="000000" w:themeColor="text1"/>
          <w:sz w:val="24"/>
          <w:szCs w:val="24"/>
        </w:rPr>
        <w:t>*</w:t>
      </w:r>
      <w:r w:rsidRPr="006334D9">
        <w:rPr>
          <w:i w:val="0"/>
          <w:color w:val="000000" w:themeColor="text1"/>
          <w:sz w:val="24"/>
          <w:szCs w:val="24"/>
        </w:rPr>
        <w:t xml:space="preserve"> </w:t>
      </w:r>
      <w:r w:rsidRPr="006334D9">
        <w:rPr>
          <w:i w:val="0"/>
          <w:noProof/>
          <w:color w:val="000000" w:themeColor="text1"/>
          <w:sz w:val="24"/>
          <w:szCs w:val="24"/>
        </w:rPr>
        <w:t>used in UrbanVPRM</w:t>
      </w:r>
      <w:r w:rsidR="006334D9" w:rsidRPr="006334D9">
        <w:rPr>
          <w:i w:val="0"/>
          <w:noProof/>
          <w:color w:val="000000" w:themeColor="text1"/>
          <w:sz w:val="24"/>
          <w:szCs w:val="24"/>
        </w:rPr>
        <w:t xml:space="preserve"> taken from Mahadevan et al.</w:t>
      </w:r>
      <w:r w:rsidR="00625E08">
        <w:rPr>
          <w:i w:val="0"/>
          <w:noProof/>
          <w:color w:val="000000" w:themeColor="text1"/>
          <w:sz w:val="24"/>
          <w:szCs w:val="24"/>
        </w:rPr>
        <w:t xml:space="preserve"> </w:t>
      </w:r>
      <w:r w:rsidR="00625E08">
        <w:rPr>
          <w:noProof/>
          <w:color w:val="000000" w:themeColor="text1"/>
          <w:sz w:val="24"/>
          <w:szCs w:val="24"/>
        </w:rPr>
        <w:fldChar w:fldCharType="begin" w:fldLock="1"/>
      </w:r>
      <w:r w:rsidR="00625E08">
        <w:rPr>
          <w:noProof/>
          <w:color w:val="000000" w:themeColor="text1"/>
          <w:sz w:val="24"/>
          <w:szCs w:val="24"/>
        </w:rPr>
        <w:instrText>ADDIN CSL_CITATION { "citationItems" : [ { "id" : "ITEM-1", "itemData" : { "DOI" : "10.1029/2006GB002735", "ISBN" : "0886-6236", "ISSN" : "08866236", "abstract" : "We present the Vegetation Photosynthesis and Respiration Model (VPRM), a satellite-based assimilation scheme that estimates hourly values of Net Ecosystem Exchange (NEE) of CO2 for 12 North American biomes using the Enhanced Vegetation Index (EVI) and Land Surface Water Index (LSWI), derived from reflectance data of the Moderate Resolution Imaging Spectroradiometer (MODIS), plus high-resolution data for sunlight and air temperature. The motivation is to provide reliable, fine-grained first-guess fields of surface CO2 fluxes for application in inverse models at continental and smaller scales. An extremely simple mathematical structure, with minimal numbers of parameters, facilitates optimization using in situ data, with finesse provided by maximal infusion of observed NEE and environmental data from networks of eddy covariance towers across North America (AmeriFlux and Fluxnet Canada). Cross validation showed that the VPRM has strong prediction ability for hourly to monthly timescales for sites with similar vegetation. The VPRM also provides consistent partitioning of NEE into Gross Ecosystem Exchange (GEE, the light-dependent part of NEE) and ecosystem respiration (R, the light-independent part), half-saturation irradiance of ecosystem photosynthesis, and annual sum of NEE at all eddy flux sites for which it is optimized. The capability to provide reliable patterns of surface flux for fine-scale inversions is presently limited by the number of vegetation classes for which NEE can be constrained by the current network of eddy flux sites and by the accuracy of MODIS data and data for sunlight.", "author" : [ { "dropping-particle" : "", "family" : "Mahadevan", "given" : "Pathmathevan", "non-dropping-particle" : "", "parse-names" : false, "suffix" : "" }, { "dropping-particle" : "", "family" : "Wofsy", "given" : "Steven C.", "non-dropping-particle" : "", "parse-names" : false, "suffix" : "" }, { "dropping-particle" : "", "family" : "Matross", "given" : "Daniel M.", "non-dropping-particle" : "", "parse-names" : false, "suffix" : "" }, { "dropping-particle" : "", "family" : "Xiao", "given" : "Xiangming", "non-dropping-particle" : "", "parse-names" : false, "suffix" : "" }, { "dropping-particle" : "", "family" : "Dunn", "given" : "Allison L.", "non-dropping-particle" : "", "parse-names" : false, "suffix" : "" }, { "dropping-particle" : "", "family" : "Lin", "given" : "John C.", "non-dropping-particle" : "", "parse-names" : false, "suffix" : "" }, { "dropping-particle" : "", "family" : "Gerbig", "given" : "Christoph", "non-dropping-particle" : "", "parse-names" : false, "suffix" : "" }, { "dropping-particle" : "", "family" : "Munger", "given" : "J. William", "non-dropping-particle" : "", "parse-names" : false, "suffix" : "" }, { "dropping-particle" : "", "family" : "Chow", "given" : "Victoria Y.", "non-dropping-particle" : "", "parse-names" : false, "suffix" : "" }, { "dropping-particle" : "", "family" : "Gottlieb", "given" : "Elaine W.", "non-dropping-particle" : "", "parse-names" : false, "suffix" : "" } ], "container-title" : "Global Biogeochemical Cycles", "id" : "ITEM-1", "issue" : "2", "issued" : { "date-parts" : [ [ "2008" ] ] }, "title" : "A satellite-based biosphere parameterization for net ecosystem CO2 exchange: Vegetation Photosynthesis and Respiration Model (VPRM)", "type" : "article-journal", "volume" : "22" }, "suppress-author" : 1, "uris" : [ "http://www.mendeley.com/documents/?uuid=0b5a7a4a-a72c-43d1-b19d-d4cbbc9b07f5" ] } ], "mendeley" : { "formattedCitation" : "(2008)", "plainTextFormattedCitation" : "(2008)", "previouslyFormattedCitation" : "(2008)" }, "properties" : { "noteIndex" : 0 }, "schema" : "https://github.com/citation-style-language/schema/raw/master/csl-citation.json" }</w:instrText>
      </w:r>
      <w:r w:rsidR="00625E08">
        <w:rPr>
          <w:noProof/>
          <w:color w:val="000000" w:themeColor="text1"/>
          <w:sz w:val="24"/>
          <w:szCs w:val="24"/>
        </w:rPr>
        <w:fldChar w:fldCharType="separate"/>
      </w:r>
      <w:r w:rsidR="00625E08" w:rsidRPr="00625E08">
        <w:rPr>
          <w:i w:val="0"/>
          <w:noProof/>
          <w:color w:val="000000" w:themeColor="text1"/>
          <w:sz w:val="24"/>
          <w:szCs w:val="24"/>
        </w:rPr>
        <w:t>(2008)</w:t>
      </w:r>
      <w:r w:rsidR="00625E08">
        <w:rPr>
          <w:noProof/>
          <w:color w:val="000000" w:themeColor="text1"/>
          <w:sz w:val="24"/>
          <w:szCs w:val="24"/>
        </w:rPr>
        <w:fldChar w:fldCharType="end"/>
      </w:r>
      <w:r w:rsidR="00FC58B4">
        <w:rPr>
          <w:i w:val="0"/>
          <w:noProof/>
          <w:color w:val="000000" w:themeColor="text1"/>
          <w:sz w:val="24"/>
          <w:szCs w:val="24"/>
        </w:rPr>
        <w:t>. Parameters are explained in text.</w:t>
      </w:r>
    </w:p>
    <w:tbl>
      <w:tblPr>
        <w:tblStyle w:val="PlainTable21"/>
        <w:tblW w:w="0" w:type="auto"/>
        <w:tblLook w:val="04A0" w:firstRow="1" w:lastRow="0" w:firstColumn="1" w:lastColumn="0" w:noHBand="0" w:noVBand="1"/>
      </w:tblPr>
      <w:tblGrid>
        <w:gridCol w:w="1107"/>
        <w:gridCol w:w="1107"/>
        <w:gridCol w:w="1107"/>
        <w:gridCol w:w="1107"/>
        <w:gridCol w:w="1107"/>
        <w:gridCol w:w="1107"/>
        <w:gridCol w:w="1107"/>
        <w:gridCol w:w="1107"/>
      </w:tblGrid>
      <w:tr w:rsidR="003A3C52" w:rsidRPr="003A3C52" w14:paraId="3A98829D" w14:textId="77777777" w:rsidTr="003A3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6518E552" w14:textId="77777777" w:rsidR="003A3C52" w:rsidRPr="003A3C52" w:rsidRDefault="003A3C52">
            <w:pPr>
              <w:spacing w:line="360" w:lineRule="auto"/>
              <w:rPr>
                <w:color w:val="000000" w:themeColor="text1"/>
                <w:szCs w:val="24"/>
              </w:rPr>
            </w:pPr>
            <w:r w:rsidRPr="003A3C52">
              <w:rPr>
                <w:color w:val="000000" w:themeColor="text1"/>
                <w:szCs w:val="24"/>
              </w:rPr>
              <w:t>T</w:t>
            </w:r>
            <w:r w:rsidRPr="003A3C52">
              <w:rPr>
                <w:color w:val="000000" w:themeColor="text1"/>
                <w:szCs w:val="24"/>
                <w:vertAlign w:val="subscript"/>
              </w:rPr>
              <w:t>min</w:t>
            </w:r>
          </w:p>
        </w:tc>
        <w:tc>
          <w:tcPr>
            <w:tcW w:w="1107" w:type="dxa"/>
          </w:tcPr>
          <w:p w14:paraId="07225D79" w14:textId="77777777" w:rsidR="003A3C52" w:rsidRPr="003A3C52" w:rsidRDefault="003A3C52">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3A3C52">
              <w:rPr>
                <w:color w:val="000000" w:themeColor="text1"/>
                <w:szCs w:val="24"/>
              </w:rPr>
              <w:t>T</w:t>
            </w:r>
            <w:r w:rsidRPr="003A3C52">
              <w:rPr>
                <w:color w:val="000000" w:themeColor="text1"/>
                <w:szCs w:val="24"/>
                <w:vertAlign w:val="subscript"/>
              </w:rPr>
              <w:t>opt</w:t>
            </w:r>
          </w:p>
        </w:tc>
        <w:tc>
          <w:tcPr>
            <w:tcW w:w="1107" w:type="dxa"/>
          </w:tcPr>
          <w:p w14:paraId="4C68A6E6" w14:textId="77777777" w:rsidR="003A3C52" w:rsidRPr="003A3C52" w:rsidRDefault="003A3C52">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3A3C52">
              <w:rPr>
                <w:color w:val="000000" w:themeColor="text1"/>
                <w:szCs w:val="24"/>
              </w:rPr>
              <w:t>T</w:t>
            </w:r>
            <w:r w:rsidRPr="003A3C52">
              <w:rPr>
                <w:color w:val="000000" w:themeColor="text1"/>
                <w:szCs w:val="24"/>
                <w:vertAlign w:val="subscript"/>
              </w:rPr>
              <w:t>max</w:t>
            </w:r>
          </w:p>
        </w:tc>
        <w:tc>
          <w:tcPr>
            <w:tcW w:w="1107" w:type="dxa"/>
          </w:tcPr>
          <w:p w14:paraId="65D7AB61" w14:textId="77777777" w:rsidR="003A3C52" w:rsidRPr="003A3C52" w:rsidRDefault="003A3C52">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3A3C52">
              <w:rPr>
                <w:color w:val="000000" w:themeColor="text1"/>
                <w:szCs w:val="24"/>
              </w:rPr>
              <w:t>T</w:t>
            </w:r>
            <w:r w:rsidRPr="003A3C52">
              <w:rPr>
                <w:color w:val="000000" w:themeColor="text1"/>
                <w:szCs w:val="24"/>
                <w:vertAlign w:val="subscript"/>
              </w:rPr>
              <w:t>low</w:t>
            </w:r>
          </w:p>
        </w:tc>
        <w:tc>
          <w:tcPr>
            <w:tcW w:w="1107" w:type="dxa"/>
          </w:tcPr>
          <w:p w14:paraId="1DD6A2AC" w14:textId="77777777" w:rsidR="003A3C52" w:rsidRPr="003A3C52" w:rsidRDefault="003A3C52">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3A3C52">
              <w:rPr>
                <w:color w:val="000000" w:themeColor="text1"/>
                <w:szCs w:val="24"/>
              </w:rPr>
              <w:t>PAR</w:t>
            </w:r>
            <w:r w:rsidRPr="003A3C52">
              <w:rPr>
                <w:color w:val="000000" w:themeColor="text1"/>
                <w:szCs w:val="24"/>
                <w:vertAlign w:val="subscript"/>
              </w:rPr>
              <w:t>0</w:t>
            </w:r>
          </w:p>
        </w:tc>
        <w:tc>
          <w:tcPr>
            <w:tcW w:w="1107" w:type="dxa"/>
          </w:tcPr>
          <w:p w14:paraId="4E2B72AE" w14:textId="77777777" w:rsidR="003A3C52" w:rsidRPr="003A3C52" w:rsidRDefault="003A3C52">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3A3C52">
              <w:rPr>
                <w:color w:val="000000" w:themeColor="text1"/>
                <w:szCs w:val="24"/>
              </w:rPr>
              <w:t>λ</w:t>
            </w:r>
          </w:p>
        </w:tc>
        <w:tc>
          <w:tcPr>
            <w:tcW w:w="1107" w:type="dxa"/>
          </w:tcPr>
          <w:p w14:paraId="73DB6103" w14:textId="77777777" w:rsidR="003A3C52" w:rsidRPr="003A3C52" w:rsidRDefault="003A3C52">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3A3C52">
              <w:rPr>
                <w:color w:val="000000" w:themeColor="text1"/>
                <w:szCs w:val="24"/>
              </w:rPr>
              <w:t>Α</w:t>
            </w:r>
          </w:p>
        </w:tc>
        <w:tc>
          <w:tcPr>
            <w:tcW w:w="1107" w:type="dxa"/>
          </w:tcPr>
          <w:p w14:paraId="4225AE32" w14:textId="77777777" w:rsidR="003A3C52" w:rsidRPr="003A3C52" w:rsidRDefault="003A3C52">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3A3C52">
              <w:rPr>
                <w:color w:val="000000" w:themeColor="text1"/>
                <w:szCs w:val="24"/>
              </w:rPr>
              <w:t>β</w:t>
            </w:r>
          </w:p>
        </w:tc>
      </w:tr>
      <w:tr w:rsidR="003A3C52" w:rsidRPr="003A3C52" w14:paraId="567C44CB" w14:textId="77777777" w:rsidTr="003A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07D7A1B2" w14:textId="77777777" w:rsidR="003A3C52" w:rsidRPr="00FF54A6" w:rsidRDefault="003A3C52" w:rsidP="00D66021">
            <w:pPr>
              <w:spacing w:line="360" w:lineRule="auto"/>
              <w:rPr>
                <w:b w:val="0"/>
                <w:color w:val="000000" w:themeColor="text1"/>
                <w:szCs w:val="24"/>
              </w:rPr>
            </w:pPr>
            <w:r w:rsidRPr="00FF54A6">
              <w:rPr>
                <w:b w:val="0"/>
                <w:color w:val="000000" w:themeColor="text1"/>
                <w:szCs w:val="24"/>
              </w:rPr>
              <w:t>0</w:t>
            </w:r>
          </w:p>
        </w:tc>
        <w:tc>
          <w:tcPr>
            <w:tcW w:w="1107" w:type="dxa"/>
          </w:tcPr>
          <w:p w14:paraId="7662E946" w14:textId="77777777" w:rsidR="003A3C52" w:rsidRPr="003A3C52" w:rsidRDefault="003A3C52" w:rsidP="00D6602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A3C52">
              <w:rPr>
                <w:color w:val="000000" w:themeColor="text1"/>
                <w:szCs w:val="24"/>
              </w:rPr>
              <w:t>20</w:t>
            </w:r>
          </w:p>
        </w:tc>
        <w:tc>
          <w:tcPr>
            <w:tcW w:w="1107" w:type="dxa"/>
          </w:tcPr>
          <w:p w14:paraId="4B9C2ACC" w14:textId="77777777" w:rsidR="003A3C52" w:rsidRPr="003A3C52" w:rsidRDefault="003A3C52" w:rsidP="00D6602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A3C52">
              <w:rPr>
                <w:color w:val="000000" w:themeColor="text1"/>
                <w:szCs w:val="24"/>
              </w:rPr>
              <w:t>40</w:t>
            </w:r>
          </w:p>
        </w:tc>
        <w:tc>
          <w:tcPr>
            <w:tcW w:w="1107" w:type="dxa"/>
          </w:tcPr>
          <w:p w14:paraId="4122C46D" w14:textId="77777777" w:rsidR="003A3C52" w:rsidRPr="003A3C52" w:rsidRDefault="003A3C52" w:rsidP="00D6602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A3C52">
              <w:rPr>
                <w:color w:val="000000" w:themeColor="text1"/>
                <w:szCs w:val="24"/>
              </w:rPr>
              <w:t>5</w:t>
            </w:r>
          </w:p>
        </w:tc>
        <w:tc>
          <w:tcPr>
            <w:tcW w:w="1107" w:type="dxa"/>
          </w:tcPr>
          <w:p w14:paraId="6DD66E26" w14:textId="77777777" w:rsidR="003A3C52" w:rsidRPr="003A3C52" w:rsidRDefault="003A3C52" w:rsidP="00B93317">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A3C52">
              <w:rPr>
                <w:color w:val="000000" w:themeColor="text1"/>
                <w:szCs w:val="24"/>
              </w:rPr>
              <w:t>570</w:t>
            </w:r>
          </w:p>
        </w:tc>
        <w:tc>
          <w:tcPr>
            <w:tcW w:w="1107" w:type="dxa"/>
          </w:tcPr>
          <w:p w14:paraId="564C9EDD" w14:textId="77777777" w:rsidR="003A3C52" w:rsidRPr="003A3C52" w:rsidRDefault="003A3C52" w:rsidP="00B93317">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A3C52">
              <w:rPr>
                <w:color w:val="000000" w:themeColor="text1"/>
                <w:szCs w:val="24"/>
              </w:rPr>
              <w:t>0.127</w:t>
            </w:r>
          </w:p>
        </w:tc>
        <w:tc>
          <w:tcPr>
            <w:tcW w:w="1107" w:type="dxa"/>
          </w:tcPr>
          <w:p w14:paraId="54777640" w14:textId="77777777" w:rsidR="003A3C52" w:rsidRPr="003A3C52" w:rsidRDefault="003A3C52" w:rsidP="00B93317">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A3C52">
              <w:rPr>
                <w:color w:val="000000" w:themeColor="text1"/>
                <w:szCs w:val="24"/>
              </w:rPr>
              <w:t>0.271</w:t>
            </w:r>
          </w:p>
        </w:tc>
        <w:tc>
          <w:tcPr>
            <w:tcW w:w="1107" w:type="dxa"/>
          </w:tcPr>
          <w:p w14:paraId="060059A8" w14:textId="77777777" w:rsidR="003A3C52" w:rsidRPr="003A3C52" w:rsidRDefault="003A3C52" w:rsidP="00B64FB7">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A3C52">
              <w:rPr>
                <w:color w:val="000000" w:themeColor="text1"/>
                <w:szCs w:val="24"/>
              </w:rPr>
              <w:t>0.25</w:t>
            </w:r>
          </w:p>
        </w:tc>
      </w:tr>
    </w:tbl>
    <w:p w14:paraId="7867F383" w14:textId="28A6AF4E" w:rsidR="003A3C52" w:rsidRPr="006334D9" w:rsidRDefault="003A3C52" w:rsidP="00D66021">
      <w:pPr>
        <w:spacing w:line="360" w:lineRule="auto"/>
        <w:rPr>
          <w:color w:val="000000" w:themeColor="text1"/>
          <w:sz w:val="21"/>
          <w:szCs w:val="21"/>
        </w:rPr>
      </w:pPr>
      <w:r w:rsidRPr="006334D9">
        <w:rPr>
          <w:noProof/>
          <w:color w:val="000000" w:themeColor="text1"/>
          <w:sz w:val="21"/>
          <w:szCs w:val="21"/>
        </w:rPr>
        <w:t>* Units are as follows: T</w:t>
      </w:r>
      <w:r w:rsidRPr="006334D9">
        <w:rPr>
          <w:noProof/>
          <w:color w:val="000000" w:themeColor="text1"/>
          <w:sz w:val="21"/>
          <w:szCs w:val="21"/>
          <w:vertAlign w:val="subscript"/>
        </w:rPr>
        <w:t>min</w:t>
      </w:r>
      <w:r w:rsidRPr="006334D9">
        <w:rPr>
          <w:noProof/>
          <w:color w:val="000000" w:themeColor="text1"/>
          <w:sz w:val="21"/>
          <w:szCs w:val="21"/>
        </w:rPr>
        <w:t>/T</w:t>
      </w:r>
      <w:r w:rsidRPr="006334D9">
        <w:rPr>
          <w:noProof/>
          <w:color w:val="000000" w:themeColor="text1"/>
          <w:sz w:val="21"/>
          <w:szCs w:val="21"/>
          <w:vertAlign w:val="subscript"/>
        </w:rPr>
        <w:t>max</w:t>
      </w:r>
      <w:r w:rsidRPr="006334D9">
        <w:rPr>
          <w:noProof/>
          <w:color w:val="000000" w:themeColor="text1"/>
          <w:sz w:val="21"/>
          <w:szCs w:val="21"/>
        </w:rPr>
        <w:t>/T</w:t>
      </w:r>
      <w:r w:rsidRPr="006334D9">
        <w:rPr>
          <w:noProof/>
          <w:color w:val="000000" w:themeColor="text1"/>
          <w:sz w:val="21"/>
          <w:szCs w:val="21"/>
          <w:vertAlign w:val="subscript"/>
        </w:rPr>
        <w:t>low</w:t>
      </w:r>
      <w:r w:rsidRPr="006334D9">
        <w:rPr>
          <w:noProof/>
          <w:color w:val="000000" w:themeColor="text1"/>
          <w:sz w:val="21"/>
          <w:szCs w:val="21"/>
        </w:rPr>
        <w:t>/T</w:t>
      </w:r>
      <w:r w:rsidRPr="006334D9">
        <w:rPr>
          <w:noProof/>
          <w:color w:val="000000" w:themeColor="text1"/>
          <w:sz w:val="21"/>
          <w:szCs w:val="21"/>
          <w:vertAlign w:val="subscript"/>
        </w:rPr>
        <w:t>opt</w:t>
      </w:r>
      <w:r w:rsidRPr="006334D9">
        <w:rPr>
          <w:noProof/>
          <w:color w:val="000000" w:themeColor="text1"/>
          <w:sz w:val="21"/>
          <w:szCs w:val="21"/>
        </w:rPr>
        <w:t xml:space="preserve">: </w:t>
      </w:r>
      <w:r w:rsidR="006334D9" w:rsidRPr="006334D9">
        <w:rPr>
          <w:noProof/>
          <w:color w:val="000000" w:themeColor="text1"/>
          <w:sz w:val="21"/>
          <w:szCs w:val="21"/>
        </w:rPr>
        <w:t>º</w:t>
      </w:r>
      <w:r w:rsidRPr="006334D9">
        <w:rPr>
          <w:noProof/>
          <w:color w:val="000000" w:themeColor="text1"/>
          <w:sz w:val="21"/>
          <w:szCs w:val="21"/>
        </w:rPr>
        <w:t>C; PAR</w:t>
      </w:r>
      <w:r w:rsidRPr="006334D9">
        <w:rPr>
          <w:noProof/>
          <w:color w:val="000000" w:themeColor="text1"/>
          <w:sz w:val="21"/>
          <w:szCs w:val="21"/>
          <w:vertAlign w:val="subscript"/>
        </w:rPr>
        <w:t>0</w:t>
      </w:r>
      <w:r w:rsidRPr="006334D9">
        <w:rPr>
          <w:noProof/>
          <w:color w:val="000000" w:themeColor="text1"/>
          <w:sz w:val="21"/>
          <w:szCs w:val="21"/>
        </w:rPr>
        <w:t>: µmole m</w:t>
      </w:r>
      <w:r w:rsidRPr="006334D9">
        <w:rPr>
          <w:noProof/>
          <w:color w:val="000000" w:themeColor="text1"/>
          <w:sz w:val="21"/>
          <w:szCs w:val="21"/>
          <w:vertAlign w:val="superscript"/>
        </w:rPr>
        <w:t>-2</w:t>
      </w:r>
      <w:r w:rsidRPr="006334D9">
        <w:rPr>
          <w:noProof/>
          <w:color w:val="000000" w:themeColor="text1"/>
          <w:sz w:val="21"/>
          <w:szCs w:val="21"/>
        </w:rPr>
        <w:t xml:space="preserve"> s</w:t>
      </w:r>
      <w:r w:rsidRPr="006334D9">
        <w:rPr>
          <w:noProof/>
          <w:color w:val="000000" w:themeColor="text1"/>
          <w:sz w:val="21"/>
          <w:szCs w:val="21"/>
          <w:vertAlign w:val="superscript"/>
        </w:rPr>
        <w:t>-1</w:t>
      </w:r>
      <w:r w:rsidRPr="006334D9">
        <w:rPr>
          <w:noProof/>
          <w:color w:val="000000" w:themeColor="text1"/>
          <w:sz w:val="21"/>
          <w:szCs w:val="21"/>
        </w:rPr>
        <w:t>; λ: µmole CO</w:t>
      </w:r>
      <w:r w:rsidRPr="006334D9">
        <w:rPr>
          <w:noProof/>
          <w:color w:val="000000" w:themeColor="text1"/>
          <w:sz w:val="21"/>
          <w:szCs w:val="21"/>
          <w:vertAlign w:val="subscript"/>
        </w:rPr>
        <w:t>2</w:t>
      </w:r>
      <w:r w:rsidRPr="006334D9">
        <w:rPr>
          <w:noProof/>
          <w:color w:val="000000" w:themeColor="text1"/>
          <w:sz w:val="21"/>
          <w:szCs w:val="21"/>
        </w:rPr>
        <w:t xml:space="preserve"> m</w:t>
      </w:r>
      <w:r w:rsidRPr="006334D9">
        <w:rPr>
          <w:noProof/>
          <w:color w:val="000000" w:themeColor="text1"/>
          <w:sz w:val="21"/>
          <w:szCs w:val="21"/>
          <w:vertAlign w:val="superscript"/>
        </w:rPr>
        <w:t>-2</w:t>
      </w:r>
      <w:r w:rsidRPr="006334D9">
        <w:rPr>
          <w:noProof/>
          <w:color w:val="000000" w:themeColor="text1"/>
          <w:sz w:val="21"/>
          <w:szCs w:val="21"/>
        </w:rPr>
        <w:t xml:space="preserve"> s</w:t>
      </w:r>
      <w:r w:rsidRPr="006334D9">
        <w:rPr>
          <w:noProof/>
          <w:color w:val="000000" w:themeColor="text1"/>
          <w:sz w:val="21"/>
          <w:szCs w:val="21"/>
          <w:vertAlign w:val="superscript"/>
        </w:rPr>
        <w:t>-1</w:t>
      </w:r>
      <w:r w:rsidRPr="006334D9">
        <w:rPr>
          <w:noProof/>
          <w:color w:val="000000" w:themeColor="text1"/>
          <w:sz w:val="21"/>
          <w:szCs w:val="21"/>
        </w:rPr>
        <w:t>/µmole PAR m</w:t>
      </w:r>
      <w:r w:rsidRPr="006334D9">
        <w:rPr>
          <w:noProof/>
          <w:color w:val="000000" w:themeColor="text1"/>
          <w:sz w:val="21"/>
          <w:szCs w:val="21"/>
          <w:vertAlign w:val="superscript"/>
        </w:rPr>
        <w:t>-2</w:t>
      </w:r>
      <w:r w:rsidRPr="006334D9">
        <w:rPr>
          <w:noProof/>
          <w:color w:val="000000" w:themeColor="text1"/>
          <w:sz w:val="21"/>
          <w:szCs w:val="21"/>
        </w:rPr>
        <w:t xml:space="preserve"> s</w:t>
      </w:r>
      <w:r w:rsidRPr="006334D9">
        <w:rPr>
          <w:noProof/>
          <w:color w:val="000000" w:themeColor="text1"/>
          <w:sz w:val="21"/>
          <w:szCs w:val="21"/>
          <w:vertAlign w:val="superscript"/>
        </w:rPr>
        <w:t>-1</w:t>
      </w:r>
      <w:r w:rsidRPr="006334D9">
        <w:rPr>
          <w:noProof/>
          <w:color w:val="000000" w:themeColor="text1"/>
          <w:sz w:val="21"/>
          <w:szCs w:val="21"/>
        </w:rPr>
        <w:t>; α: µmole CO</w:t>
      </w:r>
      <w:r w:rsidRPr="006334D9">
        <w:rPr>
          <w:noProof/>
          <w:color w:val="000000" w:themeColor="text1"/>
          <w:sz w:val="21"/>
          <w:szCs w:val="21"/>
          <w:vertAlign w:val="subscript"/>
        </w:rPr>
        <w:t>2</w:t>
      </w:r>
      <w:r w:rsidRPr="006334D9">
        <w:rPr>
          <w:noProof/>
          <w:color w:val="000000" w:themeColor="text1"/>
          <w:sz w:val="21"/>
          <w:szCs w:val="21"/>
        </w:rPr>
        <w:t xml:space="preserve"> m</w:t>
      </w:r>
      <w:r w:rsidRPr="006334D9">
        <w:rPr>
          <w:noProof/>
          <w:color w:val="000000" w:themeColor="text1"/>
          <w:sz w:val="21"/>
          <w:szCs w:val="21"/>
          <w:vertAlign w:val="superscript"/>
        </w:rPr>
        <w:t>-2</w:t>
      </w:r>
      <w:r w:rsidRPr="006334D9">
        <w:rPr>
          <w:noProof/>
          <w:color w:val="000000" w:themeColor="text1"/>
          <w:sz w:val="21"/>
          <w:szCs w:val="21"/>
        </w:rPr>
        <w:t xml:space="preserve"> s</w:t>
      </w:r>
      <w:r w:rsidRPr="006334D9">
        <w:rPr>
          <w:noProof/>
          <w:color w:val="000000" w:themeColor="text1"/>
          <w:sz w:val="21"/>
          <w:szCs w:val="21"/>
          <w:vertAlign w:val="superscript"/>
        </w:rPr>
        <w:t>-1</w:t>
      </w:r>
      <w:r w:rsidRPr="006334D9">
        <w:rPr>
          <w:noProof/>
          <w:color w:val="000000" w:themeColor="text1"/>
          <w:sz w:val="21"/>
          <w:szCs w:val="21"/>
        </w:rPr>
        <w:t>/</w:t>
      </w:r>
      <w:r w:rsidR="006334D9" w:rsidRPr="006334D9">
        <w:rPr>
          <w:noProof/>
          <w:color w:val="000000" w:themeColor="text1"/>
          <w:sz w:val="21"/>
          <w:szCs w:val="21"/>
        </w:rPr>
        <w:t>º</w:t>
      </w:r>
      <w:r w:rsidRPr="006334D9">
        <w:rPr>
          <w:noProof/>
          <w:color w:val="000000" w:themeColor="text1"/>
          <w:sz w:val="21"/>
          <w:szCs w:val="21"/>
        </w:rPr>
        <w:t>C; β: µmole CO</w:t>
      </w:r>
      <w:r w:rsidRPr="006334D9">
        <w:rPr>
          <w:noProof/>
          <w:color w:val="000000" w:themeColor="text1"/>
          <w:sz w:val="21"/>
          <w:szCs w:val="21"/>
          <w:vertAlign w:val="subscript"/>
        </w:rPr>
        <w:t>2</w:t>
      </w:r>
      <w:r w:rsidRPr="006334D9">
        <w:rPr>
          <w:noProof/>
          <w:color w:val="000000" w:themeColor="text1"/>
          <w:sz w:val="21"/>
          <w:szCs w:val="21"/>
        </w:rPr>
        <w:t xml:space="preserve"> m</w:t>
      </w:r>
      <w:r w:rsidRPr="006334D9">
        <w:rPr>
          <w:noProof/>
          <w:color w:val="000000" w:themeColor="text1"/>
          <w:sz w:val="21"/>
          <w:szCs w:val="21"/>
          <w:vertAlign w:val="superscript"/>
        </w:rPr>
        <w:t>-2</w:t>
      </w:r>
      <w:r w:rsidRPr="006334D9">
        <w:rPr>
          <w:noProof/>
          <w:color w:val="000000" w:themeColor="text1"/>
          <w:sz w:val="21"/>
          <w:szCs w:val="21"/>
        </w:rPr>
        <w:t xml:space="preserve"> s</w:t>
      </w:r>
      <w:r w:rsidRPr="006334D9">
        <w:rPr>
          <w:noProof/>
          <w:color w:val="000000" w:themeColor="text1"/>
          <w:sz w:val="21"/>
          <w:szCs w:val="21"/>
          <w:vertAlign w:val="superscript"/>
        </w:rPr>
        <w:t>-1</w:t>
      </w:r>
    </w:p>
    <w:p w14:paraId="2B08E863" w14:textId="77777777" w:rsidR="00DC72CD" w:rsidRDefault="00DC72CD" w:rsidP="00D66021">
      <w:pPr>
        <w:spacing w:line="360" w:lineRule="auto"/>
        <w:rPr>
          <w:rFonts w:ascii="Palatino Linotype" w:hAnsi="Palatino Linotype"/>
          <w:szCs w:val="24"/>
        </w:rPr>
      </w:pPr>
    </w:p>
    <w:p w14:paraId="0E031EC3" w14:textId="61E4AAD5" w:rsidR="00DC72CD" w:rsidRPr="00B14685" w:rsidRDefault="00DC72CD" w:rsidP="00D66021">
      <w:pPr>
        <w:spacing w:line="360" w:lineRule="auto"/>
        <w:rPr>
          <w:rFonts w:ascii="Palatino Linotype" w:hAnsi="Palatino Linotype"/>
          <w:szCs w:val="24"/>
        </w:rPr>
      </w:pPr>
      <w:r>
        <w:rPr>
          <w:rFonts w:ascii="Palatino Linotype" w:eastAsiaTheme="minorEastAsia" w:hAnsi="Palatino Linotype" w:cstheme="minorBidi"/>
          <w:color w:val="000000" w:themeColor="text1"/>
          <w:szCs w:val="24"/>
        </w:rPr>
        <w:t>Our decision</w:t>
      </w:r>
      <w:r w:rsidRPr="00225084">
        <w:rPr>
          <w:rFonts w:ascii="Palatino Linotype" w:eastAsiaTheme="minorEastAsia" w:hAnsi="Palatino Linotype" w:cstheme="minorBidi"/>
          <w:color w:val="000000" w:themeColor="text1"/>
          <w:szCs w:val="24"/>
        </w:rPr>
        <w:t xml:space="preserve"> to represent MA as uniformly deciduous broadleaf forest in the UrbanVPRM</w:t>
      </w:r>
      <w:r>
        <w:rPr>
          <w:rFonts w:ascii="Palatino Linotype" w:eastAsiaTheme="minorEastAsia" w:hAnsi="Palatino Linotype" w:cstheme="minorBidi"/>
          <w:color w:val="000000" w:themeColor="text1"/>
          <w:szCs w:val="24"/>
        </w:rPr>
        <w:t xml:space="preserve"> </w:t>
      </w:r>
      <w:r w:rsidRPr="00225084">
        <w:rPr>
          <w:rFonts w:ascii="Palatino Linotype" w:eastAsiaTheme="minorEastAsia" w:hAnsi="Palatino Linotype" w:cstheme="minorBidi"/>
          <w:color w:val="000000" w:themeColor="text1"/>
          <w:szCs w:val="24"/>
        </w:rPr>
        <w:t xml:space="preserve">may </w:t>
      </w:r>
      <w:r>
        <w:rPr>
          <w:rFonts w:ascii="Palatino Linotype" w:eastAsiaTheme="minorEastAsia" w:hAnsi="Palatino Linotype" w:cstheme="minorBidi"/>
          <w:color w:val="000000" w:themeColor="text1"/>
          <w:szCs w:val="24"/>
        </w:rPr>
        <w:t xml:space="preserve">contribute </w:t>
      </w:r>
      <w:r w:rsidR="00593AF1">
        <w:rPr>
          <w:rFonts w:ascii="Palatino Linotype" w:eastAsiaTheme="minorEastAsia" w:hAnsi="Palatino Linotype" w:cstheme="minorBidi"/>
          <w:color w:val="000000" w:themeColor="text1"/>
          <w:szCs w:val="24"/>
        </w:rPr>
        <w:t xml:space="preserve">to </w:t>
      </w:r>
      <w:r>
        <w:rPr>
          <w:rFonts w:ascii="Palatino Linotype" w:eastAsiaTheme="minorEastAsia" w:hAnsi="Palatino Linotype" w:cstheme="minorBidi"/>
          <w:color w:val="000000" w:themeColor="text1"/>
          <w:szCs w:val="24"/>
        </w:rPr>
        <w:t xml:space="preserve">our observations of </w:t>
      </w:r>
      <w:r w:rsidRPr="00225084">
        <w:rPr>
          <w:rFonts w:ascii="Palatino Linotype" w:eastAsiaTheme="minorEastAsia" w:hAnsi="Palatino Linotype" w:cstheme="minorBidi"/>
          <w:color w:val="000000" w:themeColor="text1"/>
          <w:szCs w:val="24"/>
        </w:rPr>
        <w:t>elev</w:t>
      </w:r>
      <w:r w:rsidRPr="00225084">
        <w:rPr>
          <w:rFonts w:ascii="Palatino Linotype" w:hAnsi="Palatino Linotype"/>
          <w:color w:val="000000" w:themeColor="text1"/>
          <w:szCs w:val="24"/>
        </w:rPr>
        <w:t xml:space="preserve">ated rates of biogenic C flux per unit biomass estimated in urban areas. Lawn area, a significant fraction of urban and developed areas </w:t>
      </w:r>
      <w:r w:rsidRPr="00225084">
        <w:rPr>
          <w:rFonts w:ascii="Palatino Linotype" w:hAnsi="Palatino Linotype"/>
          <w:color w:val="000000" w:themeColor="text1"/>
          <w:szCs w:val="24"/>
        </w:rPr>
        <w:fldChar w:fldCharType="begin" w:fldLock="1"/>
      </w:r>
      <w:r w:rsidR="000C0119">
        <w:rPr>
          <w:rFonts w:ascii="Palatino Linotype" w:hAnsi="Palatino Linotype"/>
          <w:color w:val="000000" w:themeColor="text1"/>
          <w:szCs w:val="24"/>
        </w:rPr>
        <w:instrText>ADDIN CSL_CITATION { "citationItems" : [ { "id" : "ITEM-1", "itemData" : { "DOI" : "10.1007/s00267-004-0316-2", "ISBN" : "0364-152X", "ISSN" : "0364152X", "PMID" : "16086109", "abstract" : "Turf grasses are ubiquitous in the urban landscape of the United States and are often associated with various types of environmental impacts, especially on water resources, yet there have been limited efforts to quantify their total surface and ecosystem functioning, such as their total impact on the continental water budget and potential net ecosystem exchange (NEE). In this study, relating turf grass area to an estimate of fractional impervious surface area, it was calculated that potentially 163,800 km2 (+/- 35,850 km2) of land are cultivated with turf grasses in the continental United States, an area three times larger than that of any irrigated crop. Using the Biome-BGC ecosystem process model, the growth of warm-season and cool-season turf grasses was modeled at a number of sites across the 48 conterminous states under different management scenarios, simulating potential carbon and water fluxes as if the entire turf surface was to be managed like a well-maintained lawn. The results indicate that well-watered and fertilized turf grasses act as a carbon sink. The potential NEE that could derive from the total surface potentially under turf (up to 17 Tg C/yr with the simulated scenarios) would require up to 695 to 900 liters of water per person per day, depending on the modeled water irrigation practices, suggesting that outdoor water conservation practices such as xeriscaping and irrigation with recycled waste-water may need to be extended as many municipalities continue to face increasing pressures on freshwater.", "author" : [ { "dropping-particle" : "", "family" : "Milesi", "given" : "Cristina", "non-dropping-particle" : "", "parse-names" : false, "suffix" : "" }, { "dropping-particle" : "", "family" : "Running", "given" : "Steven W.", "non-dropping-particle" : "", "parse-names" : false, "suffix" : "" }, { "dropping-particle" : "", "family" : "Elvidge", "given" : "Christopher D.", "non-dropping-particle" : "", "parse-names" : false, "suffix" : "" }, { "dropping-particle" : "", "family" : "Dietz", "given" : "John B.", "non-dropping-particle" : "", "parse-names" : false, "suffix" : "" }, { "dropping-particle" : "", "family" : "Tuttle", "given" : "Benjamin T.", "non-dropping-particle" : "", "parse-names" : false, "suffix" : "" }, { "dropping-particle" : "", "family" : "Nemani", "given" : "Ramakrishna R.", "non-dropping-particle" : "", "parse-names" : false, "suffix" : "" } ], "container-title" : "Environmental Management", "id" : "ITEM-1", "issue" : "3", "issued" : { "date-parts" : [ [ "2005" ] ] }, "page" : "426-438", "title" : "Mapping and modeling the biogeochemical cycling of turf grasses in the United States", "type" : "article-journal", "volume" : "36" }, "uris" : [ "http://www.mendeley.com/documents/?uuid=ddcd5424-55a9-4677-8c72-84f476677da8" ] } ], "mendeley" : { "formattedCitation" : "(Milesi et al., 2005)", "plainTextFormattedCitation" : "(Milesi et al., 2005)", "previouslyFormattedCitation" : "(Milesi et al., 2005)" }, "properties" : { "noteIndex" : 0 }, "schema" : "https://github.com/citation-style-language/schema/raw/master/csl-citation.json" }</w:instrText>
      </w:r>
      <w:r w:rsidRPr="00225084">
        <w:rPr>
          <w:rFonts w:ascii="Palatino Linotype" w:hAnsi="Palatino Linotype"/>
          <w:color w:val="000000" w:themeColor="text1"/>
          <w:szCs w:val="24"/>
        </w:rPr>
        <w:fldChar w:fldCharType="separate"/>
      </w:r>
      <w:r w:rsidR="00BF6C71" w:rsidRPr="00BF6C71">
        <w:rPr>
          <w:rFonts w:ascii="Palatino Linotype" w:hAnsi="Palatino Linotype"/>
          <w:noProof/>
          <w:color w:val="000000" w:themeColor="text1"/>
          <w:szCs w:val="24"/>
        </w:rPr>
        <w:t>(Milesi et al., 2005)</w:t>
      </w:r>
      <w:r w:rsidRPr="00225084">
        <w:rPr>
          <w:rFonts w:ascii="Palatino Linotype" w:hAnsi="Palatino Linotype"/>
          <w:color w:val="000000" w:themeColor="text1"/>
          <w:szCs w:val="24"/>
        </w:rPr>
        <w:fldChar w:fldCharType="end"/>
      </w:r>
      <w:r w:rsidRPr="00225084">
        <w:rPr>
          <w:rFonts w:ascii="Palatino Linotype" w:hAnsi="Palatino Linotype"/>
          <w:color w:val="000000" w:themeColor="text1"/>
          <w:szCs w:val="24"/>
        </w:rPr>
        <w:t xml:space="preserve">, was captured in the EVI </w:t>
      </w:r>
      <w:r w:rsidR="00593AF1">
        <w:rPr>
          <w:rFonts w:ascii="Palatino Linotype" w:hAnsi="Palatino Linotype"/>
          <w:color w:val="000000" w:themeColor="text1"/>
          <w:szCs w:val="24"/>
        </w:rPr>
        <w:t xml:space="preserve">data </w:t>
      </w:r>
      <w:r w:rsidRPr="00225084">
        <w:rPr>
          <w:rFonts w:ascii="Palatino Linotype" w:hAnsi="Palatino Linotype"/>
          <w:color w:val="000000" w:themeColor="text1"/>
          <w:szCs w:val="24"/>
        </w:rPr>
        <w:t>in UrbanVPRM, but was modeled with forest parameters</w:t>
      </w:r>
      <w:r w:rsidR="00BF6A24">
        <w:rPr>
          <w:rFonts w:ascii="Palatino Linotype" w:hAnsi="Palatino Linotype"/>
          <w:color w:val="000000" w:themeColor="text1"/>
          <w:szCs w:val="24"/>
        </w:rPr>
        <w:t xml:space="preserve"> (Table 1</w:t>
      </w:r>
      <w:r w:rsidR="00BF6C71">
        <w:rPr>
          <w:rFonts w:ascii="Palatino Linotype" w:hAnsi="Palatino Linotype"/>
          <w:color w:val="000000" w:themeColor="text1"/>
          <w:szCs w:val="24"/>
        </w:rPr>
        <w:t xml:space="preserve">), </w:t>
      </w:r>
      <w:r w:rsidR="00BF6C71" w:rsidRPr="00225084">
        <w:rPr>
          <w:rFonts w:ascii="Palatino Linotype" w:hAnsi="Palatino Linotype"/>
          <w:color w:val="000000" w:themeColor="text1"/>
          <w:szCs w:val="24"/>
        </w:rPr>
        <w:t>meaning</w:t>
      </w:r>
      <w:r w:rsidRPr="00225084">
        <w:rPr>
          <w:rFonts w:ascii="Palatino Linotype" w:hAnsi="Palatino Linotype"/>
          <w:color w:val="000000" w:themeColor="text1"/>
          <w:szCs w:val="24"/>
        </w:rPr>
        <w:t xml:space="preserve"> lawn C fluxes were likely underestimated. Previous estimates of lawn NEE range from 0.22 to 1.21 MgC ha</w:t>
      </w:r>
      <w:r w:rsidRPr="00225084">
        <w:rPr>
          <w:rFonts w:ascii="Palatino Linotype" w:hAnsi="Palatino Linotype"/>
          <w:color w:val="000000" w:themeColor="text1"/>
          <w:szCs w:val="24"/>
          <w:vertAlign w:val="superscript"/>
        </w:rPr>
        <w:t>-1</w:t>
      </w:r>
      <w:r w:rsidRPr="00225084">
        <w:rPr>
          <w:rFonts w:ascii="Palatino Linotype" w:hAnsi="Palatino Linotype"/>
          <w:color w:val="000000" w:themeColor="text1"/>
          <w:szCs w:val="24"/>
        </w:rPr>
        <w:t xml:space="preserve"> yr</w:t>
      </w:r>
      <w:r w:rsidRPr="00225084">
        <w:rPr>
          <w:rFonts w:ascii="Palatino Linotype" w:hAnsi="Palatino Linotype"/>
          <w:color w:val="000000" w:themeColor="text1"/>
          <w:szCs w:val="24"/>
          <w:vertAlign w:val="superscript"/>
        </w:rPr>
        <w:t>-1</w:t>
      </w:r>
      <w:r w:rsidRPr="00225084">
        <w:rPr>
          <w:rFonts w:ascii="Palatino Linotype" w:hAnsi="Palatino Linotype"/>
          <w:color w:val="000000" w:themeColor="text1"/>
          <w:szCs w:val="24"/>
          <w:vertAlign w:val="subscript"/>
        </w:rPr>
        <w:t xml:space="preserve"> </w:t>
      </w:r>
      <w:r w:rsidRPr="00225084">
        <w:rPr>
          <w:rFonts w:ascii="Palatino Linotype" w:hAnsi="Palatino Linotype"/>
          <w:color w:val="000000" w:themeColor="text1"/>
          <w:szCs w:val="24"/>
          <w:vertAlign w:val="subscript"/>
        </w:rPr>
        <w:fldChar w:fldCharType="begin" w:fldLock="1"/>
      </w:r>
      <w:r w:rsidR="000C0119">
        <w:rPr>
          <w:rFonts w:ascii="Palatino Linotype" w:hAnsi="Palatino Linotype"/>
          <w:color w:val="000000" w:themeColor="text1"/>
          <w:szCs w:val="24"/>
          <w:vertAlign w:val="subscript"/>
        </w:rPr>
        <w:instrText>ADDIN CSL_CITATION { "citationItems" : [ { "id" : "ITEM-1", "itemData" : { "DOI" : "10.1007/s00267-004-0316-2", "ISBN" : "0364-152X", "ISSN" : "0364152X", "PMID" : "16086109", "abstract" : "Turf grasses are ubiquitous in the urban landscape of the United States and are often associated with various types of environmental impacts, especially on water resources, yet there have been limited efforts to quantify their total surface and ecosystem functioning, such as their total impact on the continental water budget and potential net ecosystem exchange (NEE). In this study, relating turf grass area to an estimate of fractional impervious surface area, it was calculated that potentially 163,800 km2 (+/- 35,850 km2) of land are cultivated with turf grasses in the continental United States, an area three times larger than that of any irrigated crop. Using the Biome-BGC ecosystem process model, the growth of warm-season and cool-season turf grasses was modeled at a number of sites across the 48 conterminous states under different management scenarios, simulating potential carbon and water fluxes as if the entire turf surface was to be managed like a well-maintained lawn. The results indicate that well-watered and fertilized turf grasses act as a carbon sink. The potential NEE that could derive from the total surface potentially under turf (up to 17 Tg C/yr with the simulated scenarios) would require up to 695 to 900 liters of water per person per day, depending on the modeled water irrigation practices, suggesting that outdoor water conservation practices such as xeriscaping and irrigation with recycled waste-water may need to be extended as many municipalities continue to face increasing pressures on freshwater.", "author" : [ { "dropping-particle" : "", "family" : "Milesi", "given" : "Cristina", "non-dropping-particle" : "", "parse-names" : false, "suffix" : "" }, { "dropping-particle" : "", "family" : "Running", "given" : "Steven W.", "non-dropping-particle" : "", "parse-names" : false, "suffix" : "" }, { "dropping-particle" : "", "family" : "Elvidge", "given" : "Christopher D.", "non-dropping-particle" : "", "parse-names" : false, "suffix" : "" }, { "dropping-particle" : "", "family" : "Dietz", "given" : "John B.", "non-dropping-particle" : "", "parse-names" : false, "suffix" : "" }, { "dropping-particle" : "", "family" : "Tuttle", "given" : "Benjamin T.", "non-dropping-particle" : "", "parse-names" : false, "suffix" : "" }, { "dropping-particle" : "", "family" : "Nemani", "given" : "Ramakrishna R.", "non-dropping-particle" : "", "parse-names" : false, "suffix" : "" } ], "container-title" : "Environmental Management", "id" : "ITEM-1", "issue" : "3", "issued" : { "date-parts" : [ [ "2005" ] ] }, "page" : "426-438", "title" : "Mapping and modeling the biogeochemical cycling of turf grasses in the United States", "type" : "article-journal", "volume" : "36" }, "uris" : [ "http://www.mendeley.com/documents/?uuid=ddcd5424-55a9-4677-8c72-84f476677da8" ] } ], "mendeley" : { "formattedCitation" : "(Milesi et al., 2005)", "plainTextFormattedCitation" : "(Milesi et al., 2005)", "previouslyFormattedCitation" : "(Milesi et al., 2005)" }, "properties" : { "noteIndex" : 0 }, "schema" : "https://github.com/citation-style-language/schema/raw/master/csl-citation.json" }</w:instrText>
      </w:r>
      <w:r w:rsidRPr="00225084">
        <w:rPr>
          <w:rFonts w:ascii="Palatino Linotype" w:hAnsi="Palatino Linotype"/>
          <w:color w:val="000000" w:themeColor="text1"/>
          <w:szCs w:val="24"/>
          <w:vertAlign w:val="subscript"/>
        </w:rPr>
        <w:fldChar w:fldCharType="separate"/>
      </w:r>
      <w:r w:rsidR="00BF6C71" w:rsidRPr="00BF6C71">
        <w:rPr>
          <w:rFonts w:ascii="Palatino Linotype" w:hAnsi="Palatino Linotype"/>
          <w:noProof/>
          <w:color w:val="000000" w:themeColor="text1"/>
          <w:szCs w:val="24"/>
        </w:rPr>
        <w:t>(Milesi et al., 2005)</w:t>
      </w:r>
      <w:r w:rsidRPr="00225084">
        <w:rPr>
          <w:rFonts w:ascii="Palatino Linotype" w:hAnsi="Palatino Linotype"/>
          <w:color w:val="000000" w:themeColor="text1"/>
          <w:szCs w:val="24"/>
          <w:vertAlign w:val="subscript"/>
        </w:rPr>
        <w:fldChar w:fldCharType="end"/>
      </w:r>
      <w:r w:rsidRPr="00225084">
        <w:rPr>
          <w:rFonts w:ascii="Palatino Linotype" w:hAnsi="Palatino Linotype"/>
          <w:color w:val="000000" w:themeColor="text1"/>
          <w:szCs w:val="24"/>
        </w:rPr>
        <w:t xml:space="preserve">, potentially comprising a major component of urban biogenic C flows </w:t>
      </w:r>
      <w:r w:rsidRPr="00225084">
        <w:rPr>
          <w:rFonts w:ascii="Palatino Linotype" w:hAnsi="Palatino Linotype"/>
          <w:color w:val="000000" w:themeColor="text1"/>
          <w:szCs w:val="24"/>
        </w:rPr>
        <w:fldChar w:fldCharType="begin" w:fldLock="1"/>
      </w:r>
      <w:r w:rsidR="000C0119">
        <w:rPr>
          <w:rFonts w:ascii="Palatino Linotype" w:hAnsi="Palatino Linotype"/>
          <w:color w:val="000000" w:themeColor="text1"/>
          <w:szCs w:val="24"/>
        </w:rPr>
        <w:instrText>ADDIN CSL_CITATION { "citationItems" : [ { "id" : "ITEM-1", "itemData" : { "DOI" : "10.1016/j.envpol.2014.06.009", "ISSN" : "02697491", "author" : [ { "dropping-particle" : "", "family" : "Ng", "given" : "B.J.L.", "non-dropping-particle" : "", "parse-names" : false, "suffix" : "" }, { "dropping-particle" : "", "family" : "Hutyra", "given" : "L.R.", "non-dropping-particle" : "", "parse-names" : false, "suffix" : "" }, { "dropping-particle" : "", "family" : "Nguyen", "given" : "H.", "non-dropping-particle" : "", "parse-names" : false, "suffix" : "" }, { "dropping-particle" : "", "family" : "Cobb", "given" : "a.R.", "non-dropping-particle" : "", "parse-names" : false, "suffix" : "" }, { "dropping-particle" : "", "family" : "Kai", "given" : "F.M.", "non-dropping-particle" : "", "parse-names" : false, "suffix" : "" }, { "dropping-particle" : "", "family" : "Harvey", "given" : "C.", "non-dropping-particle" : "", "parse-names" : false, "suffix" : "" }, { "dropping-particle" : "", "family" : "Gandois", "given" : "L.", "non-dropping-particle" : "", "parse-names" : false, "suffix" : "" } ], "container-title" : "Environmental Pollution", "id" : "ITEM-1", "issued" : { "date-parts" : [ [ "2014" ] ] }, "page" : "227-234", "title" : "Carbon fluxes from an urban tropical grassland", "type" : "article-journal", "volume" : "203" }, "uris" : [ "http://www.mendeley.com/documents/?uuid=c4d41841-42d2-4ca3-8ff8-99597e60a4a2" ] } ], "mendeley" : { "formattedCitation" : "(Ng et al., 2014)", "plainTextFormattedCitation" : "(Ng et al., 2014)", "previouslyFormattedCitation" : "(Ng et al., 2014)" }, "properties" : { "noteIndex" : 0 }, "schema" : "https://github.com/citation-style-language/schema/raw/master/csl-citation.json" }</w:instrText>
      </w:r>
      <w:r w:rsidRPr="00225084">
        <w:rPr>
          <w:rFonts w:ascii="Palatino Linotype" w:hAnsi="Palatino Linotype"/>
          <w:color w:val="000000" w:themeColor="text1"/>
          <w:szCs w:val="24"/>
        </w:rPr>
        <w:fldChar w:fldCharType="separate"/>
      </w:r>
      <w:r w:rsidR="00BF6C71" w:rsidRPr="00BF6C71">
        <w:rPr>
          <w:rFonts w:ascii="Palatino Linotype" w:hAnsi="Palatino Linotype"/>
          <w:noProof/>
          <w:color w:val="000000" w:themeColor="text1"/>
          <w:szCs w:val="24"/>
        </w:rPr>
        <w:t>(Ng et al., 2014)</w:t>
      </w:r>
      <w:r w:rsidRPr="00225084">
        <w:rPr>
          <w:rFonts w:ascii="Palatino Linotype" w:hAnsi="Palatino Linotype"/>
          <w:color w:val="000000" w:themeColor="text1"/>
          <w:szCs w:val="24"/>
        </w:rPr>
        <w:fldChar w:fldCharType="end"/>
      </w:r>
      <w:r w:rsidRPr="00225084">
        <w:rPr>
          <w:rFonts w:ascii="Palatino Linotype" w:hAnsi="Palatino Linotype"/>
          <w:color w:val="000000" w:themeColor="text1"/>
          <w:szCs w:val="24"/>
        </w:rPr>
        <w:t xml:space="preserve"> with soil respiration rates higher than rates from native vegetation </w:t>
      </w:r>
      <w:r w:rsidR="00FC7A9D">
        <w:rPr>
          <w:rFonts w:ascii="Palatino Linotype" w:hAnsi="Palatino Linotype"/>
          <w:color w:val="000000" w:themeColor="text1"/>
          <w:szCs w:val="24"/>
        </w:rPr>
        <w:fldChar w:fldCharType="begin" w:fldLock="1"/>
      </w:r>
      <w:r w:rsidR="000C0119">
        <w:rPr>
          <w:rFonts w:ascii="Palatino Linotype" w:hAnsi="Palatino Linotype"/>
          <w:color w:val="000000" w:themeColor="text1"/>
          <w:szCs w:val="24"/>
        </w:rPr>
        <w:instrText>ADDIN CSL_CITATION { "citationItems" : [ { "id" : "ITEM-1", "itemData" : { "DOI" : "10.1111/j.1365-2486.2005.00921.x", "ISBN" : "1354-1013", "ISSN" : "13541013", "abstract" : "Urban ecosystems are expanding globally, and assessing the ecological consequences of urbanization is critical to understanding the biology of local and global change related to land use. We measured carbon (C) fluxes, nitrogen (N) cycling, and soil microbial community structure in a replicated (n=3) field experiment comparing urban lawns to corn, wheat-fallow, and unmanaged shortgrass steppe ecosystems in northern Colorado. The urban and corn sites were irrigated and fertilized. Wheat and shortgrass steppe sites were not fertilized or irrigated. Aboveground net primary productivity (ANPP) in urban ecosystems (383 +/- 11 C m(-2) yr(-1)) was four to five times greater than wheat or shortgrass steppe but significantly less than corn (537 +/- 44 C m(-2) yr(-1)). Soil respiration (2777 +/- 273 g C m(-2) yr(-1)) and total belowground C allocation (2602 +/- 269 g C m(-2) yr(-1)) in urban ecosystems were both 2.5 to five times greater than any other land-use type. We estimate that for a large (1578 km(2)) portion of Larimer County, Colorado, urban lawns occupying 6.4% of the land area account for up to 30% of regional ANPP and 24% of regional soil respiration from land-use types that we sampled. The rate of N cycling from urban lawn mower clippings to the soil surface was comparable with the rate of N export in harvested corn (both similar to 12-15 g N m(-2) yr(-1)). A one-time measurement of microbial community structure via phospholipid fatty acid analysis suggested that land-use type had a large impact on microbial biomass and a small impact on the relative abundance of broad taxonomic groups of microorganisms. Our data are consistent with several other studies suggesting that urbanization of arid and semiarid ecosystems leads to enhanced C cycling rates that alter regional C budgets.", "author" : [ { "dropping-particle" : "", "family" : "Kaye", "given" : "Jason P.", "non-dropping-particle" : "", "parse-names" : false, "suffix" : "" }, { "dropping-particle" : "", "family" : "McCulley", "given" : "R. L.", "non-dropping-particle" : "", "parse-names" : false, "suffix" : "" }, { "dropping-particle" : "", "family" : "Burke", "given" : "I. C.", "non-dropping-particle" : "", "parse-names" : false, "suffix" : "" } ], "container-title" : "Global Change Biology", "id" : "ITEM-1", "issue" : "4", "issued" : { "date-parts" : [ [ "2005" ] ] }, "page" : "575-587", "title" : "Carbon fluxes, nitrogen cycling, and soil microbial communities in adjacent urban, native and agricultural ecosystems", "type" : "article-journal", "volume" : "11" }, "uris" : [ "http://www.mendeley.com/documents/?uuid=1e45635f-b879-4b00-95d5-f70c729b2c04" ] } ], "mendeley" : { "formattedCitation" : "(Kaye et al., 2005)", "plainTextFormattedCitation" : "(Kaye et al., 2005)", "previouslyFormattedCitation" : "(Kaye et al., 2005)" }, "properties" : { "noteIndex" : 0 }, "schema" : "https://github.com/citation-style-language/schema/raw/master/csl-citation.json" }</w:instrText>
      </w:r>
      <w:r w:rsidR="00FC7A9D">
        <w:rPr>
          <w:rFonts w:ascii="Palatino Linotype" w:hAnsi="Palatino Linotype"/>
          <w:color w:val="000000" w:themeColor="text1"/>
          <w:szCs w:val="24"/>
        </w:rPr>
        <w:fldChar w:fldCharType="separate"/>
      </w:r>
      <w:r w:rsidR="00BF6C71" w:rsidRPr="00BF6C71">
        <w:rPr>
          <w:rFonts w:ascii="Palatino Linotype" w:hAnsi="Palatino Linotype"/>
          <w:noProof/>
          <w:color w:val="000000" w:themeColor="text1"/>
          <w:szCs w:val="24"/>
        </w:rPr>
        <w:t>(Kaye et al., 2005)</w:t>
      </w:r>
      <w:r w:rsidR="00FC7A9D">
        <w:rPr>
          <w:rFonts w:ascii="Palatino Linotype" w:hAnsi="Palatino Linotype"/>
          <w:color w:val="000000" w:themeColor="text1"/>
          <w:szCs w:val="24"/>
        </w:rPr>
        <w:fldChar w:fldCharType="end"/>
      </w:r>
      <w:r w:rsidRPr="00225084">
        <w:rPr>
          <w:rFonts w:ascii="Palatino Linotype" w:hAnsi="Palatino Linotype"/>
          <w:color w:val="000000" w:themeColor="text1"/>
          <w:szCs w:val="24"/>
        </w:rPr>
        <w:t xml:space="preserve"> in part due to high nitrogen inputs </w:t>
      </w:r>
      <w:r w:rsidRPr="00225084">
        <w:rPr>
          <w:rFonts w:ascii="Palatino Linotype" w:hAnsi="Palatino Linotype"/>
          <w:color w:val="000000" w:themeColor="text1"/>
          <w:szCs w:val="24"/>
        </w:rPr>
        <w:fldChar w:fldCharType="begin" w:fldLock="1"/>
      </w:r>
      <w:r w:rsidR="000C0119">
        <w:rPr>
          <w:rFonts w:ascii="Palatino Linotype" w:hAnsi="Palatino Linotype"/>
          <w:color w:val="000000" w:themeColor="text1"/>
          <w:szCs w:val="24"/>
        </w:rPr>
        <w:instrText>ADDIN CSL_CITATION { "citationItems" : [ { "id" : "ITEM-1", "itemData" : { "DOI" : "10.1016/j.envint.2008.05.006", "ISSN" : "0160-4120", "author" : [ { "dropping-particle" : "", "family" : "Lorenz", "given" : "Klaus", "non-dropping-particle" : "", "parse-names" : false, "suffix" : "" }, { "dropping-particle" : "", "family" : "Lal", "given" : "Rattan", "non-dropping-particle" : "", "parse-names" : false, "suffix" : "" } ], "container-title" : "Environment International", "id" : "ITEM-1", "issue" : "1", "issued" : { "date-parts" : [ [ "2009" ] ] }, "page" : "1-8", "publisher" : "Elsevier Ltd", "title" : "Biogeochemical C and N cycles in urban soils", "type" : "article-journal", "volume" : "35" }, "uris" : [ "http://www.mendeley.com/documents/?uuid=e2606d94-7588-4233-a474-999f8c951a86" ] }, { "id" : "ITEM-2", "itemData" : { "DOI" : "10.1007/s10533-013-9861-1", "ISBN" : "0168-2563", "ISSN" : "01682563", "author" : [ { "dropping-particle" : "", "family" : "Rao", "given" : "Preeti", "non-dropping-particle" : "", "parse-names" : false, "suffix" : "" }, { "dropping-particle" : "", "family" : "Hutyra", "given" : "Lucy R.", "non-dropping-particle" : "", "parse-names" : false, "suffix" : "" }, { "dropping-particle" : "", "family" : "Raciti", "given" : "Steve M.", "non-dropping-particle" : "", "parse-names" : false, "suffix" : "" }, { "dropping-particle" : "", "family" : "Templer", "given" : "Pamela H.", "non-dropping-particle" : "", "parse-names" : false, "suffix" : "" } ], "container-title" : "Biogeochemistry", "id" : "ITEM-2", "issued" : { "date-parts" : [ [ "2014" ] ] }, "page" : "229\u2013245", "title" : "Atmospheric nitrogen inputs and losses along an urbanization gradient from Boston to Harvard Forest, MA", "type" : "article-journal", "volume" : "121" }, "uris" : [ "http://www.mendeley.com/documents/?uuid=e5f6a3a3-1364-4742-b83e-d02e3c1375fe" ] } ], "mendeley" : { "formattedCitation" : "(Lorenz and Lal, 2009; Rao et al., 2014)", "plainTextFormattedCitation" : "(Lorenz and Lal, 2009; Rao et al., 2014)", "previouslyFormattedCitation" : "(Lorenz and Lal, 2009; Rao et al., 2014)" }, "properties" : { "noteIndex" : 0 }, "schema" : "https://github.com/citation-style-language/schema/raw/master/csl-citation.json" }</w:instrText>
      </w:r>
      <w:r w:rsidRPr="00225084">
        <w:rPr>
          <w:rFonts w:ascii="Palatino Linotype" w:hAnsi="Palatino Linotype"/>
          <w:color w:val="000000" w:themeColor="text1"/>
          <w:szCs w:val="24"/>
        </w:rPr>
        <w:fldChar w:fldCharType="separate"/>
      </w:r>
      <w:r w:rsidR="00BF6C71" w:rsidRPr="00BF6C71">
        <w:rPr>
          <w:rFonts w:ascii="Palatino Linotype" w:hAnsi="Palatino Linotype"/>
          <w:noProof/>
          <w:color w:val="000000" w:themeColor="text1"/>
          <w:szCs w:val="24"/>
        </w:rPr>
        <w:t>(Lorenz and Lal, 2009; Rao et al., 2014)</w:t>
      </w:r>
      <w:r w:rsidRPr="00225084">
        <w:rPr>
          <w:rFonts w:ascii="Palatino Linotype" w:hAnsi="Palatino Linotype"/>
          <w:color w:val="000000" w:themeColor="text1"/>
          <w:szCs w:val="24"/>
        </w:rPr>
        <w:fldChar w:fldCharType="end"/>
      </w:r>
      <w:r w:rsidRPr="00225084">
        <w:rPr>
          <w:rFonts w:ascii="Palatino Linotype" w:hAnsi="Palatino Linotype"/>
          <w:color w:val="000000" w:themeColor="text1"/>
          <w:szCs w:val="24"/>
        </w:rPr>
        <w:t xml:space="preserve">. Further, soil respiration rates associated with landscaped areas are 50% higher than rates from lawn areas  </w:t>
      </w:r>
      <w:r w:rsidR="00FC7A9D">
        <w:rPr>
          <w:rFonts w:ascii="Palatino Linotype" w:hAnsi="Palatino Linotype"/>
          <w:color w:val="000000" w:themeColor="text1"/>
          <w:szCs w:val="24"/>
        </w:rPr>
        <w:fldChar w:fldCharType="begin" w:fldLock="1"/>
      </w:r>
      <w:r w:rsidR="000C0119">
        <w:rPr>
          <w:rFonts w:ascii="Palatino Linotype" w:hAnsi="Palatino Linotype"/>
          <w:color w:val="000000" w:themeColor="text1"/>
          <w:szCs w:val="24"/>
        </w:rPr>
        <w:instrText>ADDIN CSL_CITATION { "citationItems" : [ { "id" : "ITEM-1", "itemData" : { "DOI" : "10.1016/j.envpol.2016.01.012", "ISSN" : "02697491", "author" : [ { "dropping-particle" : "", "family" : "Decina", "given" : "Stephen M.", "non-dropping-particle" : "", "parse-names" : false, "suffix" : "" }, { "dropping-particle" : "", "family" : "Hutyra", "given" : "Lucy R.", "non-dropping-particle" : "", "parse-names" : false, "suffix" : "" }, { "dropping-particle" : "", "family" : "Gately", "given" : "Conor K.", "non-dropping-particle" : "", "parse-names" : false, "suffix" : "" }, { "dropping-particle" : "", "family" : "Getson", "given" : "Jackie M.", "non-dropping-particle" : "", "parse-names" : false, "suffix" : "" }, { "dropping-particle" : "", "family" : "Reinmann", "given" : "Andrew B.", "non-dropping-particle" : "", "parse-names" : false, "suffix" : "" }, { "dropping-particle" : "", "family" : "Short Gianotti", "given" : "Anne G.", "non-dropping-particle" : "", "parse-names" : false, "suffix" : "" }, { "dropping-particle" : "", "family" : "Templer", "given" : "Pamela H.", "non-dropping-particle" : "", "parse-names" : false, "suffix" : "" } ], "container-title" : "Environmental Pollution", "id" : "ITEM-1", "issued" : { "date-parts" : [ [ "2016" ] ] }, "page" : "433-439", "publisher" : "Elsevier Ltd", "title" : "Soil respiration contributes substantially to urban carbon fluxes in the greater Boston area", "type" : "article-journal", "volume" : "212" }, "uris" : [ "http://www.mendeley.com/documents/?uuid=0078e006-f915-4ede-bca2-910c3d00863a" ] } ], "mendeley" : { "formattedCitation" : "(Decina et al., 2016)", "plainTextFormattedCitation" : "(Decina et al., 2016)", "previouslyFormattedCitation" : "(Decina et al., 2016)" }, "properties" : { "noteIndex" : 0 }, "schema" : "https://github.com/citation-style-language/schema/raw/master/csl-citation.json" }</w:instrText>
      </w:r>
      <w:r w:rsidR="00FC7A9D">
        <w:rPr>
          <w:rFonts w:ascii="Palatino Linotype" w:hAnsi="Palatino Linotype"/>
          <w:color w:val="000000" w:themeColor="text1"/>
          <w:szCs w:val="24"/>
        </w:rPr>
        <w:fldChar w:fldCharType="separate"/>
      </w:r>
      <w:r w:rsidR="00BF6C71" w:rsidRPr="00BF6C71">
        <w:rPr>
          <w:rFonts w:ascii="Palatino Linotype" w:hAnsi="Palatino Linotype"/>
          <w:noProof/>
          <w:color w:val="000000" w:themeColor="text1"/>
          <w:szCs w:val="24"/>
        </w:rPr>
        <w:t>(Decina et al., 2016)</w:t>
      </w:r>
      <w:r w:rsidR="00FC7A9D">
        <w:rPr>
          <w:rFonts w:ascii="Palatino Linotype" w:hAnsi="Palatino Linotype"/>
          <w:color w:val="000000" w:themeColor="text1"/>
          <w:szCs w:val="24"/>
        </w:rPr>
        <w:fldChar w:fldCharType="end"/>
      </w:r>
      <w:r w:rsidR="00FC7A9D">
        <w:rPr>
          <w:rFonts w:ascii="Palatino Linotype" w:hAnsi="Palatino Linotype"/>
          <w:color w:val="000000" w:themeColor="text1"/>
          <w:szCs w:val="24"/>
        </w:rPr>
        <w:t xml:space="preserve"> </w:t>
      </w:r>
      <w:r w:rsidRPr="00225084">
        <w:rPr>
          <w:rFonts w:ascii="Palatino Linotype" w:hAnsi="Palatino Linotype"/>
          <w:color w:val="000000" w:themeColor="text1"/>
          <w:szCs w:val="24"/>
        </w:rPr>
        <w:t>and these areas are similarly unaccounted for in this analysis. However, lawn biomass is low relative to forest and this is captured in our revised biomass map through inclusion of the NLCD canopy layer. This may introduce a bias in our estimates of flux per unit biomass. This could be addressed in future studies by developing a set a of model parameters appropriate for turf grasses</w:t>
      </w:r>
      <w:r w:rsidR="00BF6A24">
        <w:rPr>
          <w:rFonts w:ascii="Palatino Linotype" w:hAnsi="Palatino Linotype"/>
          <w:color w:val="000000" w:themeColor="text1"/>
          <w:szCs w:val="24"/>
        </w:rPr>
        <w:t xml:space="preserve"> and landscaped areas</w:t>
      </w:r>
      <w:r w:rsidRPr="00225084">
        <w:rPr>
          <w:rFonts w:ascii="Palatino Linotype" w:hAnsi="Palatino Linotype"/>
          <w:color w:val="000000" w:themeColor="text1"/>
          <w:szCs w:val="24"/>
        </w:rPr>
        <w:t xml:space="preserve"> which by some estimates account for ~50% of US urban land area </w:t>
      </w:r>
      <w:r w:rsidRPr="00225084">
        <w:rPr>
          <w:rFonts w:ascii="Palatino Linotype" w:hAnsi="Palatino Linotype"/>
          <w:color w:val="000000" w:themeColor="text1"/>
          <w:szCs w:val="24"/>
        </w:rPr>
        <w:fldChar w:fldCharType="begin" w:fldLock="1"/>
      </w:r>
      <w:r w:rsidR="000C0119">
        <w:rPr>
          <w:rFonts w:ascii="Palatino Linotype" w:hAnsi="Palatino Linotype"/>
          <w:color w:val="000000" w:themeColor="text1"/>
          <w:szCs w:val="24"/>
        </w:rPr>
        <w:instrText>ADDIN CSL_CITATION { "citationItems" : [ { "id" : "ITEM-1", "itemData" : { "DOI" : "10.1007/s00267-004-0316-2", "ISBN" : "0364-152X", "ISSN" : "0364152X", "PMID" : "16086109", "abstract" : "Turf grasses are ubiquitous in the urban landscape of the United States and are often associated with various types of environmental impacts, especially on water resources, yet there have been limited efforts to quantify their total surface and ecosystem functioning, such as their total impact on the continental water budget and potential net ecosystem exchange (NEE). In this study, relating turf grass area to an estimate of fractional impervious surface area, it was calculated that potentially 163,800 km2 (+/- 35,850 km2) of land are cultivated with turf grasses in the continental United States, an area three times larger than that of any irrigated crop. Using the Biome-BGC ecosystem process model, the growth of warm-season and cool-season turf grasses was modeled at a number of sites across the 48 conterminous states under different management scenarios, simulating potential carbon and water fluxes as if the entire turf surface was to be managed like a well-maintained lawn. The results indicate that well-watered and fertilized turf grasses act as a carbon sink. The potential NEE that could derive from the total surface potentially under turf (up to 17 Tg C/yr with the simulated scenarios) would require up to 695 to 900 liters of water per person per day, depending on the modeled water irrigation practices, suggesting that outdoor water conservation practices such as xeriscaping and irrigation with recycled waste-water may need to be extended as many municipalities continue to face increasing pressures on freshwater.", "author" : [ { "dropping-particle" : "", "family" : "Milesi", "given" : "Cristina", "non-dropping-particle" : "", "parse-names" : false, "suffix" : "" }, { "dropping-particle" : "", "family" : "Running", "given" : "Steven W.", "non-dropping-particle" : "", "parse-names" : false, "suffix" : "" }, { "dropping-particle" : "", "family" : "Elvidge", "given" : "Christopher D.", "non-dropping-particle" : "", "parse-names" : false, "suffix" : "" }, { "dropping-particle" : "", "family" : "Dietz", "given" : "John B.", "non-dropping-particle" : "", "parse-names" : false, "suffix" : "" }, { "dropping-particle" : "", "family" : "Tuttle", "given" : "Benjamin T.", "non-dropping-particle" : "", "parse-names" : false, "suffix" : "" }, { "dropping-particle" : "", "family" : "Nemani", "given" : "Ramakrishna R.", "non-dropping-particle" : "", "parse-names" : false, "suffix" : "" } ], "container-title" : "Environmental Management", "id" : "ITEM-1", "issue" : "3", "issued" : { "date-parts" : [ [ "2005" ] ] }, "page" : "426-438", "title" : "Mapping and modeling the biogeochemical cycling of turf grasses in the United States", "type" : "article-journal", "volume" : "36" }, "uris" : [ "http://www.mendeley.com/documents/?uuid=ddcd5424-55a9-4677-8c72-84f476677da8" ] }, { "id" : "ITEM-2", "itemData" : { "ISBN" : "0022-1201", "ISSN" : "0022-1201", "PMID" : "5309", "abstract" : "Urban areas in the conterminous United States doubled in size between 1969 and 1994, and currently cover 3.5 percent of the total land area and contain more than 75 percent of the US population. Urban areas contain approximately 3.8 billion trees with an average tree canopy cover of 27 percent. The extent and variation of urban forests across the 48 states are explored to help build a better understanding of this significant national resource. Urbanization and urban forests are likely to be a significant focus of forestry in the 21st century.", "author" : [ { "dropping-particle" : "", "family" : "Nowak", "given" : "Dj", "non-dropping-particle" : "", "parse-names" : false, "suffix" : "" }, { "dropping-particle" : "", "family" : "Noble", "given" : "Mh", "non-dropping-particle" : "", "parse-names" : false, "suffix" : "" }, { "dropping-particle" : "", "family" : "Sissini", "given" : "Sm", "non-dropping-particle" : "", "parse-names" : false, "suffix" : "" }, { "dropping-particle" : "", "family" : "Dwyer", "given" : "Jf", "non-dropping-particle" : "", "parse-names" : false, "suffix" : "" } ], "container-title" : "Journal of Forestry", "id" : "ITEM-2", "issue" : "March", "issued" : { "date-parts" : [ [ "2001" ] ] }, "page" : "37-42", "title" : "Assessing the US Urban Forest Resource", "type" : "article-journal" }, "uris" : [ "http://www.mendeley.com/documents/?uuid=701dc40e-3435-4699-88d4-82aa1c958774" ] } ], "mendeley" : { "formattedCitation" : "(Milesi et al., 2005; Nowak et al., 2001)", "plainTextFormattedCitation" : "(Milesi et al., 2005; Nowak et al., 2001)", "previouslyFormattedCitation" : "(Milesi et al., 2005; Nowak et al., 2001)" }, "properties" : { "noteIndex" : 0 }, "schema" : "https://github.com/citation-style-language/schema/raw/master/csl-citation.json" }</w:instrText>
      </w:r>
      <w:r w:rsidRPr="00225084">
        <w:rPr>
          <w:rFonts w:ascii="Palatino Linotype" w:hAnsi="Palatino Linotype"/>
          <w:color w:val="000000" w:themeColor="text1"/>
          <w:szCs w:val="24"/>
        </w:rPr>
        <w:fldChar w:fldCharType="separate"/>
      </w:r>
      <w:r w:rsidR="00BF6C71" w:rsidRPr="00BF6C71">
        <w:rPr>
          <w:rFonts w:ascii="Palatino Linotype" w:hAnsi="Palatino Linotype"/>
          <w:noProof/>
          <w:color w:val="000000" w:themeColor="text1"/>
          <w:szCs w:val="24"/>
        </w:rPr>
        <w:t>(Milesi et al., 2005; Nowak et al., 2001)</w:t>
      </w:r>
      <w:r w:rsidRPr="00225084">
        <w:rPr>
          <w:rFonts w:ascii="Palatino Linotype" w:hAnsi="Palatino Linotype"/>
          <w:color w:val="000000" w:themeColor="text1"/>
          <w:szCs w:val="24"/>
        </w:rPr>
        <w:fldChar w:fldCharType="end"/>
      </w:r>
      <w:r w:rsidRPr="00225084">
        <w:rPr>
          <w:rFonts w:ascii="Palatino Linotype" w:hAnsi="Palatino Linotype"/>
          <w:color w:val="000000" w:themeColor="text1"/>
          <w:szCs w:val="24"/>
        </w:rPr>
        <w:t>.</w:t>
      </w:r>
    </w:p>
    <w:p w14:paraId="7E72EE6E" w14:textId="77777777" w:rsidR="00CF37BD" w:rsidRPr="0086350F" w:rsidRDefault="00CF37BD" w:rsidP="00D66021">
      <w:pPr>
        <w:spacing w:line="360" w:lineRule="auto"/>
        <w:rPr>
          <w:rFonts w:ascii="Palatino Linotype" w:hAnsi="Palatino Linotype"/>
          <w:szCs w:val="24"/>
        </w:rPr>
      </w:pPr>
    </w:p>
    <w:p w14:paraId="1A31E85A" w14:textId="400E026F" w:rsidR="00CF37BD" w:rsidRPr="0086350F" w:rsidRDefault="00307F30" w:rsidP="00B93317">
      <w:pPr>
        <w:spacing w:line="360" w:lineRule="auto"/>
        <w:rPr>
          <w:rFonts w:ascii="Palatino Linotype" w:hAnsi="Palatino Linotype"/>
          <w:i/>
          <w:szCs w:val="24"/>
          <w:u w:val="single"/>
        </w:rPr>
      </w:pPr>
      <w:r>
        <w:rPr>
          <w:rFonts w:ascii="Palatino Linotype" w:hAnsi="Palatino Linotype"/>
          <w:i/>
          <w:szCs w:val="24"/>
          <w:u w:val="single"/>
        </w:rPr>
        <w:t xml:space="preserve">S2.2 </w:t>
      </w:r>
      <w:r w:rsidR="00CF37BD" w:rsidRPr="0086350F">
        <w:rPr>
          <w:rFonts w:ascii="Palatino Linotype" w:hAnsi="Palatino Linotype"/>
          <w:i/>
          <w:szCs w:val="24"/>
          <w:u w:val="single"/>
        </w:rPr>
        <w:t>Urban Heat Island</w:t>
      </w:r>
    </w:p>
    <w:p w14:paraId="07AB77E0" w14:textId="1C7AAA70" w:rsidR="00CF37BD" w:rsidRPr="0086350F" w:rsidRDefault="00CF37BD" w:rsidP="00B93317">
      <w:pPr>
        <w:spacing w:line="360" w:lineRule="auto"/>
        <w:rPr>
          <w:rFonts w:ascii="Palatino Linotype" w:hAnsi="Palatino Linotype"/>
          <w:szCs w:val="24"/>
        </w:rPr>
      </w:pPr>
      <w:r w:rsidRPr="0086350F">
        <w:rPr>
          <w:rFonts w:ascii="Palatino Linotype" w:hAnsi="Palatino Linotype"/>
          <w:szCs w:val="24"/>
        </w:rPr>
        <w:lastRenderedPageBreak/>
        <w:t>A key property of urban ecosystems is the “urban heat island”, whereby urbanization results in increased air and surface temperatures relative to the surrounding rural/natural landscape. This air temperature bias has effects on both photosynthetic and respiration rates. The magnitude of the urban heat island varies both seasonally</w:t>
      </w:r>
      <w:r w:rsidR="00E244C8">
        <w:rPr>
          <w:rFonts w:ascii="Palatino Linotype" w:hAnsi="Palatino Linotype"/>
          <w:szCs w:val="24"/>
        </w:rPr>
        <w:t>,</w:t>
      </w:r>
      <w:r w:rsidRPr="0086350F">
        <w:rPr>
          <w:rFonts w:ascii="Palatino Linotype" w:hAnsi="Palatino Linotype"/>
          <w:szCs w:val="24"/>
        </w:rPr>
        <w:t xml:space="preserve"> diurnally</w:t>
      </w:r>
      <w:r w:rsidR="00E244C8">
        <w:rPr>
          <w:rFonts w:ascii="Palatino Linotype" w:hAnsi="Palatino Linotype"/>
          <w:szCs w:val="24"/>
        </w:rPr>
        <w:t xml:space="preserve">, and contextually </w:t>
      </w:r>
      <w:r w:rsidR="00E92D4C">
        <w:rPr>
          <w:rFonts w:ascii="Palatino Linotype" w:hAnsi="Palatino Linotype"/>
          <w:szCs w:val="24"/>
        </w:rPr>
        <w:t>within</w:t>
      </w:r>
      <w:r w:rsidR="00E244C8">
        <w:rPr>
          <w:rFonts w:ascii="Palatino Linotype" w:hAnsi="Palatino Linotype"/>
          <w:szCs w:val="24"/>
        </w:rPr>
        <w:t xml:space="preserve"> urban area</w:t>
      </w:r>
      <w:r w:rsidR="00E92D4C">
        <w:rPr>
          <w:rFonts w:ascii="Palatino Linotype" w:hAnsi="Palatino Linotype"/>
          <w:szCs w:val="24"/>
        </w:rPr>
        <w:t>s</w:t>
      </w:r>
      <w:r w:rsidR="00B30CD7">
        <w:rPr>
          <w:rFonts w:ascii="Palatino Linotype" w:hAnsi="Palatino Linotype"/>
          <w:szCs w:val="24"/>
        </w:rPr>
        <w:t xml:space="preserve"> </w:t>
      </w:r>
      <w:r w:rsidR="00B30CD7">
        <w:rPr>
          <w:rFonts w:ascii="Palatino Linotype" w:hAnsi="Palatino Linotype"/>
          <w:szCs w:val="24"/>
        </w:rPr>
        <w:fldChar w:fldCharType="begin" w:fldLock="1"/>
      </w:r>
      <w:r w:rsidR="000C0119">
        <w:rPr>
          <w:rFonts w:ascii="Palatino Linotype" w:hAnsi="Palatino Linotype"/>
          <w:szCs w:val="24"/>
        </w:rPr>
        <w:instrText>ADDIN CSL_CITATION { "citationItems" : [ { "id" : "ITEM-1", "itemData" : { "DOI" : "10.1002/qj.49710845502", "ISBN" : "0035-9009", "ISSN" : "1477-870X", "PMID" : "16899222", "abstract" : "... The energetic basis of the urban  heat  island By T. R. OKE Department of Geography, The University of British Columbia, Vancouver (Symons Memorial Lecture, delivered 20 May 1980) ... I(c)), whose differences at given times define the urban  heat  island intensity, AT,,-, Fig. ... \\n", "author" : [ { "dropping-particle" : "", "family" : "Oke", "given" : "T R", "non-dropping-particle" : "", "parse-names" : false, "suffix" : "" } ], "container-title" : "Quarterly Journal of the Royal Meteorological Society", "id" : "ITEM-1", "issue" : "455", "issued" : { "date-parts" : [ [ "1982" ] ] }, "page" : "1-24", "title" : "The energetic basis of the urban heat island", "type" : "article-journal", "volume" : "108" }, "uris" : [ "http://www.mendeley.com/documents/?uuid=0f27c996-5a12-437b-9b36-b58ca43c31a0" ] }, { "id" : "ITEM-2", "itemData" : { "DOI" : "10.1175/BAMS-D-11-00019.1", "ISBN" : "0003-0007", "ISSN" : "00030007", "PMID" : "17793577", "abstract" : "The new \u201clocal climate zone\u201d (LCZ) classification system provides a research framework for urban heat island studies and standardizes the worldwide exchange of urban temperature observations.", "author" : [ { "dropping-particle" : "", "family" : "Stewart", "given" : "I. D.", "non-dropping-particle" : "", "parse-names" : false, "suffix" : "" }, { "dropping-particle" : "", "family" : "Oke", "given" : "T. R.", "non-dropping-particle" : "", "parse-names" : false, "suffix" : "" } ], "container-title" : "Bulletin of the American Meteorological Society", "id" : "ITEM-2", "issue" : "12", "issued" : { "date-parts" : [ [ "2012" ] ] }, "page" : "1879-1900", "title" : "Local climate zones for urban temperature studies", "type" : "article-journal", "volume" : "93" }, "uris" : [ "http://www.mendeley.com/documents/?uuid=a7a470db-2e7c-4867-8c07-f7d22576a312" ] }, { "id" : "ITEM-3", "itemData" : { "DOI" : "10.1016/j.rse.2006.09.003", "ISBN" : "0034-4257", "ISSN" : "00344257", "abstract" : "This paper compares the normalized difference vegetation index (NDVI) and percent impervious surface as indicators of surface urban heat island effects in Landsat imagery by investigating the relationships between the land surface temperature (LST), percent impervious surface area (%ISA), and the NDVI. Landsat Thematic Mapper (TM) and Enhanced Thematic Mapper Plus (ETM+) data were used to estimate the LST from four different seasons for the Twin Cities, Minnesota, metropolitan area. A map of percent impervious surface with a standard error of 7.95% was generated using a normalized spectral mixture analysis of July 2002 Landsat TM imagery. Our analysis indicates there is a strong linear relationship between LST and percent impervious surface for all seasons, whereas the relationship between LST and NDVI is much less strong and varies by season. This result suggests percent impervious surface provides a complementary metric to the traditionally applied NDVI for analyzing LST quantitatively over the seasons for surface urban heat island studies using thermal infrared remote sensing in an urbanized environment. ?? 2006 Elsevier Inc. All rights reserved.", "author" : [ { "dropping-particle" : "", "family" : "Yuan", "given" : "Fei", "non-dropping-particle" : "", "parse-names" : false, "suffix" : "" }, { "dropping-particle" : "", "family" : "Bauer", "given" : "Marvin E.", "non-dropping-particle" : "", "parse-names" : false, "suffix" : "" } ], "container-title" : "Remote Sensing of Environment", "id" : "ITEM-3", "issue" : "3", "issued" : { "date-parts" : [ [ "2007" ] ] }, "page" : "375-386", "title" : "Comparison of impervious surface area and normalized difference vegetation index as indicators of surface urban heat island effects in Landsat imagery", "type" : "article-journal", "volume" : "106" }, "uris" : [ "http://www.mendeley.com/documents/?uuid=2c9c50dd-b4bb-4336-bf8b-fd93632775bb" ] } ], "mendeley" : { "formattedCitation" : "(Oke, 1982; Stewart and Oke, 2012; Yuan and Bauer, 2007)", "plainTextFormattedCitation" : "(Oke, 1982; Stewart and Oke, 2012; Yuan and Bauer, 2007)", "previouslyFormattedCitation" : "(Oke, 1982; Stewart and Oke, 2012; Yuan and Bauer, 2007)" }, "properties" : { "noteIndex" : 0 }, "schema" : "https://github.com/citation-style-language/schema/raw/master/csl-citation.json" }</w:instrText>
      </w:r>
      <w:r w:rsidR="00B30CD7">
        <w:rPr>
          <w:rFonts w:ascii="Palatino Linotype" w:hAnsi="Palatino Linotype"/>
          <w:szCs w:val="24"/>
        </w:rPr>
        <w:fldChar w:fldCharType="separate"/>
      </w:r>
      <w:r w:rsidR="00BF6C71" w:rsidRPr="00BF6C71">
        <w:rPr>
          <w:rFonts w:ascii="Palatino Linotype" w:hAnsi="Palatino Linotype"/>
          <w:noProof/>
          <w:szCs w:val="24"/>
        </w:rPr>
        <w:t>(Oke, 1982; Stewart and Oke, 2012; Yuan and Bauer, 2007)</w:t>
      </w:r>
      <w:r w:rsidR="00B30CD7">
        <w:rPr>
          <w:rFonts w:ascii="Palatino Linotype" w:hAnsi="Palatino Linotype"/>
          <w:szCs w:val="24"/>
        </w:rPr>
        <w:fldChar w:fldCharType="end"/>
      </w:r>
      <w:r w:rsidRPr="0086350F">
        <w:rPr>
          <w:rFonts w:ascii="Palatino Linotype" w:hAnsi="Palatino Linotype"/>
          <w:szCs w:val="24"/>
        </w:rPr>
        <w:t xml:space="preserve"> and we corrected the NARR air temperature field based on local </w:t>
      </w:r>
      <w:r w:rsidR="0097666E">
        <w:rPr>
          <w:rFonts w:ascii="Palatino Linotype" w:hAnsi="Palatino Linotype"/>
          <w:szCs w:val="24"/>
        </w:rPr>
        <w:t>urban</w:t>
      </w:r>
      <w:r w:rsidRPr="0086350F">
        <w:rPr>
          <w:rFonts w:ascii="Palatino Linotype" w:hAnsi="Palatino Linotype"/>
          <w:szCs w:val="24"/>
        </w:rPr>
        <w:t xml:space="preserve"> intensity and time of year. </w:t>
      </w:r>
      <w:r w:rsidR="000C0119">
        <w:rPr>
          <w:rFonts w:ascii="Palatino Linotype" w:hAnsi="Palatino Linotype"/>
          <w:szCs w:val="24"/>
        </w:rPr>
        <w:t xml:space="preserve">As described in Wang et al., </w:t>
      </w:r>
      <w:r w:rsidR="000C0119">
        <w:rPr>
          <w:rFonts w:ascii="Palatino Linotype" w:hAnsi="Palatino Linotype"/>
        </w:rPr>
        <w:fldChar w:fldCharType="begin" w:fldLock="1"/>
      </w:r>
      <w:r w:rsidR="00B64FB7">
        <w:rPr>
          <w:rFonts w:ascii="Palatino Linotype" w:hAnsi="Palatino Linotype"/>
        </w:rPr>
        <w:instrText>ADDIN CSL_CITATION { "citationItems" : [ { "id" : "ITEM-1", "itemData" : { "DOI" : "10.1175/JAMC-D-16-0325.1", "ISSN" : "1558-8424", "author" : [ { "dropping-particle" : "", "family" : "Wang", "given" : "J.A.", "non-dropping-particle" : "", "parse-names" : false, "suffix" : "" }, { "dropping-particle" : "", "family" : "Hutyra", "given" : "L. R.", "non-dropping-particle" : "", "parse-names" : false, "suffix" : "" }, { "dropping-particle" : "", "family" : "Li", "given" : "D.", "non-dropping-particle" : "", "parse-names" : false, "suffix" : "" }, { "dropping-particle" : "", "family" : "Friedl", "given" : "M.A.", "non-dropping-particle" : "", "parse-names" : false, "suffix" : "" } ], "container-title" : "Journal of Applied Meteorology and Climatology", "id" : "ITEM-1", "issued" : { "date-parts" : [ [ "2016" ] ] }, "title" : "Gradients of atmospheric temperature and humidity controlled by local urban land use intensity in Boston", "type" : "article-journal" }, "suppress-author" : 1, "uris" : [ "http://www.mendeley.com/documents/?uuid=668ddef4-c1c0-4f66-93ca-1d6e397512ba" ] } ], "mendeley" : { "formattedCitation" : "(2016)", "plainTextFormattedCitation" : "(2016)", "previouslyFormattedCitation" : "(2016)" }, "properties" : { "noteIndex" : 0 }, "schema" : "https://github.com/citation-style-language/schema/raw/master/csl-citation.json" }</w:instrText>
      </w:r>
      <w:r w:rsidR="000C0119">
        <w:rPr>
          <w:rFonts w:ascii="Palatino Linotype" w:hAnsi="Palatino Linotype"/>
        </w:rPr>
        <w:fldChar w:fldCharType="separate"/>
      </w:r>
      <w:r w:rsidR="000C0119" w:rsidRPr="000C0119">
        <w:rPr>
          <w:rFonts w:ascii="Palatino Linotype" w:hAnsi="Palatino Linotype"/>
          <w:noProof/>
        </w:rPr>
        <w:t>(2016)</w:t>
      </w:r>
      <w:r w:rsidR="000C0119">
        <w:rPr>
          <w:rFonts w:ascii="Palatino Linotype" w:hAnsi="Palatino Linotype"/>
        </w:rPr>
        <w:fldChar w:fldCharType="end"/>
      </w:r>
      <w:r w:rsidR="000C0119">
        <w:rPr>
          <w:rFonts w:ascii="Palatino Linotype" w:hAnsi="Palatino Linotype"/>
        </w:rPr>
        <w:t xml:space="preserve">, </w:t>
      </w:r>
      <w:r w:rsidR="000C0119">
        <w:rPr>
          <w:rFonts w:ascii="Palatino Linotype" w:hAnsi="Palatino Linotype"/>
          <w:szCs w:val="24"/>
        </w:rPr>
        <w:t>w</w:t>
      </w:r>
      <w:r w:rsidRPr="0086350F">
        <w:rPr>
          <w:rFonts w:ascii="Palatino Linotype" w:hAnsi="Palatino Linotype"/>
          <w:szCs w:val="24"/>
        </w:rPr>
        <w:t xml:space="preserve">e empirically estimated an hourly urban heat island bias using a sampling network of portable, radiation-shielded air temperature micro-loggers (HOBO U23-001: Onset Computer Corporation) spanning 1.5 years (2013-2015) and 25 field sites. The Micro-loggers were </w:t>
      </w:r>
      <w:r w:rsidR="00E244C8">
        <w:rPr>
          <w:rFonts w:ascii="Palatino Linotype" w:hAnsi="Palatino Linotype"/>
          <w:szCs w:val="24"/>
        </w:rPr>
        <w:t>mounted</w:t>
      </w:r>
      <w:r w:rsidR="00E244C8" w:rsidRPr="0086350F">
        <w:rPr>
          <w:rFonts w:ascii="Palatino Linotype" w:hAnsi="Palatino Linotype"/>
          <w:szCs w:val="24"/>
        </w:rPr>
        <w:t xml:space="preserve"> </w:t>
      </w:r>
      <w:r w:rsidRPr="0086350F">
        <w:rPr>
          <w:rFonts w:ascii="Palatino Linotype" w:hAnsi="Palatino Linotype"/>
          <w:szCs w:val="24"/>
        </w:rPr>
        <w:t xml:space="preserve">at a height of 1.5-2m from trees in parks, urban forests, parking lots, and yards across a gradient of </w:t>
      </w:r>
      <w:r w:rsidR="006E2A80">
        <w:rPr>
          <w:rFonts w:ascii="Palatino Linotype" w:hAnsi="Palatino Linotype"/>
          <w:szCs w:val="24"/>
        </w:rPr>
        <w:t>urban intensity</w:t>
      </w:r>
      <w:r w:rsidRPr="0086350F">
        <w:rPr>
          <w:rFonts w:ascii="Palatino Linotype" w:hAnsi="Palatino Linotype"/>
          <w:szCs w:val="24"/>
        </w:rPr>
        <w:t xml:space="preserve"> in Massachusetts. For each hour of the year, we estimated a linear regression between air temperature and the surrounding Impervious Surface Area (ISA)</w:t>
      </w:r>
      <w:r w:rsidR="005C3669">
        <w:rPr>
          <w:rFonts w:ascii="Palatino Linotype" w:hAnsi="Palatino Linotype"/>
          <w:szCs w:val="24"/>
        </w:rPr>
        <w:t xml:space="preserve"> based on the NLCD 2011 </w:t>
      </w:r>
      <w:r w:rsidR="00E92D4C">
        <w:rPr>
          <w:rFonts w:ascii="Palatino Linotype" w:hAnsi="Palatino Linotype"/>
          <w:szCs w:val="24"/>
        </w:rPr>
        <w:t xml:space="preserve">ISA </w:t>
      </w:r>
      <w:r w:rsidR="005C3669">
        <w:rPr>
          <w:rFonts w:ascii="Palatino Linotype" w:hAnsi="Palatino Linotype"/>
          <w:szCs w:val="24"/>
        </w:rPr>
        <w:t>data upscaled to the 500m model grid cell</w:t>
      </w:r>
      <w:r w:rsidRPr="0086350F">
        <w:rPr>
          <w:rFonts w:ascii="Palatino Linotype" w:hAnsi="Palatino Linotype"/>
          <w:szCs w:val="24"/>
        </w:rPr>
        <w:t xml:space="preserve">, which represents the areal proportion of a grid cell that is covered in impervious development (e.g. concrete, asphalt, building roofs). We adjusted the air temperature used in the </w:t>
      </w:r>
      <w:r w:rsidR="00D07751">
        <w:rPr>
          <w:rFonts w:ascii="Palatino Linotype" w:hAnsi="Palatino Linotype"/>
          <w:szCs w:val="24"/>
        </w:rPr>
        <w:t>UrbanVPRM</w:t>
      </w:r>
      <w:r w:rsidRPr="0086350F">
        <w:rPr>
          <w:rFonts w:ascii="Palatino Linotype" w:hAnsi="Palatino Linotype"/>
          <w:szCs w:val="24"/>
        </w:rPr>
        <w:t xml:space="preserve"> model based on the sub-pixel impervious surface area and hour of the year using the coefficients from the particular hour-of-year linear regression. The hourly linear regressions vary widely in magnitude, reflecting the temporally-varying nature of the urban heat island. </w:t>
      </w:r>
      <w:r w:rsidR="005C3669">
        <w:rPr>
          <w:rFonts w:ascii="Palatino Linotype" w:hAnsi="Palatino Linotype"/>
          <w:szCs w:val="24"/>
        </w:rPr>
        <w:t>Hourly u</w:t>
      </w:r>
      <w:r w:rsidRPr="0086350F">
        <w:rPr>
          <w:rFonts w:ascii="Palatino Linotype" w:hAnsi="Palatino Linotype"/>
          <w:szCs w:val="24"/>
        </w:rPr>
        <w:t xml:space="preserve">rban heat island </w:t>
      </w:r>
      <w:r w:rsidR="008F5975">
        <w:rPr>
          <w:rFonts w:ascii="Palatino Linotype" w:hAnsi="Palatino Linotype"/>
          <w:szCs w:val="24"/>
        </w:rPr>
        <w:t xml:space="preserve">biases ranged between </w:t>
      </w:r>
      <w:r w:rsidR="005C3669">
        <w:rPr>
          <w:rFonts w:ascii="Palatino Linotype" w:hAnsi="Palatino Linotype"/>
          <w:szCs w:val="24"/>
        </w:rPr>
        <w:t xml:space="preserve">-1.5 </w:t>
      </w:r>
      <w:r w:rsidR="008F5975">
        <w:rPr>
          <w:rFonts w:ascii="Palatino Linotype" w:hAnsi="Palatino Linotype"/>
          <w:szCs w:val="24"/>
        </w:rPr>
        <w:t>and 5°</w:t>
      </w:r>
      <w:r w:rsidRPr="0086350F">
        <w:rPr>
          <w:rFonts w:ascii="Palatino Linotype" w:hAnsi="Palatino Linotype"/>
          <w:szCs w:val="24"/>
        </w:rPr>
        <w:t xml:space="preserve">C. </w:t>
      </w:r>
    </w:p>
    <w:p w14:paraId="5822822C" w14:textId="77777777" w:rsidR="00CF37BD" w:rsidRPr="0086350F" w:rsidRDefault="00CF37BD" w:rsidP="00B93317">
      <w:pPr>
        <w:spacing w:line="360" w:lineRule="auto"/>
        <w:rPr>
          <w:rFonts w:ascii="Palatino Linotype" w:hAnsi="Palatino Linotype"/>
          <w:szCs w:val="24"/>
        </w:rPr>
      </w:pPr>
    </w:p>
    <w:p w14:paraId="3EE8BBDC" w14:textId="74802E85" w:rsidR="00CF37BD" w:rsidRPr="0086350F" w:rsidRDefault="00307F30" w:rsidP="00B93317">
      <w:pPr>
        <w:spacing w:line="360" w:lineRule="auto"/>
        <w:rPr>
          <w:rFonts w:ascii="Palatino Linotype" w:hAnsi="Palatino Linotype"/>
          <w:i/>
          <w:szCs w:val="24"/>
          <w:u w:val="single"/>
        </w:rPr>
      </w:pPr>
      <w:r>
        <w:rPr>
          <w:rFonts w:ascii="Palatino Linotype" w:hAnsi="Palatino Linotype"/>
          <w:i/>
          <w:szCs w:val="24"/>
          <w:u w:val="single"/>
        </w:rPr>
        <w:t xml:space="preserve">S2.3 </w:t>
      </w:r>
      <w:r w:rsidR="00CF37BD" w:rsidRPr="0086350F">
        <w:rPr>
          <w:rFonts w:ascii="Palatino Linotype" w:hAnsi="Palatino Linotype"/>
          <w:i/>
          <w:szCs w:val="24"/>
          <w:u w:val="single"/>
        </w:rPr>
        <w:t>Gross Ecosystem Exchange</w:t>
      </w:r>
    </w:p>
    <w:p w14:paraId="64EF995F" w14:textId="77777777" w:rsidR="003A3C52" w:rsidRDefault="003A3C52" w:rsidP="00B93317">
      <w:pPr>
        <w:spacing w:line="360" w:lineRule="auto"/>
        <w:rPr>
          <w:rFonts w:ascii="Palatino Linotype" w:hAnsi="Palatino Linotype"/>
          <w:szCs w:val="24"/>
        </w:rPr>
      </w:pPr>
      <w:r w:rsidRPr="0086350F">
        <w:rPr>
          <w:rFonts w:ascii="Palatino Linotype" w:hAnsi="Palatino Linotype"/>
          <w:szCs w:val="24"/>
        </w:rPr>
        <w:lastRenderedPageBreak/>
        <w:t xml:space="preserve">VPRM estimates gross ecosystem exchange (GEE) as a function of remotely-sensed estimates of the fraction of absorbed photosynthetically active radiation and reanalysis-derived </w:t>
      </w:r>
      <w:r>
        <w:rPr>
          <w:rFonts w:ascii="Palatino Linotype" w:hAnsi="Palatino Linotype"/>
          <w:szCs w:val="24"/>
        </w:rPr>
        <w:t>climate data</w:t>
      </w:r>
      <w:r w:rsidRPr="0086350F">
        <w:rPr>
          <w:rFonts w:ascii="Palatino Linotype" w:hAnsi="Palatino Linotype"/>
          <w:szCs w:val="24"/>
        </w:rPr>
        <w:t xml:space="preserve">. </w:t>
      </w:r>
      <w:r>
        <w:rPr>
          <w:rFonts w:ascii="Palatino Linotype" w:hAnsi="Palatino Linotype"/>
          <w:szCs w:val="24"/>
        </w:rPr>
        <w:t>We modified the treatment of phenology and leaf age in the model, but otherwise UrbanVPRM</w:t>
      </w:r>
      <w:r w:rsidRPr="0086350F">
        <w:rPr>
          <w:rFonts w:ascii="Palatino Linotype" w:hAnsi="Palatino Linotype"/>
          <w:szCs w:val="24"/>
        </w:rPr>
        <w:t xml:space="preserve"> does not explicitly change the structure of the GEE calculation relative to the original VPRM algorithm, but it indirectly modifies GEE via the urban heat island correction on air temperature. </w:t>
      </w:r>
      <w:r>
        <w:rPr>
          <w:rFonts w:ascii="Palatino Linotype" w:hAnsi="Palatino Linotype"/>
          <w:szCs w:val="24"/>
        </w:rPr>
        <w:t>The GEE formula is expressed as the product of environmental scaling terms:</w:t>
      </w:r>
    </w:p>
    <w:p w14:paraId="56DBC606" w14:textId="77777777" w:rsidR="003A3C52" w:rsidRDefault="003A3C52" w:rsidP="00B64FB7">
      <w:pPr>
        <w:spacing w:line="360" w:lineRule="auto"/>
        <w:rPr>
          <w:rFonts w:ascii="Palatino Linotype" w:hAnsi="Palatino Linotype"/>
          <w:szCs w:val="24"/>
        </w:rPr>
      </w:pPr>
    </w:p>
    <w:p w14:paraId="4848BF54" w14:textId="765EE6B6" w:rsidR="003A3C52" w:rsidRPr="00FC58B4" w:rsidRDefault="003A3C52" w:rsidP="00E0089D">
      <w:pPr>
        <w:spacing w:line="360" w:lineRule="auto"/>
        <w:jc w:val="right"/>
        <w:rPr>
          <w:rFonts w:ascii="Palatino Linotype" w:hAnsi="Palatino Linotype"/>
          <w:szCs w:val="24"/>
        </w:rPr>
      </w:pPr>
      <m:oMath>
        <m:r>
          <w:rPr>
            <w:rFonts w:ascii="Cambria Math" w:hAnsi="Cambria Math"/>
            <w:szCs w:val="24"/>
          </w:rPr>
          <m:t>GEE=</m:t>
        </m:r>
        <m:d>
          <m:dPr>
            <m:ctrlPr>
              <w:rPr>
                <w:rFonts w:ascii="Cambria Math" w:hAnsi="Cambria Math"/>
                <w:i/>
                <w:szCs w:val="24"/>
              </w:rPr>
            </m:ctrlPr>
          </m:dPr>
          <m:e>
            <m:r>
              <w:rPr>
                <w:rFonts w:ascii="Cambria Math" w:hAnsi="Cambria Math"/>
                <w:szCs w:val="24"/>
              </w:rPr>
              <m:t xml:space="preserve">λ*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scale</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scale</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scale</m:t>
                </m:r>
              </m:sub>
            </m:sSub>
          </m:e>
        </m:d>
        <m:r>
          <w:rPr>
            <w:rFonts w:ascii="Cambria Math" w:hAnsi="Cambria Math"/>
            <w:szCs w:val="24"/>
          </w:rPr>
          <m:t xml:space="preserve">*fAPAR* </m:t>
        </m:r>
        <m:f>
          <m:fPr>
            <m:ctrlPr>
              <w:rPr>
                <w:rFonts w:ascii="Cambria Math" w:hAnsi="Cambria Math"/>
                <w:i/>
                <w:szCs w:val="24"/>
              </w:rPr>
            </m:ctrlPr>
          </m:fPr>
          <m:num>
            <m:r>
              <w:rPr>
                <w:rFonts w:ascii="Cambria Math" w:hAnsi="Cambria Math"/>
                <w:szCs w:val="24"/>
              </w:rPr>
              <m:t>1</m:t>
            </m:r>
          </m:num>
          <m:den>
            <m:r>
              <w:rPr>
                <w:rFonts w:ascii="Cambria Math" w:hAnsi="Cambria Math"/>
                <w:szCs w:val="24"/>
              </w:rPr>
              <m:t xml:space="preserve">1+ </m:t>
            </m:r>
            <m:f>
              <m:fPr>
                <m:ctrlPr>
                  <w:rPr>
                    <w:rFonts w:ascii="Cambria Math" w:hAnsi="Cambria Math"/>
                    <w:i/>
                    <w:szCs w:val="24"/>
                  </w:rPr>
                </m:ctrlPr>
              </m:fPr>
              <m:num>
                <m:r>
                  <w:rPr>
                    <w:rFonts w:ascii="Cambria Math" w:hAnsi="Cambria Math"/>
                    <w:szCs w:val="24"/>
                  </w:rPr>
                  <m:t>PAR</m:t>
                </m:r>
              </m:num>
              <m:den>
                <m:sSub>
                  <m:sSubPr>
                    <m:ctrlPr>
                      <w:rPr>
                        <w:rFonts w:ascii="Cambria Math" w:hAnsi="Cambria Math"/>
                        <w:i/>
                        <w:szCs w:val="24"/>
                      </w:rPr>
                    </m:ctrlPr>
                  </m:sSubPr>
                  <m:e>
                    <m:r>
                      <w:rPr>
                        <w:rFonts w:ascii="Cambria Math" w:hAnsi="Cambria Math"/>
                        <w:szCs w:val="24"/>
                      </w:rPr>
                      <m:t>PAR</m:t>
                    </m:r>
                  </m:e>
                  <m:sub>
                    <m:r>
                      <w:rPr>
                        <w:rFonts w:ascii="Cambria Math" w:hAnsi="Cambria Math"/>
                        <w:szCs w:val="24"/>
                      </w:rPr>
                      <m:t>0</m:t>
                    </m:r>
                  </m:sub>
                </m:sSub>
              </m:den>
            </m:f>
          </m:den>
        </m:f>
        <m:r>
          <w:rPr>
            <w:rFonts w:ascii="Cambria Math" w:hAnsi="Cambria Math"/>
            <w:szCs w:val="24"/>
          </w:rPr>
          <m:t>*PAR</m:t>
        </m:r>
      </m:oMath>
      <w:r w:rsidR="008D7573">
        <w:rPr>
          <w:rFonts w:ascii="Palatino Linotype" w:hAnsi="Palatino Linotype"/>
        </w:rPr>
        <w:t xml:space="preserve">               SI Eqn. 2</w:t>
      </w:r>
    </w:p>
    <w:p w14:paraId="2ED0E50F" w14:textId="77777777" w:rsidR="00FC58B4" w:rsidRPr="00397D79" w:rsidRDefault="00FC58B4" w:rsidP="00D66021">
      <w:pPr>
        <w:spacing w:line="360" w:lineRule="auto"/>
        <w:rPr>
          <w:rFonts w:ascii="Palatino Linotype" w:hAnsi="Palatino Linotype"/>
          <w:szCs w:val="24"/>
        </w:rPr>
      </w:pPr>
    </w:p>
    <w:p w14:paraId="176C497B" w14:textId="77777777" w:rsidR="00676D6B" w:rsidRDefault="003A3C52" w:rsidP="00D66021">
      <w:pPr>
        <w:spacing w:line="360" w:lineRule="auto"/>
        <w:rPr>
          <w:rFonts w:ascii="Palatino Linotype" w:hAnsi="Palatino Linotype"/>
          <w:szCs w:val="24"/>
        </w:rPr>
      </w:pPr>
      <w:r>
        <w:rPr>
          <w:rFonts w:ascii="Palatino Linotype" w:hAnsi="Palatino Linotype"/>
          <w:szCs w:val="24"/>
        </w:rPr>
        <w:t xml:space="preserve">Where </w:t>
      </w:r>
      <w:r w:rsidRPr="00AA4AEA">
        <w:rPr>
          <w:rFonts w:ascii="Palatino Linotype" w:hAnsi="Palatino Linotype"/>
          <w:i/>
          <w:szCs w:val="24"/>
        </w:rPr>
        <w:t>λ</w:t>
      </w:r>
      <w:r>
        <w:rPr>
          <w:rFonts w:ascii="Palatino Linotype" w:hAnsi="Palatino Linotype"/>
          <w:szCs w:val="24"/>
        </w:rPr>
        <w:t xml:space="preserve"> is a model parameter, T</w:t>
      </w:r>
      <w:r w:rsidRPr="00AA4AEA">
        <w:rPr>
          <w:rFonts w:ascii="Palatino Linotype" w:hAnsi="Palatino Linotype"/>
          <w:szCs w:val="24"/>
          <w:vertAlign w:val="subscript"/>
        </w:rPr>
        <w:t>scale</w:t>
      </w:r>
      <w:r>
        <w:rPr>
          <w:rFonts w:ascii="Palatino Linotype" w:hAnsi="Palatino Linotype"/>
          <w:szCs w:val="24"/>
        </w:rPr>
        <w:t>, W</w:t>
      </w:r>
      <w:r w:rsidRPr="00AA4AEA">
        <w:rPr>
          <w:rFonts w:ascii="Palatino Linotype" w:hAnsi="Palatino Linotype"/>
          <w:szCs w:val="24"/>
          <w:vertAlign w:val="subscript"/>
        </w:rPr>
        <w:t>scale</w:t>
      </w:r>
      <w:r>
        <w:rPr>
          <w:rFonts w:ascii="Palatino Linotype" w:hAnsi="Palatino Linotype"/>
          <w:szCs w:val="24"/>
        </w:rPr>
        <w:t>, and P</w:t>
      </w:r>
      <w:r w:rsidRPr="00AA4AEA">
        <w:rPr>
          <w:rFonts w:ascii="Palatino Linotype" w:hAnsi="Palatino Linotype"/>
          <w:szCs w:val="24"/>
          <w:vertAlign w:val="subscript"/>
        </w:rPr>
        <w:t>scale</w:t>
      </w:r>
      <w:r>
        <w:rPr>
          <w:rFonts w:ascii="Palatino Linotype" w:hAnsi="Palatino Linotype"/>
          <w:szCs w:val="24"/>
        </w:rPr>
        <w:t xml:space="preserve"> are scalars for temperature, leaf water content, and leaf phenology, respectively, fAPAR is the fraction of </w:t>
      </w:r>
    </w:p>
    <w:p w14:paraId="29E0C99E" w14:textId="409B26ED" w:rsidR="003A3C52" w:rsidRDefault="003A3C52" w:rsidP="00D66021">
      <w:pPr>
        <w:spacing w:line="360" w:lineRule="auto"/>
        <w:rPr>
          <w:rFonts w:ascii="Palatino Linotype" w:hAnsi="Palatino Linotype"/>
          <w:szCs w:val="24"/>
        </w:rPr>
      </w:pPr>
      <w:r>
        <w:rPr>
          <w:rFonts w:ascii="Palatino Linotype" w:hAnsi="Palatino Linotype"/>
          <w:szCs w:val="24"/>
        </w:rPr>
        <w:t xml:space="preserve">incident </w:t>
      </w:r>
      <w:r w:rsidR="00FC58B4">
        <w:rPr>
          <w:rFonts w:ascii="Palatino Linotype" w:hAnsi="Palatino Linotype"/>
          <w:szCs w:val="24"/>
        </w:rPr>
        <w:t>photosynthetically-active radiation (PAR)</w:t>
      </w:r>
      <w:r>
        <w:rPr>
          <w:rFonts w:ascii="Palatino Linotype" w:hAnsi="Palatino Linotype"/>
          <w:szCs w:val="24"/>
        </w:rPr>
        <w:t xml:space="preserve"> absorbed by </w:t>
      </w:r>
      <w:r w:rsidR="00FC58B4">
        <w:rPr>
          <w:rFonts w:ascii="Palatino Linotype" w:hAnsi="Palatino Linotype"/>
          <w:szCs w:val="24"/>
        </w:rPr>
        <w:t>vegetation</w:t>
      </w:r>
      <w:r>
        <w:rPr>
          <w:rFonts w:ascii="Palatino Linotype" w:hAnsi="Palatino Linotype"/>
          <w:szCs w:val="24"/>
        </w:rPr>
        <w:t xml:space="preserve">. To estimate fAPAR, we used the Enhanced Vegetation Index (EVI), a satellite-derived spectral index using visible and near-infrared land surface reflectance from the MODIS instrument that is closely correlated with photosynthesis across a large range of canopy status and closely follows leaf phenology </w:t>
      </w:r>
      <w:r w:rsidR="00676D6B">
        <w:rPr>
          <w:rFonts w:ascii="Palatino Linotype" w:hAnsi="Palatino Linotype"/>
          <w:szCs w:val="24"/>
        </w:rPr>
        <w:fldChar w:fldCharType="begin" w:fldLock="1"/>
      </w:r>
      <w:r w:rsidR="000C0119">
        <w:rPr>
          <w:rFonts w:ascii="Palatino Linotype" w:hAnsi="Palatino Linotype"/>
          <w:szCs w:val="24"/>
        </w:rPr>
        <w:instrText>ADDIN CSL_CITATION { "citationItems" : [ { "id" : "ITEM-1", "itemData" : { "DOI" : "10.1016/j.rse.2004.03.010", "ISBN" : "0034-4257", "ISSN" : "00344257", "PMID" : "411", "abstract" : "Net ecosystem exchange (NEE) of CO2 between the atmosphere and forest ecosystems is determined by gross primary production (GPP) of vegetation and ecosystem respiration. CO2 flux measurements at individual CO2 eddy flux sites provide valuable information on the seasonal dynamics of GPP. In this paper, we developed and validated the satellite-based Vegetation Photosynthesis Model (VPM), using site-specific CO2 flux and climate data from a temperate deciduous broadleaf forest at Harvard Forest, Massachusetts, USA. The VPM model is built upon the conceptual partitioning of photosynthetically active vegetation and non-photosynthetic vegetation (NPV) within the leaf and canopy. It estimates GPP, using satellite-derived Enhanced Vegetation Index (EVI), Land Surface Water Index (LSWI), air temperature and photosynthetically active radiation (PAR). Multi-year (1998-2001) data analyses have shown that EVI had a stronger linear relationship with GPP than did the Normalized Difference Vegetation Index (NDVI). Two simulations of the VPM model were conducted, using vegetation indices from the VEGETATION (VGT) sensor onboard the SPOT-4 satellite and the Moderate Resolution Imaging Spectroradiometer (MODIS) sensor onboard the Terra satellite. The predicted GPP values agreed reasonably well with observed GPP of the deciduous broadleaf forest at Harvard Forest, Massachusetts. This study highlighted the biophysical performance of improved vegetation indices in relation to GPP and demonstrated the potential of the VPM model for scaling-up of GPP of deciduous broadleaf forests. ?? 2004 Elsevier Inc. All rights reserved.", "author" : [ { "dropping-particle" : "", "family" : "Xiao", "given" : "Xiangming", "non-dropping-particle" : "", "parse-names" : false, "suffix" : "" }, { "dropping-particle" : "", "family" : "Zhang", "given" : "Qingyuan", "non-dropping-particle" : "", "parse-names" : false, "suffix" : "" }, { "dropping-particle" : "", "family" : "Braswell", "given" : "Bobby", "non-dropping-particle" : "", "parse-names" : false, "suffix" : "" }, { "dropping-particle" : "", "family" : "Urbanski", "given" : "Shawn", "non-dropping-particle" : "", "parse-names" : false, "suffix" : "" }, { "dropping-particle" : "", "family" : "Boles", "given" : "Stephen", "non-dropping-particle" : "", "parse-names" : false, "suffix" : "" }, { "dropping-particle" : "", "family" : "Wofsy", "given" : "Steven", "non-dropping-particle" : "", "parse-names" : false, "suffix" : "" }, { "dropping-particle" : "", "family" : "Moore", "given" : "Berrien", "non-dropping-particle" : "", "parse-names" : false, "suffix" : "" }, { "dropping-particle" : "", "family" : "Ojima", "given" : "Dennis", "non-dropping-particle" : "", "parse-names" : false, "suffix" : "" } ], "container-title" : "Remote Sensing of Environment", "id" : "ITEM-1", "issue" : "2", "issued" : { "date-parts" : [ [ "2004" ] ] }, "page" : "256-270", "title" : "Modeling gross primary production of temperate deciduous broadleaf forest using satellite images and climate data", "type" : "article-journal", "volume" : "91" }, "uris" : [ "http://www.mendeley.com/documents/?uuid=ae6ff54a-37af-461d-b37a-07bfdc5ddf25" ] } ], "mendeley" : { "formattedCitation" : "(Xiao et al., 2004)", "plainTextFormattedCitation" : "(Xiao et al., 2004)", "previouslyFormattedCitation" : "(Xiao et al., 2004)" }, "properties" : { "noteIndex" : 0 }, "schema" : "https://github.com/citation-style-language/schema/raw/master/csl-citation.json" }</w:instrText>
      </w:r>
      <w:r w:rsidR="00676D6B">
        <w:rPr>
          <w:rFonts w:ascii="Palatino Linotype" w:hAnsi="Palatino Linotype"/>
          <w:szCs w:val="24"/>
        </w:rPr>
        <w:fldChar w:fldCharType="separate"/>
      </w:r>
      <w:r w:rsidR="00BF6C71" w:rsidRPr="00BF6C71">
        <w:rPr>
          <w:rFonts w:ascii="Palatino Linotype" w:hAnsi="Palatino Linotype"/>
          <w:noProof/>
          <w:szCs w:val="24"/>
        </w:rPr>
        <w:t>(Xiao et al., 2004)</w:t>
      </w:r>
      <w:r w:rsidR="00676D6B">
        <w:rPr>
          <w:rFonts w:ascii="Palatino Linotype" w:hAnsi="Palatino Linotype"/>
          <w:szCs w:val="24"/>
        </w:rPr>
        <w:fldChar w:fldCharType="end"/>
      </w:r>
      <w:r w:rsidR="00676D6B">
        <w:rPr>
          <w:rFonts w:ascii="Palatino Linotype" w:hAnsi="Palatino Linotype"/>
          <w:szCs w:val="24"/>
        </w:rPr>
        <w:t>.</w:t>
      </w:r>
    </w:p>
    <w:p w14:paraId="2FA36C8B" w14:textId="77777777" w:rsidR="003A3C52" w:rsidRDefault="003A3C52" w:rsidP="00D66021">
      <w:pPr>
        <w:spacing w:line="360" w:lineRule="auto"/>
        <w:rPr>
          <w:rFonts w:ascii="Palatino Linotype" w:hAnsi="Palatino Linotype"/>
          <w:szCs w:val="24"/>
        </w:rPr>
      </w:pPr>
    </w:p>
    <w:p w14:paraId="2B87E88A" w14:textId="6C020807" w:rsidR="003A3C52" w:rsidRDefault="003A3C52" w:rsidP="00B93317">
      <w:pPr>
        <w:spacing w:line="360" w:lineRule="auto"/>
        <w:rPr>
          <w:rFonts w:ascii="Palatino Linotype" w:hAnsi="Palatino Linotype"/>
          <w:szCs w:val="24"/>
        </w:rPr>
      </w:pPr>
      <w:r>
        <w:rPr>
          <w:rFonts w:ascii="Palatino Linotype" w:hAnsi="Palatino Linotype"/>
          <w:szCs w:val="24"/>
        </w:rPr>
        <w:t>W</w:t>
      </w:r>
      <w:r w:rsidRPr="00AA4AEA">
        <w:rPr>
          <w:rFonts w:ascii="Palatino Linotype" w:hAnsi="Palatino Linotype"/>
          <w:szCs w:val="24"/>
          <w:vertAlign w:val="subscript"/>
        </w:rPr>
        <w:t>scale</w:t>
      </w:r>
      <w:r>
        <w:rPr>
          <w:rFonts w:ascii="Palatino Linotype" w:hAnsi="Palatino Linotype"/>
          <w:szCs w:val="24"/>
        </w:rPr>
        <w:t xml:space="preserve"> is expressed as a function of the Land Surface Water Index (LSWI), a spectral index using near-infrared and shortwave infrared reflectance that represents changes in plant canopies resulting from drought </w:t>
      </w:r>
      <w:r w:rsidR="00676D6B">
        <w:rPr>
          <w:rFonts w:ascii="Palatino Linotype" w:hAnsi="Palatino Linotype"/>
          <w:szCs w:val="24"/>
        </w:rPr>
        <w:fldChar w:fldCharType="begin" w:fldLock="1"/>
      </w:r>
      <w:r w:rsidR="000C0119">
        <w:rPr>
          <w:rFonts w:ascii="Palatino Linotype" w:hAnsi="Palatino Linotype"/>
          <w:szCs w:val="24"/>
        </w:rPr>
        <w:instrText>ADDIN CSL_CITATION { "citationItems" : [ { "id" : "ITEM-1", "itemData" : { "DOI" : "10.1016/j.rse.2004.03.010", "ISBN" : "0034-4257", "ISSN" : "00344257", "PMID" : "411", "abstract" : "Net ecosystem exchange (NEE) of CO2 between the atmosphere and forest ecosystems is determined by gross primary production (GPP) of vegetation and ecosystem respiration. CO2 flux measurements at individual CO2 eddy flux sites provide valuable information on the seasonal dynamics of GPP. In this paper, we developed and validated the satellite-based Vegetation Photosynthesis Model (VPM), using site-specific CO2 flux and climate data from a temperate deciduous broadleaf forest at Harvard Forest, Massachusetts, USA. The VPM model is built upon the conceptual partitioning of photosynthetically active vegetation and non-photosynthetic vegetation (NPV) within the leaf and canopy. It estimates GPP, using satellite-derived Enhanced Vegetation Index (EVI), Land Surface Water Index (LSWI), air temperature and photosynthetically active radiation (PAR). Multi-year (1998-2001) data analyses have shown that EVI had a stronger linear relationship with GPP than did the Normalized Difference Vegetation Index (NDVI). Two simulations of the VPM model were conducted, using vegetation indices from the VEGETATION (VGT) sensor onboard the SPOT-4 satellite and the Moderate Resolution Imaging Spectroradiometer (MODIS) sensor onboard the Terra satellite. The predicted GPP values agreed reasonably well with observed GPP of the deciduous broadleaf forest at Harvard Forest, Massachusetts. This study highlighted the biophysical performance of improved vegetation indices in relation to GPP and demonstrated the potential of the VPM model for scaling-up of GPP of deciduous broadleaf forests. ?? 2004 Elsevier Inc. All rights reserved.", "author" : [ { "dropping-particle" : "", "family" : "Xiao", "given" : "Xiangming", "non-dropping-particle" : "", "parse-names" : false, "suffix" : "" }, { "dropping-particle" : "", "family" : "Zhang", "given" : "Qingyuan", "non-dropping-particle" : "", "parse-names" : false, "suffix" : "" }, { "dropping-particle" : "", "family" : "Braswell", "given" : "Bobby", "non-dropping-particle" : "", "parse-names" : false, "suffix" : "" }, { "dropping-particle" : "", "family" : "Urbanski", "given" : "Shawn", "non-dropping-particle" : "", "parse-names" : false, "suffix" : "" }, { "dropping-particle" : "", "family" : "Boles", "given" : "Stephen", "non-dropping-particle" : "", "parse-names" : false, "suffix" : "" }, { "dropping-particle" : "", "family" : "Wofsy", "given" : "Steven", "non-dropping-particle" : "", "parse-names" : false, "suffix" : "" }, { "dropping-particle" : "", "family" : "Moore", "given" : "Berrien", "non-dropping-particle" : "", "parse-names" : false, "suffix" : "" }, { "dropping-particle" : "", "family" : "Ojima", "given" : "Dennis", "non-dropping-particle" : "", "parse-names" : false, "suffix" : "" } ], "container-title" : "Remote Sensing of Environment", "id" : "ITEM-1", "issue" : "2", "issued" : { "date-parts" : [ [ "2004" ] ] }, "page" : "256-270", "title" : "Modeling gross primary production of temperate deciduous broadleaf forest using satellite images and climate data", "type" : "article-journal", "volume" : "91" }, "uris" : [ "http://www.mendeley.com/documents/?uuid=ae6ff54a-37af-461d-b37a-07bfdc5ddf25" ] } ], "mendeley" : { "formattedCitation" : "(Xiao et al., 2004)", "plainTextFormattedCitation" : "(Xiao et al., 2004)", "previouslyFormattedCitation" : "(Xiao et al., 2004)" }, "properties" : { "noteIndex" : 0 }, "schema" : "https://github.com/citation-style-language/schema/raw/master/csl-citation.json" }</w:instrText>
      </w:r>
      <w:r w:rsidR="00676D6B">
        <w:rPr>
          <w:rFonts w:ascii="Palatino Linotype" w:hAnsi="Palatino Linotype"/>
          <w:szCs w:val="24"/>
        </w:rPr>
        <w:fldChar w:fldCharType="separate"/>
      </w:r>
      <w:r w:rsidR="00BF6C71" w:rsidRPr="00BF6C71">
        <w:rPr>
          <w:rFonts w:ascii="Palatino Linotype" w:hAnsi="Palatino Linotype"/>
          <w:noProof/>
          <w:szCs w:val="24"/>
        </w:rPr>
        <w:t>(Xiao et al., 2004)</w:t>
      </w:r>
      <w:r w:rsidR="00676D6B">
        <w:rPr>
          <w:rFonts w:ascii="Palatino Linotype" w:hAnsi="Palatino Linotype"/>
          <w:szCs w:val="24"/>
        </w:rPr>
        <w:fldChar w:fldCharType="end"/>
      </w:r>
      <w:r>
        <w:rPr>
          <w:rFonts w:ascii="Palatino Linotype" w:hAnsi="Palatino Linotype"/>
          <w:szCs w:val="24"/>
        </w:rPr>
        <w:t>:</w:t>
      </w:r>
    </w:p>
    <w:p w14:paraId="17F0BA05" w14:textId="77777777" w:rsidR="003A3C52" w:rsidRDefault="003A3C52" w:rsidP="00B93317">
      <w:pPr>
        <w:spacing w:line="360" w:lineRule="auto"/>
        <w:rPr>
          <w:rFonts w:ascii="Palatino Linotype" w:hAnsi="Palatino Linotype"/>
          <w:szCs w:val="24"/>
        </w:rPr>
      </w:pPr>
    </w:p>
    <w:p w14:paraId="091D1B06" w14:textId="14A4A597" w:rsidR="003A3C52" w:rsidRPr="00397D79" w:rsidRDefault="00D7627E" w:rsidP="00E0089D">
      <w:pPr>
        <w:spacing w:line="360" w:lineRule="auto"/>
        <w:jc w:val="right"/>
        <w:rPr>
          <w:rFonts w:ascii="Palatino Linotype" w:hAnsi="Palatino Linotype"/>
          <w:szCs w:val="24"/>
        </w:rPr>
      </w:pP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scale</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1+LSWI</m:t>
            </m:r>
          </m:num>
          <m:den>
            <m:r>
              <w:rPr>
                <w:rFonts w:ascii="Cambria Math" w:hAnsi="Cambria Math"/>
                <w:szCs w:val="24"/>
              </w:rPr>
              <m:t xml:space="preserve">1+ </m:t>
            </m:r>
            <m:sSub>
              <m:sSubPr>
                <m:ctrlPr>
                  <w:rPr>
                    <w:rFonts w:ascii="Cambria Math" w:hAnsi="Cambria Math"/>
                    <w:i/>
                    <w:szCs w:val="24"/>
                  </w:rPr>
                </m:ctrlPr>
              </m:sSubPr>
              <m:e>
                <m:r>
                  <w:rPr>
                    <w:rFonts w:ascii="Cambria Math" w:hAnsi="Cambria Math"/>
                    <w:szCs w:val="24"/>
                  </w:rPr>
                  <m:t>LSWI</m:t>
                </m:r>
              </m:e>
              <m:sub>
                <m:r>
                  <w:rPr>
                    <w:rFonts w:ascii="Cambria Math" w:hAnsi="Cambria Math"/>
                    <w:szCs w:val="24"/>
                  </w:rPr>
                  <m:t>max</m:t>
                </m:r>
              </m:sub>
            </m:sSub>
          </m:den>
        </m:f>
      </m:oMath>
      <w:r w:rsidR="008D7573">
        <w:rPr>
          <w:rFonts w:ascii="Palatino Linotype" w:hAnsi="Palatino Linotype"/>
        </w:rPr>
        <w:t xml:space="preserve">                                               SI Eqn. 3</w:t>
      </w:r>
    </w:p>
    <w:p w14:paraId="3CA27A6A" w14:textId="77777777" w:rsidR="003A3C52" w:rsidRDefault="003A3C52" w:rsidP="00D66021">
      <w:pPr>
        <w:spacing w:line="360" w:lineRule="auto"/>
        <w:rPr>
          <w:rFonts w:ascii="Palatino Linotype" w:hAnsi="Palatino Linotype"/>
          <w:szCs w:val="24"/>
        </w:rPr>
      </w:pPr>
    </w:p>
    <w:p w14:paraId="403F080E" w14:textId="77777777" w:rsidR="003A3C52" w:rsidRPr="00397D79" w:rsidRDefault="003A3C52" w:rsidP="00D66021">
      <w:pPr>
        <w:spacing w:line="360" w:lineRule="auto"/>
        <w:rPr>
          <w:rFonts w:ascii="Palatino Linotype" w:hAnsi="Palatino Linotype"/>
          <w:szCs w:val="24"/>
        </w:rPr>
      </w:pPr>
      <w:r>
        <w:rPr>
          <w:rFonts w:ascii="Palatino Linotype" w:hAnsi="Palatino Linotype"/>
          <w:szCs w:val="24"/>
        </w:rPr>
        <w:lastRenderedPageBreak/>
        <w:t>where LSWI</w:t>
      </w:r>
      <w:r w:rsidRPr="00AA4AEA">
        <w:rPr>
          <w:rFonts w:ascii="Palatino Linotype" w:hAnsi="Palatino Linotype"/>
          <w:szCs w:val="24"/>
          <w:vertAlign w:val="subscript"/>
        </w:rPr>
        <w:t>max</w:t>
      </w:r>
      <w:r>
        <w:rPr>
          <w:rFonts w:ascii="Palatino Linotype" w:hAnsi="Palatino Linotype"/>
          <w:szCs w:val="24"/>
          <w:vertAlign w:val="subscript"/>
        </w:rPr>
        <w:t xml:space="preserve"> </w:t>
      </w:r>
      <w:r>
        <w:rPr>
          <w:rFonts w:ascii="Palatino Linotype" w:hAnsi="Palatino Linotype"/>
          <w:szCs w:val="24"/>
        </w:rPr>
        <w:t xml:space="preserve">represents the maximum LSWI observed for each pixel within the growing season. </w:t>
      </w:r>
    </w:p>
    <w:p w14:paraId="4D24C8DE" w14:textId="77777777" w:rsidR="003A3C52" w:rsidRDefault="003A3C52" w:rsidP="00D66021">
      <w:pPr>
        <w:spacing w:line="360" w:lineRule="auto"/>
        <w:rPr>
          <w:rFonts w:ascii="Palatino Linotype" w:hAnsi="Palatino Linotype"/>
          <w:szCs w:val="24"/>
        </w:rPr>
      </w:pPr>
    </w:p>
    <w:p w14:paraId="173AC6F1" w14:textId="77777777" w:rsidR="003A3C52" w:rsidRDefault="003A3C52" w:rsidP="00D66021">
      <w:pPr>
        <w:spacing w:line="360" w:lineRule="auto"/>
        <w:rPr>
          <w:rFonts w:ascii="Palatino Linotype" w:hAnsi="Palatino Linotype"/>
          <w:szCs w:val="24"/>
        </w:rPr>
      </w:pPr>
      <w:r>
        <w:rPr>
          <w:rFonts w:ascii="Palatino Linotype" w:hAnsi="Palatino Linotype"/>
          <w:szCs w:val="24"/>
        </w:rPr>
        <w:t>P</w:t>
      </w:r>
      <w:r w:rsidRPr="00AA4AEA">
        <w:rPr>
          <w:rFonts w:ascii="Palatino Linotype" w:hAnsi="Palatino Linotype"/>
          <w:szCs w:val="24"/>
          <w:vertAlign w:val="subscript"/>
        </w:rPr>
        <w:t>scale</w:t>
      </w:r>
      <w:r>
        <w:rPr>
          <w:rFonts w:ascii="Palatino Linotype" w:hAnsi="Palatino Linotype"/>
          <w:szCs w:val="24"/>
        </w:rPr>
        <w:t xml:space="preserve"> is expressed as a seasonally-normalized function of the Enhanced Vegetation Index:</w:t>
      </w:r>
    </w:p>
    <w:p w14:paraId="44EEBA4E" w14:textId="7B0A5BAE" w:rsidR="003A3C52" w:rsidRPr="00397D79" w:rsidRDefault="00D7627E" w:rsidP="00E0089D">
      <w:pPr>
        <w:spacing w:line="360" w:lineRule="auto"/>
        <w:jc w:val="right"/>
        <w:rPr>
          <w:rFonts w:ascii="Palatino Linotype" w:hAnsi="Palatino Linotype"/>
          <w:szCs w:val="24"/>
        </w:rPr>
      </w:pP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scale</m:t>
            </m:r>
          </m:sub>
        </m:sSub>
        <m:r>
          <w:rPr>
            <w:rFonts w:ascii="Cambria Math" w:hAnsi="Cambria Math"/>
            <w:szCs w:val="24"/>
          </w:rPr>
          <m:t>=</m:t>
        </m:r>
        <m:f>
          <m:fPr>
            <m:ctrlPr>
              <w:rPr>
                <w:rFonts w:ascii="Cambria Math" w:hAnsi="Cambria Math"/>
                <w:i/>
                <w:szCs w:val="24"/>
              </w:rPr>
            </m:ctrlPr>
          </m:fPr>
          <m:num>
            <m:r>
              <w:rPr>
                <w:rFonts w:ascii="Cambria Math" w:hAnsi="Cambria Math"/>
                <w:szCs w:val="24"/>
              </w:rPr>
              <m:t xml:space="preserve">EVI- </m:t>
            </m:r>
            <m:sSub>
              <m:sSubPr>
                <m:ctrlPr>
                  <w:rPr>
                    <w:rFonts w:ascii="Cambria Math" w:hAnsi="Cambria Math"/>
                    <w:i/>
                    <w:szCs w:val="24"/>
                  </w:rPr>
                </m:ctrlPr>
              </m:sSubPr>
              <m:e>
                <m:r>
                  <w:rPr>
                    <w:rFonts w:ascii="Cambria Math" w:hAnsi="Cambria Math"/>
                    <w:szCs w:val="24"/>
                  </w:rPr>
                  <m:t>EVI</m:t>
                </m:r>
              </m:e>
              <m:sub>
                <m:r>
                  <w:rPr>
                    <w:rFonts w:ascii="Cambria Math" w:hAnsi="Cambria Math"/>
                    <w:szCs w:val="24"/>
                  </w:rPr>
                  <m:t>min</m:t>
                </m:r>
              </m:sub>
            </m:sSub>
          </m:num>
          <m:den>
            <m:sSub>
              <m:sSubPr>
                <m:ctrlPr>
                  <w:rPr>
                    <w:rFonts w:ascii="Cambria Math" w:hAnsi="Cambria Math"/>
                    <w:i/>
                    <w:szCs w:val="24"/>
                  </w:rPr>
                </m:ctrlPr>
              </m:sSubPr>
              <m:e>
                <m:r>
                  <w:rPr>
                    <w:rFonts w:ascii="Cambria Math" w:hAnsi="Cambria Math"/>
                    <w:szCs w:val="24"/>
                  </w:rPr>
                  <m:t>EVI</m:t>
                </m:r>
              </m:e>
              <m:sub>
                <m:r>
                  <w:rPr>
                    <w:rFonts w:ascii="Cambria Math" w:hAnsi="Cambria Math"/>
                    <w:szCs w:val="24"/>
                  </w:rPr>
                  <m:t>max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EVI</m:t>
                </m:r>
              </m:e>
              <m:sub>
                <m:r>
                  <w:rPr>
                    <w:rFonts w:ascii="Cambria Math" w:hAnsi="Cambria Math"/>
                    <w:szCs w:val="24"/>
                  </w:rPr>
                  <m:t>min</m:t>
                </m:r>
              </m:sub>
            </m:sSub>
          </m:den>
        </m:f>
      </m:oMath>
      <w:r w:rsidR="008D7573">
        <w:rPr>
          <w:rFonts w:ascii="Palatino Linotype" w:hAnsi="Palatino Linotype"/>
        </w:rPr>
        <w:t xml:space="preserve">                                               SI Eqn. 4</w:t>
      </w:r>
    </w:p>
    <w:p w14:paraId="156E295E" w14:textId="77777777" w:rsidR="003A3C52" w:rsidRDefault="003A3C52" w:rsidP="00D66021">
      <w:pPr>
        <w:spacing w:line="360" w:lineRule="auto"/>
        <w:rPr>
          <w:rFonts w:ascii="Palatino Linotype" w:hAnsi="Palatino Linotype"/>
          <w:szCs w:val="24"/>
        </w:rPr>
      </w:pPr>
    </w:p>
    <w:p w14:paraId="3E35A542" w14:textId="70B5C3B4" w:rsidR="003A3C52" w:rsidRDefault="003A3C52" w:rsidP="00D66021">
      <w:pPr>
        <w:spacing w:line="360" w:lineRule="auto"/>
        <w:rPr>
          <w:rFonts w:ascii="Palatino Linotype" w:hAnsi="Palatino Linotype"/>
          <w:szCs w:val="24"/>
        </w:rPr>
      </w:pPr>
      <w:r>
        <w:rPr>
          <w:rFonts w:ascii="Palatino Linotype" w:hAnsi="Palatino Linotype"/>
          <w:szCs w:val="24"/>
        </w:rPr>
        <w:t>where EVI</w:t>
      </w:r>
      <w:r>
        <w:rPr>
          <w:rFonts w:ascii="Palatino Linotype" w:hAnsi="Palatino Linotype"/>
          <w:szCs w:val="24"/>
          <w:vertAlign w:val="subscript"/>
        </w:rPr>
        <w:t>min</w:t>
      </w:r>
      <w:r>
        <w:rPr>
          <w:rFonts w:ascii="Palatino Linotype" w:hAnsi="Palatino Linotype"/>
          <w:szCs w:val="24"/>
        </w:rPr>
        <w:t xml:space="preserve"> and EVI</w:t>
      </w:r>
      <w:r w:rsidRPr="00AA4AEA">
        <w:rPr>
          <w:rFonts w:ascii="Palatino Linotype" w:hAnsi="Palatino Linotype"/>
          <w:szCs w:val="24"/>
          <w:vertAlign w:val="subscript"/>
        </w:rPr>
        <w:t>max</w:t>
      </w:r>
      <w:r>
        <w:rPr>
          <w:rFonts w:ascii="Palatino Linotype" w:hAnsi="Palatino Linotype"/>
          <w:szCs w:val="24"/>
        </w:rPr>
        <w:t xml:space="preserve"> are the minimum EVI and maximum EVI observed for each pixel within the growing season, respectively. This formulation differs from </w:t>
      </w:r>
      <w:r w:rsidRPr="00FC58B4">
        <w:rPr>
          <w:rFonts w:ascii="Palatino Linotype" w:hAnsi="Palatino Linotype"/>
          <w:szCs w:val="24"/>
        </w:rPr>
        <w:t xml:space="preserve">the formulation proposed by </w:t>
      </w:r>
      <w:r w:rsidR="00FC58B4" w:rsidRPr="00FC58B4">
        <w:rPr>
          <w:rFonts w:ascii="Palatino Linotype" w:hAnsi="Palatino Linotype"/>
          <w:noProof/>
          <w:szCs w:val="24"/>
        </w:rPr>
        <w:t xml:space="preserve">Mahadevan et al. </w:t>
      </w:r>
      <w:r w:rsidR="00625E08">
        <w:rPr>
          <w:rFonts w:ascii="Palatino Linotype" w:hAnsi="Palatino Linotype"/>
          <w:szCs w:val="24"/>
        </w:rPr>
        <w:fldChar w:fldCharType="begin" w:fldLock="1"/>
      </w:r>
      <w:r w:rsidR="00625E08">
        <w:rPr>
          <w:rFonts w:ascii="Palatino Linotype" w:hAnsi="Palatino Linotype"/>
          <w:szCs w:val="24"/>
        </w:rPr>
        <w:instrText>ADDIN CSL_CITATION { "citationItems" : [ { "id" : "ITEM-1", "itemData" : { "DOI" : "10.1029/2006GB002735", "ISBN" : "0886-6236", "ISSN" : "08866236", "abstract" : "We present the Vegetation Photosynthesis and Respiration Model (VPRM), a satellite-based assimilation scheme that estimates hourly values of Net Ecosystem Exchange (NEE) of CO2 for 12 North American biomes using the Enhanced Vegetation Index (EVI) and Land Surface Water Index (LSWI), derived from reflectance data of the Moderate Resolution Imaging Spectroradiometer (MODIS), plus high-resolution data for sunlight and air temperature. The motivation is to provide reliable, fine-grained first-guess fields of surface CO2 fluxes for application in inverse models at continental and smaller scales. An extremely simple mathematical structure, with minimal numbers of parameters, facilitates optimization using in situ data, with finesse provided by maximal infusion of observed NEE and environmental data from networks of eddy covariance towers across North America (AmeriFlux and Fluxnet Canada). Cross validation showed that the VPRM has strong prediction ability for hourly to monthly timescales for sites with similar vegetation. The VPRM also provides consistent partitioning of NEE into Gross Ecosystem Exchange (GEE, the light-dependent part of NEE) and ecosystem respiration (R, the light-independent part), half-saturation irradiance of ecosystem photosynthesis, and annual sum of NEE at all eddy flux sites for which it is optimized. The capability to provide reliable patterns of surface flux for fine-scale inversions is presently limited by the number of vegetation classes for which NEE can be constrained by the current network of eddy flux sites and by the accuracy of MODIS data and data for sunlight.", "author" : [ { "dropping-particle" : "", "family" : "Mahadevan", "given" : "Pathmathevan", "non-dropping-particle" : "", "parse-names" : false, "suffix" : "" }, { "dropping-particle" : "", "family" : "Wofsy", "given" : "Steven C.", "non-dropping-particle" : "", "parse-names" : false, "suffix" : "" }, { "dropping-particle" : "", "family" : "Matross", "given" : "Daniel M.", "non-dropping-particle" : "", "parse-names" : false, "suffix" : "" }, { "dropping-particle" : "", "family" : "Xiao", "given" : "Xiangming", "non-dropping-particle" : "", "parse-names" : false, "suffix" : "" }, { "dropping-particle" : "", "family" : "Dunn", "given" : "Allison L.", "non-dropping-particle" : "", "parse-names" : false, "suffix" : "" }, { "dropping-particle" : "", "family" : "Lin", "given" : "John C.", "non-dropping-particle" : "", "parse-names" : false, "suffix" : "" }, { "dropping-particle" : "", "family" : "Gerbig", "given" : "Christoph", "non-dropping-particle" : "", "parse-names" : false, "suffix" : "" }, { "dropping-particle" : "", "family" : "Munger", "given" : "J. William", "non-dropping-particle" : "", "parse-names" : false, "suffix" : "" }, { "dropping-particle" : "", "family" : "Chow", "given" : "Victoria Y.", "non-dropping-particle" : "", "parse-names" : false, "suffix" : "" }, { "dropping-particle" : "", "family" : "Gottlieb", "given" : "Elaine W.", "non-dropping-particle" : "", "parse-names" : false, "suffix" : "" } ], "container-title" : "Global Biogeochemical Cycles", "id" : "ITEM-1", "issue" : "2", "issued" : { "date-parts" : [ [ "2008" ] ] }, "title" : "A satellite-based biosphere parameterization for net ecosystem CO2 exchange: Vegetation Photosynthesis and Respiration Model (VPRM)", "type" : "article-journal", "volume" : "22" }, "suppress-author" : 1, "uris" : [ "http://www.mendeley.com/documents/?uuid=0b5a7a4a-a72c-43d1-b19d-d4cbbc9b07f5" ] } ], "mendeley" : { "formattedCitation" : "(2008)", "plainTextFormattedCitation" : "(2008)", "previouslyFormattedCitation" : "(2008)" }, "properties" : { "noteIndex" : 0 }, "schema" : "https://github.com/citation-style-language/schema/raw/master/csl-citation.json" }</w:instrText>
      </w:r>
      <w:r w:rsidR="00625E08">
        <w:rPr>
          <w:rFonts w:ascii="Palatino Linotype" w:hAnsi="Palatino Linotype"/>
          <w:szCs w:val="24"/>
        </w:rPr>
        <w:fldChar w:fldCharType="separate"/>
      </w:r>
      <w:r w:rsidR="00625E08" w:rsidRPr="00625E08">
        <w:rPr>
          <w:rFonts w:ascii="Palatino Linotype" w:hAnsi="Palatino Linotype"/>
          <w:noProof/>
          <w:szCs w:val="24"/>
        </w:rPr>
        <w:t>(2008)</w:t>
      </w:r>
      <w:r w:rsidR="00625E08">
        <w:rPr>
          <w:rFonts w:ascii="Palatino Linotype" w:hAnsi="Palatino Linotype"/>
          <w:szCs w:val="24"/>
        </w:rPr>
        <w:fldChar w:fldCharType="end"/>
      </w:r>
      <w:r w:rsidR="00625E08">
        <w:rPr>
          <w:rFonts w:ascii="Palatino Linotype" w:hAnsi="Palatino Linotype"/>
          <w:szCs w:val="24"/>
        </w:rPr>
        <w:t xml:space="preserve"> </w:t>
      </w:r>
      <w:r>
        <w:rPr>
          <w:rFonts w:ascii="Palatino Linotype" w:hAnsi="Palatino Linotype"/>
          <w:szCs w:val="24"/>
        </w:rPr>
        <w:t>which utilizes a step-function of LSWI. We found this formulation of P</w:t>
      </w:r>
      <w:r w:rsidRPr="00AA4AEA">
        <w:rPr>
          <w:rFonts w:ascii="Palatino Linotype" w:hAnsi="Palatino Linotype"/>
          <w:szCs w:val="24"/>
          <w:vertAlign w:val="subscript"/>
        </w:rPr>
        <w:t>scale</w:t>
      </w:r>
      <w:r>
        <w:rPr>
          <w:rFonts w:ascii="Palatino Linotype" w:hAnsi="Palatino Linotype"/>
          <w:szCs w:val="24"/>
        </w:rPr>
        <w:t xml:space="preserve"> produced unrealistic seasonal behavior, and so opted for the simpler EVI formulation.</w:t>
      </w:r>
    </w:p>
    <w:p w14:paraId="2B11B1F7" w14:textId="77777777" w:rsidR="003A3C52" w:rsidRDefault="003A3C52" w:rsidP="00D66021">
      <w:pPr>
        <w:spacing w:line="360" w:lineRule="auto"/>
        <w:rPr>
          <w:rFonts w:ascii="Palatino Linotype" w:hAnsi="Palatino Linotype"/>
          <w:szCs w:val="24"/>
        </w:rPr>
      </w:pPr>
    </w:p>
    <w:p w14:paraId="60E5142A" w14:textId="7B809732" w:rsidR="003A3C52" w:rsidRDefault="003A3C52" w:rsidP="00D66021">
      <w:pPr>
        <w:spacing w:line="360" w:lineRule="auto"/>
        <w:rPr>
          <w:rFonts w:ascii="Palatino Linotype" w:hAnsi="Palatino Linotype"/>
          <w:szCs w:val="24"/>
        </w:rPr>
      </w:pPr>
      <w:r>
        <w:rPr>
          <w:rFonts w:ascii="Palatino Linotype" w:hAnsi="Palatino Linotype"/>
          <w:szCs w:val="24"/>
        </w:rPr>
        <w:t>T</w:t>
      </w:r>
      <w:r w:rsidRPr="00AA4AEA">
        <w:rPr>
          <w:rFonts w:ascii="Palatino Linotype" w:hAnsi="Palatino Linotype"/>
          <w:szCs w:val="24"/>
          <w:vertAlign w:val="subscript"/>
        </w:rPr>
        <w:t>scale</w:t>
      </w:r>
      <w:r>
        <w:rPr>
          <w:rFonts w:ascii="Palatino Linotype" w:hAnsi="Palatino Linotype"/>
          <w:szCs w:val="24"/>
        </w:rPr>
        <w:t xml:space="preserve"> is expressed as a modified version of the function of air temperature developed for the Terrestrial Ecosystem Model</w:t>
      </w:r>
      <w:r w:rsidR="009C7A7D">
        <w:rPr>
          <w:rFonts w:ascii="Palatino Linotype" w:hAnsi="Palatino Linotype"/>
          <w:szCs w:val="24"/>
        </w:rPr>
        <w:t xml:space="preserve"> </w:t>
      </w:r>
      <w:r w:rsidR="009C7A7D">
        <w:rPr>
          <w:rFonts w:ascii="Palatino Linotype" w:hAnsi="Palatino Linotype"/>
          <w:szCs w:val="24"/>
        </w:rPr>
        <w:fldChar w:fldCharType="begin" w:fldLock="1"/>
      </w:r>
      <w:r w:rsidR="000C0119">
        <w:rPr>
          <w:rFonts w:ascii="Palatino Linotype" w:hAnsi="Palatino Linotype"/>
          <w:szCs w:val="24"/>
        </w:rPr>
        <w:instrText>ADDIN CSL_CITATION { "citationItems" : [ { "id" : "ITEM-1", "itemData" : { "author" : [ { "dropping-particle" : "", "family" : "Raich", "given" : "J W", "non-dropping-particle" : "", "parse-names" : false, "suffix" : "" }, { "dropping-particle" : "", "family" : "Rastetter", "given" : "E B", "non-dropping-particle" : "", "parse-names" : false, "suffix" : "" }, { "dropping-particle" : "", "family" : "Melillo", "given" : "J M", "non-dropping-particle" : "", "parse-names" : false, "suffix" : "" }, { "dropping-particle" : "", "family" : "Kicklighter", "given" : "D W", "non-dropping-particle" : "", "parse-names" : false, "suffix" : "" }, { "dropping-particle" : "", "family" : "Steudler", "given" : "P A", "non-dropping-particle" : "", "parse-names" : false, "suffix" : "" }, { "dropping-particle" : "", "family" : "Peterson", "given" : "B. J.", "non-dropping-particle" : "", "parse-names" : false, "suffix" : "" }, { "dropping-particle" : "", "family" : "Grace", "given" : "A L", "non-dropping-particle" : "", "parse-names" : false, "suffix" : "" }, { "dropping-particle" : "", "family" : "Moore III", "given" : "B", "non-dropping-particle" : "", "parse-names" : false, "suffix" : "" }, { "dropping-particle" : "", "family" : "V\u00f6r\u00f6smarty", "given" : "C J", "non-dropping-particle" : "", "parse-names" : false, "suffix" : "" } ], "container-title" : "Ecol. Appl.", "id" : "ITEM-1", "issue" : "4", "issued" : { "date-parts" : [ [ "1991" ] ] }, "page" : "399-429", "title" : "Potential net primary productivity in South America: application of a global model", "type" : "article-journal", "volume" : "1" }, "uris" : [ "http://www.mendeley.com/documents/?uuid=9049aa0c-d20b-454a-aea2-95c6bf9fd95b" ] } ], "mendeley" : { "formattedCitation" : "(Raich et al., 1991)", "plainTextFormattedCitation" : "(Raich et al., 1991)", "previouslyFormattedCitation" : "(Raich et al., 1991)" }, "properties" : { "noteIndex" : 0 }, "schema" : "https://github.com/citation-style-language/schema/raw/master/csl-citation.json" }</w:instrText>
      </w:r>
      <w:r w:rsidR="009C7A7D">
        <w:rPr>
          <w:rFonts w:ascii="Palatino Linotype" w:hAnsi="Palatino Linotype"/>
          <w:szCs w:val="24"/>
        </w:rPr>
        <w:fldChar w:fldCharType="separate"/>
      </w:r>
      <w:r w:rsidR="00BF6C71" w:rsidRPr="00BF6C71">
        <w:rPr>
          <w:rFonts w:ascii="Palatino Linotype" w:hAnsi="Palatino Linotype"/>
          <w:noProof/>
          <w:szCs w:val="24"/>
        </w:rPr>
        <w:t>(Raich et al., 1991)</w:t>
      </w:r>
      <w:r w:rsidR="009C7A7D">
        <w:rPr>
          <w:rFonts w:ascii="Palatino Linotype" w:hAnsi="Palatino Linotype"/>
          <w:szCs w:val="24"/>
        </w:rPr>
        <w:fldChar w:fldCharType="end"/>
      </w:r>
      <w:r>
        <w:rPr>
          <w:rFonts w:ascii="Palatino Linotype" w:hAnsi="Palatino Linotype"/>
          <w:szCs w:val="24"/>
        </w:rPr>
        <w:t>:</w:t>
      </w:r>
    </w:p>
    <w:p w14:paraId="4F437B61" w14:textId="77777777" w:rsidR="003A3C52" w:rsidRDefault="003A3C52" w:rsidP="00B93317">
      <w:pPr>
        <w:spacing w:line="360" w:lineRule="auto"/>
        <w:rPr>
          <w:rFonts w:ascii="Palatino Linotype" w:hAnsi="Palatino Linotype"/>
          <w:szCs w:val="24"/>
        </w:rPr>
      </w:pPr>
    </w:p>
    <w:p w14:paraId="6AE11632" w14:textId="6174DF16" w:rsidR="003A3C52" w:rsidRPr="00035919" w:rsidRDefault="00D7627E" w:rsidP="00E0089D">
      <w:pPr>
        <w:spacing w:line="360" w:lineRule="auto"/>
        <w:jc w:val="right"/>
        <w:rPr>
          <w:rFonts w:ascii="Palatino Linotype" w:hAnsi="Palatino Linotype"/>
          <w:szCs w:val="24"/>
        </w:rPr>
      </w:p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scale</m:t>
            </m:r>
          </m:sub>
        </m:sSub>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UHI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min</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UHI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max</m:t>
                </m:r>
              </m:sub>
            </m:sSub>
            <m:r>
              <w:rPr>
                <w:rFonts w:ascii="Cambria Math" w:hAnsi="Cambria Math"/>
                <w:szCs w:val="24"/>
              </w:rPr>
              <m:t>)</m:t>
            </m:r>
          </m:num>
          <m:den>
            <m:d>
              <m:dPr>
                <m:begChr m:val="["/>
                <m:endChr m:val="]"/>
                <m:ctrlPr>
                  <w:rPr>
                    <w:rFonts w:ascii="Cambria Math" w:hAnsi="Cambria Math"/>
                    <w:i/>
                    <w:szCs w:val="24"/>
                  </w:rPr>
                </m:ctrlPr>
              </m:d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UHI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min</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UHI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max</m:t>
                        </m:r>
                      </m:sub>
                    </m:sSub>
                  </m:e>
                </m:d>
                <m:r>
                  <w:rPr>
                    <w:rFonts w:ascii="Cambria Math" w:hAnsi="Cambria Math"/>
                    <w:szCs w:val="24"/>
                  </w:rPr>
                  <m:t>-</m:t>
                </m:r>
                <m:sSup>
                  <m:sSupPr>
                    <m:ctrlPr>
                      <w:rPr>
                        <w:rFonts w:ascii="Cambria Math" w:hAnsi="Cambria Math"/>
                        <w:i/>
                        <w:szCs w:val="24"/>
                      </w:rPr>
                    </m:ctrlPr>
                  </m:sSupPr>
                  <m:e>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UHI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opt</m:t>
                        </m:r>
                      </m:sub>
                    </m:sSub>
                    <m:r>
                      <w:rPr>
                        <w:rFonts w:ascii="Cambria Math" w:hAnsi="Cambria Math"/>
                        <w:szCs w:val="24"/>
                      </w:rPr>
                      <m:t>)</m:t>
                    </m:r>
                  </m:e>
                  <m:sup>
                    <m:r>
                      <w:rPr>
                        <w:rFonts w:ascii="Cambria Math" w:hAnsi="Cambria Math"/>
                        <w:szCs w:val="24"/>
                      </w:rPr>
                      <m:t>2</m:t>
                    </m:r>
                  </m:sup>
                </m:sSup>
              </m:e>
            </m:d>
          </m:den>
        </m:f>
      </m:oMath>
      <w:r w:rsidR="008D7573">
        <w:rPr>
          <w:rFonts w:ascii="Palatino Linotype" w:hAnsi="Palatino Linotype"/>
        </w:rPr>
        <w:t xml:space="preserve">                     SI Eqn. 5</w:t>
      </w:r>
    </w:p>
    <w:p w14:paraId="581D73D3" w14:textId="77777777" w:rsidR="003A3C52" w:rsidRDefault="003A3C52" w:rsidP="00D66021">
      <w:pPr>
        <w:spacing w:line="360" w:lineRule="auto"/>
        <w:rPr>
          <w:rFonts w:ascii="Palatino Linotype" w:hAnsi="Palatino Linotype"/>
          <w:szCs w:val="24"/>
        </w:rPr>
      </w:pPr>
    </w:p>
    <w:p w14:paraId="7CF142A3" w14:textId="77777777" w:rsidR="003A3C52" w:rsidRPr="00397D79" w:rsidRDefault="003A3C52" w:rsidP="00D66021">
      <w:pPr>
        <w:spacing w:line="360" w:lineRule="auto"/>
        <w:rPr>
          <w:rFonts w:ascii="Palatino Linotype" w:hAnsi="Palatino Linotype"/>
          <w:szCs w:val="24"/>
        </w:rPr>
      </w:pPr>
      <w:r>
        <w:rPr>
          <w:rFonts w:ascii="Palatino Linotype" w:hAnsi="Palatino Linotype"/>
          <w:szCs w:val="24"/>
        </w:rPr>
        <w:t xml:space="preserve">where </w:t>
      </w:r>
      <w:r w:rsidRPr="00AA4AEA">
        <w:rPr>
          <w:rFonts w:ascii="Palatino Linotype" w:hAnsi="Palatino Linotype"/>
          <w:i/>
          <w:szCs w:val="24"/>
        </w:rPr>
        <w:t>T</w:t>
      </w:r>
      <w:r w:rsidRPr="00AA4AEA">
        <w:rPr>
          <w:rFonts w:ascii="Palatino Linotype" w:hAnsi="Palatino Linotype"/>
          <w:i/>
          <w:szCs w:val="24"/>
          <w:vertAlign w:val="subscript"/>
        </w:rPr>
        <w:t>min</w:t>
      </w:r>
      <w:r>
        <w:rPr>
          <w:rFonts w:ascii="Palatino Linotype" w:hAnsi="Palatino Linotype"/>
          <w:szCs w:val="24"/>
        </w:rPr>
        <w:t xml:space="preserve">, </w:t>
      </w:r>
      <w:r w:rsidRPr="00AA4AEA">
        <w:rPr>
          <w:rFonts w:ascii="Palatino Linotype" w:hAnsi="Palatino Linotype"/>
          <w:i/>
          <w:szCs w:val="24"/>
        </w:rPr>
        <w:t>T</w:t>
      </w:r>
      <w:r w:rsidRPr="00AA4AEA">
        <w:rPr>
          <w:rFonts w:ascii="Palatino Linotype" w:hAnsi="Palatino Linotype"/>
          <w:i/>
          <w:szCs w:val="24"/>
          <w:vertAlign w:val="subscript"/>
        </w:rPr>
        <w:t>max</w:t>
      </w:r>
      <w:r>
        <w:rPr>
          <w:rFonts w:ascii="Palatino Linotype" w:hAnsi="Palatino Linotype"/>
          <w:szCs w:val="24"/>
        </w:rPr>
        <w:t xml:space="preserve">, and </w:t>
      </w:r>
      <w:r w:rsidRPr="00AA4AEA">
        <w:rPr>
          <w:rFonts w:ascii="Palatino Linotype" w:hAnsi="Palatino Linotype"/>
          <w:i/>
          <w:szCs w:val="24"/>
        </w:rPr>
        <w:t>T</w:t>
      </w:r>
      <w:r w:rsidRPr="00AA4AEA">
        <w:rPr>
          <w:rFonts w:ascii="Palatino Linotype" w:hAnsi="Palatino Linotype"/>
          <w:i/>
          <w:szCs w:val="24"/>
          <w:vertAlign w:val="subscript"/>
        </w:rPr>
        <w:t>opt</w:t>
      </w:r>
      <w:r>
        <w:rPr>
          <w:rFonts w:ascii="Palatino Linotype" w:hAnsi="Palatino Linotype"/>
          <w:szCs w:val="24"/>
        </w:rPr>
        <w:t xml:space="preserve"> are model parameters representing minimum, maximum, and optimal temperatures for photosynthesis, respectively, and T</w:t>
      </w:r>
      <w:r w:rsidRPr="00AA4AEA">
        <w:rPr>
          <w:rFonts w:ascii="Palatino Linotype" w:hAnsi="Palatino Linotype"/>
          <w:szCs w:val="24"/>
          <w:vertAlign w:val="subscript"/>
        </w:rPr>
        <w:t>UHI</w:t>
      </w:r>
      <w:r>
        <w:rPr>
          <w:rFonts w:ascii="Palatino Linotype" w:hAnsi="Palatino Linotype"/>
          <w:szCs w:val="24"/>
        </w:rPr>
        <w:t xml:space="preserve"> represents the air temperature that has been modified by local urban land use and is experiencing a time-varying urban heat island adjustment (described above). </w:t>
      </w:r>
    </w:p>
    <w:p w14:paraId="01A7C126" w14:textId="77777777" w:rsidR="00CF37BD" w:rsidRPr="0086350F" w:rsidRDefault="00CF37BD" w:rsidP="00D66021">
      <w:pPr>
        <w:spacing w:line="360" w:lineRule="auto"/>
        <w:rPr>
          <w:rFonts w:ascii="Palatino Linotype" w:hAnsi="Palatino Linotype"/>
          <w:szCs w:val="24"/>
        </w:rPr>
      </w:pPr>
    </w:p>
    <w:p w14:paraId="1BA97A1E" w14:textId="7485881E" w:rsidR="00CF37BD" w:rsidRPr="0086350F" w:rsidRDefault="00307F30" w:rsidP="00D66021">
      <w:pPr>
        <w:spacing w:line="360" w:lineRule="auto"/>
        <w:rPr>
          <w:rFonts w:ascii="Palatino Linotype" w:hAnsi="Palatino Linotype"/>
          <w:szCs w:val="24"/>
        </w:rPr>
      </w:pPr>
      <w:r>
        <w:rPr>
          <w:rFonts w:ascii="Palatino Linotype" w:hAnsi="Palatino Linotype"/>
          <w:i/>
          <w:szCs w:val="24"/>
          <w:u w:val="single"/>
        </w:rPr>
        <w:t xml:space="preserve">S2.4 </w:t>
      </w:r>
      <w:r w:rsidR="00CF37BD" w:rsidRPr="0086350F">
        <w:rPr>
          <w:rFonts w:ascii="Palatino Linotype" w:hAnsi="Palatino Linotype"/>
          <w:i/>
          <w:szCs w:val="24"/>
          <w:u w:val="single"/>
        </w:rPr>
        <w:t>Respiration</w:t>
      </w:r>
    </w:p>
    <w:p w14:paraId="63ACE8C3" w14:textId="0B96527B" w:rsidR="003A3C52" w:rsidRDefault="00CF37BD" w:rsidP="00D66021">
      <w:pPr>
        <w:spacing w:line="360" w:lineRule="auto"/>
        <w:rPr>
          <w:rFonts w:ascii="Palatino Linotype" w:hAnsi="Palatino Linotype"/>
        </w:rPr>
      </w:pPr>
      <w:r w:rsidRPr="0086350F">
        <w:rPr>
          <w:rFonts w:ascii="Palatino Linotype" w:hAnsi="Palatino Linotype"/>
          <w:szCs w:val="24"/>
        </w:rPr>
        <w:lastRenderedPageBreak/>
        <w:t>VPRM estimates ecosystem respiration (R</w:t>
      </w:r>
      <w:r w:rsidRPr="0086350F">
        <w:rPr>
          <w:rFonts w:ascii="Palatino Linotype" w:hAnsi="Palatino Linotype"/>
          <w:szCs w:val="24"/>
          <w:vertAlign w:val="subscript"/>
        </w:rPr>
        <w:t>E</w:t>
      </w:r>
      <w:r w:rsidRPr="0086350F">
        <w:rPr>
          <w:rFonts w:ascii="Palatino Linotype" w:hAnsi="Palatino Linotype"/>
          <w:szCs w:val="24"/>
        </w:rPr>
        <w:t xml:space="preserve">) as a linear function with air temperature. </w:t>
      </w:r>
      <w:r w:rsidR="00D07751">
        <w:rPr>
          <w:rFonts w:ascii="Palatino Linotype" w:hAnsi="Palatino Linotype"/>
          <w:szCs w:val="24"/>
        </w:rPr>
        <w:t>UrbanVPRM</w:t>
      </w:r>
      <w:r w:rsidRPr="0086350F">
        <w:rPr>
          <w:rFonts w:ascii="Palatino Linotype" w:hAnsi="Palatino Linotype"/>
          <w:szCs w:val="24"/>
        </w:rPr>
        <w:t xml:space="preserve"> </w:t>
      </w:r>
      <w:r w:rsidR="00E92D4C" w:rsidRPr="0086350F">
        <w:rPr>
          <w:rFonts w:ascii="Palatino Linotype" w:hAnsi="Palatino Linotype"/>
          <w:szCs w:val="24"/>
        </w:rPr>
        <w:t xml:space="preserve">indirectly </w:t>
      </w:r>
      <w:r w:rsidR="00E92D4C">
        <w:rPr>
          <w:rFonts w:ascii="Palatino Linotype" w:hAnsi="Palatino Linotype"/>
          <w:szCs w:val="24"/>
        </w:rPr>
        <w:t>modifies</w:t>
      </w:r>
      <w:r w:rsidR="005C3669">
        <w:rPr>
          <w:rFonts w:ascii="Palatino Linotype" w:hAnsi="Palatino Linotype"/>
          <w:szCs w:val="24"/>
        </w:rPr>
        <w:t xml:space="preserve"> </w:t>
      </w:r>
      <w:r w:rsidRPr="0086350F">
        <w:rPr>
          <w:rFonts w:ascii="Palatino Linotype" w:hAnsi="Palatino Linotype"/>
          <w:szCs w:val="24"/>
        </w:rPr>
        <w:t>R</w:t>
      </w:r>
      <w:r w:rsidRPr="0086350F">
        <w:rPr>
          <w:rFonts w:ascii="Palatino Linotype" w:hAnsi="Palatino Linotype"/>
          <w:szCs w:val="24"/>
          <w:vertAlign w:val="subscript"/>
        </w:rPr>
        <w:t>E</w:t>
      </w:r>
      <w:r w:rsidRPr="0086350F">
        <w:rPr>
          <w:rFonts w:ascii="Palatino Linotype" w:hAnsi="Palatino Linotype"/>
          <w:szCs w:val="24"/>
        </w:rPr>
        <w:t xml:space="preserve"> via the increased air temperatures resulting from the urban heat island, raising respiration rates in cities. </w:t>
      </w:r>
      <w:r w:rsidR="00676D6B">
        <w:rPr>
          <w:rFonts w:ascii="Palatino Linotype" w:hAnsi="Palatino Linotype"/>
          <w:szCs w:val="24"/>
        </w:rPr>
        <w:t>W</w:t>
      </w:r>
      <w:r w:rsidR="00676D6B" w:rsidRPr="0086350F">
        <w:rPr>
          <w:rFonts w:ascii="Palatino Linotype" w:hAnsi="Palatino Linotype"/>
          <w:szCs w:val="24"/>
        </w:rPr>
        <w:t>e structured R</w:t>
      </w:r>
      <w:r w:rsidR="00676D6B" w:rsidRPr="0086350F">
        <w:rPr>
          <w:rFonts w:ascii="Palatino Linotype" w:hAnsi="Palatino Linotype"/>
          <w:szCs w:val="24"/>
          <w:vertAlign w:val="subscript"/>
        </w:rPr>
        <w:t>E</w:t>
      </w:r>
      <w:r w:rsidR="00676D6B" w:rsidRPr="0086350F">
        <w:rPr>
          <w:rFonts w:ascii="Palatino Linotype" w:hAnsi="Palatino Linotype"/>
          <w:szCs w:val="24"/>
        </w:rPr>
        <w:t xml:space="preserve"> as the sum of autotrophic (R</w:t>
      </w:r>
      <w:r w:rsidR="00676D6B" w:rsidRPr="0086350F">
        <w:rPr>
          <w:rFonts w:ascii="Palatino Linotype" w:hAnsi="Palatino Linotype"/>
          <w:szCs w:val="24"/>
          <w:vertAlign w:val="subscript"/>
        </w:rPr>
        <w:t>A</w:t>
      </w:r>
      <w:r w:rsidR="00676D6B" w:rsidRPr="0086350F">
        <w:rPr>
          <w:rFonts w:ascii="Palatino Linotype" w:hAnsi="Palatino Linotype"/>
          <w:szCs w:val="24"/>
        </w:rPr>
        <w:t>) and heterotrophic respiration (R</w:t>
      </w:r>
      <w:r w:rsidR="00676D6B" w:rsidRPr="0086350F">
        <w:rPr>
          <w:rFonts w:ascii="Palatino Linotype" w:hAnsi="Palatino Linotype"/>
          <w:szCs w:val="24"/>
          <w:vertAlign w:val="subscript"/>
        </w:rPr>
        <w:t>H</w:t>
      </w:r>
      <w:r w:rsidR="00676D6B" w:rsidRPr="0086350F">
        <w:rPr>
          <w:rFonts w:ascii="Palatino Linotype" w:hAnsi="Palatino Linotype"/>
          <w:szCs w:val="24"/>
        </w:rPr>
        <w:t>), which we took to contribute equally to R</w:t>
      </w:r>
      <w:r w:rsidR="00676D6B" w:rsidRPr="0086350F">
        <w:rPr>
          <w:rFonts w:ascii="Palatino Linotype" w:hAnsi="Palatino Linotype"/>
          <w:szCs w:val="24"/>
          <w:vertAlign w:val="subscript"/>
        </w:rPr>
        <w:t>E</w:t>
      </w:r>
      <w:r w:rsidR="00676D6B" w:rsidRPr="0086350F">
        <w:rPr>
          <w:rFonts w:ascii="Palatino Linotype" w:hAnsi="Palatino Linotype"/>
          <w:szCs w:val="24"/>
        </w:rPr>
        <w:t>, in order to more precisely estimate the effects of urbanization on respiration</w:t>
      </w:r>
      <w:r w:rsidR="00676D6B">
        <w:rPr>
          <w:rFonts w:ascii="Palatino Linotype" w:hAnsi="Palatino Linotype"/>
          <w:szCs w:val="24"/>
        </w:rPr>
        <w:t xml:space="preserve">. </w:t>
      </w:r>
      <w:r w:rsidR="00672B51">
        <w:rPr>
          <w:rFonts w:ascii="Palatino Linotype" w:hAnsi="Palatino Linotype"/>
          <w:szCs w:val="24"/>
        </w:rPr>
        <w:t>P</w:t>
      </w:r>
      <w:r w:rsidR="00676D6B">
        <w:rPr>
          <w:rFonts w:ascii="Palatino Linotype" w:hAnsi="Palatino Linotype"/>
          <w:szCs w:val="24"/>
        </w:rPr>
        <w:t>recise p</w:t>
      </w:r>
      <w:r w:rsidR="00672B51">
        <w:rPr>
          <w:rFonts w:ascii="Palatino Linotype" w:hAnsi="Palatino Linotype"/>
          <w:szCs w:val="24"/>
        </w:rPr>
        <w:t>artitioning of R</w:t>
      </w:r>
      <w:r w:rsidR="00672B51" w:rsidRPr="00705CC2">
        <w:rPr>
          <w:rFonts w:ascii="Palatino Linotype" w:hAnsi="Palatino Linotype"/>
          <w:szCs w:val="24"/>
          <w:vertAlign w:val="subscript"/>
        </w:rPr>
        <w:t>A</w:t>
      </w:r>
      <w:r w:rsidR="00672B51">
        <w:rPr>
          <w:rFonts w:ascii="Palatino Linotype" w:hAnsi="Palatino Linotype"/>
          <w:szCs w:val="24"/>
        </w:rPr>
        <w:t xml:space="preserve"> and R</w:t>
      </w:r>
      <w:r w:rsidR="00672B51" w:rsidRPr="00705CC2">
        <w:rPr>
          <w:rFonts w:ascii="Palatino Linotype" w:hAnsi="Palatino Linotype"/>
          <w:szCs w:val="24"/>
          <w:vertAlign w:val="subscript"/>
        </w:rPr>
        <w:t>H</w:t>
      </w:r>
      <w:r w:rsidR="00672B51">
        <w:rPr>
          <w:rFonts w:ascii="Palatino Linotype" w:hAnsi="Palatino Linotype"/>
          <w:szCs w:val="24"/>
        </w:rPr>
        <w:t xml:space="preserve"> </w:t>
      </w:r>
      <w:r w:rsidR="00705CC2">
        <w:rPr>
          <w:rFonts w:ascii="Palatino Linotype" w:hAnsi="Palatino Linotype"/>
          <w:szCs w:val="24"/>
        </w:rPr>
        <w:t xml:space="preserve">is difficult and </w:t>
      </w:r>
      <w:r w:rsidR="00672B51">
        <w:rPr>
          <w:rFonts w:ascii="Palatino Linotype" w:hAnsi="Palatino Linotype"/>
          <w:szCs w:val="24"/>
        </w:rPr>
        <w:t>varies between sites but</w:t>
      </w:r>
      <w:r w:rsidR="00705CC2">
        <w:rPr>
          <w:rFonts w:ascii="Palatino Linotype" w:hAnsi="Palatino Linotype"/>
          <w:szCs w:val="24"/>
        </w:rPr>
        <w:t xml:space="preserve"> </w:t>
      </w:r>
      <w:r w:rsidR="00705CC2" w:rsidRPr="00625E08">
        <w:rPr>
          <w:rFonts w:ascii="Palatino Linotype" w:hAnsi="Palatino Linotype"/>
          <w:noProof/>
          <w:szCs w:val="24"/>
        </w:rPr>
        <w:t>Gaudinski</w:t>
      </w:r>
      <w:r w:rsidR="00705CC2" w:rsidRPr="00705CC2">
        <w:rPr>
          <w:rFonts w:ascii="Palatino Linotype" w:hAnsi="Palatino Linotype"/>
          <w:noProof/>
          <w:szCs w:val="24"/>
        </w:rPr>
        <w:t xml:space="preserve"> </w:t>
      </w:r>
      <w:r w:rsidR="00625E08">
        <w:rPr>
          <w:rFonts w:ascii="Palatino Linotype" w:hAnsi="Palatino Linotype"/>
          <w:noProof/>
          <w:szCs w:val="24"/>
        </w:rPr>
        <w:fldChar w:fldCharType="begin" w:fldLock="1"/>
      </w:r>
      <w:r w:rsidR="00625E08">
        <w:rPr>
          <w:rFonts w:ascii="Palatino Linotype" w:hAnsi="Palatino Linotype"/>
          <w:noProof/>
          <w:szCs w:val="24"/>
        </w:rPr>
        <w:instrText>ADDIN CSL_CITATION { "citationItems" : [ { "id" : "ITEM-1", "itemData" : { "DOI" : "10.1023/A:1006301010014", "ISSN" : "1573-515X", "author" : [ { "dropping-particle" : "", "family" : "Gaudinski", "given" : "Jb", "non-dropping-particle" : "", "parse-names" : false, "suffix" : "" }, { "dropping-particle" : "", "family" : "Trumbore", "given" : "Se", "non-dropping-particle" : "", "parse-names" : false, "suffix" : "" }, { "dropping-particle" : "", "family" : "Davidson", "given" : "Ea", "non-dropping-particle" : "", "parse-names" : false, "suffix" : "" } ], "container-title" : "Biogeochemistry", "id" : "ITEM-1", "issued" : { "date-parts" : [ [ "2000" ] ] }, "page" : "33-69", "title" : "Soil carbon cycling in a temperate forest: radiocarbon-based estimates of residence times,  \u2026", "type" : "article-journal" }, "suppress-author" : 1, "uris" : [ "http://www.mendeley.com/documents/?uuid=ec6a1b63-9a7a-4508-8207-516c99783849" ] } ], "mendeley" : { "formattedCitation" : "(2000)", "plainTextFormattedCitation" : "(2000)", "previouslyFormattedCitation" : "(2000)" }, "properties" : { "noteIndex" : 0 }, "schema" : "https://github.com/citation-style-language/schema/raw/master/csl-citation.json" }</w:instrText>
      </w:r>
      <w:r w:rsidR="00625E08">
        <w:rPr>
          <w:rFonts w:ascii="Palatino Linotype" w:hAnsi="Palatino Linotype"/>
          <w:noProof/>
          <w:szCs w:val="24"/>
        </w:rPr>
        <w:fldChar w:fldCharType="separate"/>
      </w:r>
      <w:r w:rsidR="00625E08" w:rsidRPr="00625E08">
        <w:rPr>
          <w:rFonts w:ascii="Palatino Linotype" w:hAnsi="Palatino Linotype"/>
          <w:noProof/>
          <w:szCs w:val="24"/>
        </w:rPr>
        <w:t>(2000)</w:t>
      </w:r>
      <w:r w:rsidR="00625E08">
        <w:rPr>
          <w:rFonts w:ascii="Palatino Linotype" w:hAnsi="Palatino Linotype"/>
          <w:noProof/>
          <w:szCs w:val="24"/>
        </w:rPr>
        <w:fldChar w:fldCharType="end"/>
      </w:r>
      <w:r w:rsidR="00705CC2" w:rsidRPr="00705CC2">
        <w:rPr>
          <w:rFonts w:ascii="Palatino Linotype" w:hAnsi="Palatino Linotype"/>
          <w:noProof/>
          <w:szCs w:val="24"/>
        </w:rPr>
        <w:t>et al.</w:t>
      </w:r>
      <w:r w:rsidR="00672B51">
        <w:rPr>
          <w:rFonts w:ascii="Palatino Linotype" w:hAnsi="Palatino Linotype"/>
          <w:szCs w:val="24"/>
        </w:rPr>
        <w:t xml:space="preserve"> </w:t>
      </w:r>
      <w:r w:rsidR="00705CC2">
        <w:rPr>
          <w:rFonts w:ascii="Palatino Linotype" w:hAnsi="Palatino Linotype"/>
          <w:szCs w:val="24"/>
        </w:rPr>
        <w:t>observed at Harvard Forest in Petersham, MA that R</w:t>
      </w:r>
      <w:r w:rsidR="00705CC2" w:rsidRPr="00705CC2">
        <w:rPr>
          <w:rFonts w:ascii="Palatino Linotype" w:hAnsi="Palatino Linotype"/>
          <w:szCs w:val="24"/>
          <w:vertAlign w:val="subscript"/>
        </w:rPr>
        <w:t>H</w:t>
      </w:r>
      <w:r w:rsidR="00705CC2">
        <w:rPr>
          <w:rFonts w:ascii="Palatino Linotype" w:hAnsi="Palatino Linotype"/>
          <w:szCs w:val="24"/>
        </w:rPr>
        <w:t xml:space="preserve"> accounted for </w:t>
      </w:r>
      <w:r w:rsidR="00705CC2" w:rsidRPr="00705CC2">
        <w:rPr>
          <w:rFonts w:ascii="Palatino Linotype" w:hAnsi="Palatino Linotype"/>
          <w:szCs w:val="24"/>
        </w:rPr>
        <w:t>34%–51%</w:t>
      </w:r>
      <w:r w:rsidR="00705CC2">
        <w:rPr>
          <w:rFonts w:ascii="Palatino Linotype" w:hAnsi="Palatino Linotype"/>
          <w:szCs w:val="24"/>
        </w:rPr>
        <w:t xml:space="preserve"> of R</w:t>
      </w:r>
      <w:r w:rsidR="00705CC2" w:rsidRPr="00705CC2">
        <w:rPr>
          <w:rFonts w:ascii="Palatino Linotype" w:hAnsi="Palatino Linotype"/>
          <w:szCs w:val="24"/>
          <w:vertAlign w:val="subscript"/>
        </w:rPr>
        <w:t>E</w:t>
      </w:r>
      <w:r w:rsidR="00705CC2">
        <w:rPr>
          <w:rFonts w:ascii="Palatino Linotype" w:hAnsi="Palatino Linotype"/>
          <w:szCs w:val="24"/>
        </w:rPr>
        <w:t xml:space="preserve">. </w:t>
      </w:r>
      <w:r w:rsidR="00676D6B">
        <w:rPr>
          <w:rFonts w:ascii="Palatino Linotype" w:hAnsi="Palatino Linotype"/>
          <w:szCs w:val="24"/>
        </w:rPr>
        <w:t xml:space="preserve">Whether this pattern is similar in urban ecosystems, with large areas of lawn but little aboveground biomass, is unknown. </w:t>
      </w:r>
      <w:r w:rsidR="00307F30">
        <w:rPr>
          <w:rFonts w:ascii="Palatino Linotype" w:hAnsi="Palatino Linotype"/>
        </w:rPr>
        <w:t>Importantly, separating R</w:t>
      </w:r>
      <w:r w:rsidR="00307F30" w:rsidRPr="00E06525">
        <w:rPr>
          <w:rFonts w:ascii="Palatino Linotype" w:hAnsi="Palatino Linotype"/>
          <w:vertAlign w:val="subscript"/>
        </w:rPr>
        <w:t>H</w:t>
      </w:r>
      <w:r w:rsidR="00307F30">
        <w:rPr>
          <w:rFonts w:ascii="Palatino Linotype" w:hAnsi="Palatino Linotype"/>
        </w:rPr>
        <w:t xml:space="preserve"> and R</w:t>
      </w:r>
      <w:r w:rsidR="00307F30" w:rsidRPr="00E06525">
        <w:rPr>
          <w:rFonts w:ascii="Palatino Linotype" w:hAnsi="Palatino Linotype"/>
          <w:vertAlign w:val="subscript"/>
        </w:rPr>
        <w:t>A</w:t>
      </w:r>
      <w:r w:rsidR="00307F30">
        <w:rPr>
          <w:rFonts w:ascii="Palatino Linotype" w:hAnsi="Palatino Linotype"/>
        </w:rPr>
        <w:t xml:space="preserve"> allows UrbanVPRM to </w:t>
      </w:r>
      <w:r w:rsidR="005C3669">
        <w:rPr>
          <w:rFonts w:ascii="Palatino Linotype" w:hAnsi="Palatino Linotype"/>
        </w:rPr>
        <w:t xml:space="preserve">more explicitly characterize </w:t>
      </w:r>
      <w:r w:rsidR="00307F30">
        <w:rPr>
          <w:rFonts w:ascii="Palatino Linotype" w:hAnsi="Palatino Linotype"/>
        </w:rPr>
        <w:t>respiration from AGB that overhangs paved areas</w:t>
      </w:r>
      <w:r w:rsidR="005C3669">
        <w:rPr>
          <w:rFonts w:ascii="Palatino Linotype" w:hAnsi="Palatino Linotype"/>
        </w:rPr>
        <w:t xml:space="preserve"> (e.g. large street trees)</w:t>
      </w:r>
      <w:r w:rsidR="00307F30">
        <w:rPr>
          <w:rFonts w:ascii="Palatino Linotype" w:hAnsi="Palatino Linotype"/>
        </w:rPr>
        <w:t xml:space="preserve">. </w:t>
      </w:r>
      <w:r w:rsidR="0024106E">
        <w:rPr>
          <w:rFonts w:ascii="Palatino Linotype" w:hAnsi="Palatino Linotype"/>
        </w:rPr>
        <w:t>We used the original VPRM formulation to calculate R</w:t>
      </w:r>
      <w:r w:rsidR="0024106E" w:rsidRPr="00705CC2">
        <w:rPr>
          <w:rFonts w:ascii="Palatino Linotype" w:hAnsi="Palatino Linotype"/>
          <w:vertAlign w:val="subscript"/>
        </w:rPr>
        <w:t>E_init</w:t>
      </w:r>
      <w:r w:rsidR="0024106E">
        <w:rPr>
          <w:rFonts w:ascii="Palatino Linotype" w:hAnsi="Palatino Linotype"/>
        </w:rPr>
        <w:t>, or the initial ecosystem respiration, from which we determined R</w:t>
      </w:r>
      <w:r w:rsidR="0024106E" w:rsidRPr="00705CC2">
        <w:rPr>
          <w:rFonts w:ascii="Palatino Linotype" w:hAnsi="Palatino Linotype"/>
          <w:vertAlign w:val="subscript"/>
        </w:rPr>
        <w:t>A</w:t>
      </w:r>
      <w:r w:rsidR="0024106E">
        <w:rPr>
          <w:rFonts w:ascii="Palatino Linotype" w:hAnsi="Palatino Linotype"/>
        </w:rPr>
        <w:t xml:space="preserve"> and R</w:t>
      </w:r>
      <w:r w:rsidR="0024106E" w:rsidRPr="00705CC2">
        <w:rPr>
          <w:rFonts w:ascii="Palatino Linotype" w:hAnsi="Palatino Linotype"/>
          <w:vertAlign w:val="subscript"/>
        </w:rPr>
        <w:t>H</w:t>
      </w:r>
      <w:r w:rsidR="0024106E">
        <w:rPr>
          <w:rFonts w:ascii="Palatino Linotype" w:hAnsi="Palatino Linotype"/>
        </w:rPr>
        <w:t>. After applying UrbanVPRM modifications to R</w:t>
      </w:r>
      <w:r w:rsidR="0024106E" w:rsidRPr="00705CC2">
        <w:rPr>
          <w:rFonts w:ascii="Palatino Linotype" w:hAnsi="Palatino Linotype"/>
          <w:vertAlign w:val="subscript"/>
        </w:rPr>
        <w:t>A</w:t>
      </w:r>
      <w:r w:rsidR="0024106E">
        <w:rPr>
          <w:rFonts w:ascii="Palatino Linotype" w:hAnsi="Palatino Linotype"/>
        </w:rPr>
        <w:t xml:space="preserve"> and R</w:t>
      </w:r>
      <w:r w:rsidR="0024106E" w:rsidRPr="00705CC2">
        <w:rPr>
          <w:rFonts w:ascii="Palatino Linotype" w:hAnsi="Palatino Linotype"/>
          <w:vertAlign w:val="subscript"/>
        </w:rPr>
        <w:t>H</w:t>
      </w:r>
      <w:r w:rsidR="0024106E">
        <w:rPr>
          <w:rFonts w:ascii="Palatino Linotype" w:hAnsi="Palatino Linotype"/>
        </w:rPr>
        <w:t>, we summed them to produce a final value for R</w:t>
      </w:r>
      <w:r w:rsidR="0024106E" w:rsidRPr="00705CC2">
        <w:rPr>
          <w:rFonts w:ascii="Palatino Linotype" w:hAnsi="Palatino Linotype"/>
          <w:vertAlign w:val="subscript"/>
        </w:rPr>
        <w:t>E</w:t>
      </w:r>
      <w:r w:rsidR="0024106E">
        <w:rPr>
          <w:rFonts w:ascii="Palatino Linotype" w:hAnsi="Palatino Linotype"/>
        </w:rPr>
        <w:t xml:space="preserve">. </w:t>
      </w:r>
      <w:r w:rsidR="00160E05">
        <w:rPr>
          <w:rFonts w:ascii="Palatino Linotype" w:hAnsi="Palatino Linotype"/>
        </w:rPr>
        <w:t>R</w:t>
      </w:r>
      <w:r w:rsidR="00160E05" w:rsidRPr="00160E05">
        <w:rPr>
          <w:rFonts w:ascii="Palatino Linotype" w:hAnsi="Palatino Linotype"/>
          <w:vertAlign w:val="subscript"/>
        </w:rPr>
        <w:t>E</w:t>
      </w:r>
      <w:r w:rsidR="00AC2974" w:rsidRPr="00AC2974">
        <w:rPr>
          <w:rFonts w:ascii="Palatino Linotype" w:hAnsi="Palatino Linotype"/>
          <w:vertAlign w:val="subscript"/>
        </w:rPr>
        <w:t>_init</w:t>
      </w:r>
      <w:r w:rsidR="003A3C52">
        <w:rPr>
          <w:rFonts w:ascii="Palatino Linotype" w:hAnsi="Palatino Linotype"/>
        </w:rPr>
        <w:t xml:space="preserve"> follows the same form described by Mahadevan et al. (2008):</w:t>
      </w:r>
    </w:p>
    <w:p w14:paraId="7B6A6ED5" w14:textId="3294B5E0" w:rsidR="003A3C52" w:rsidRPr="008D7573" w:rsidRDefault="00D7627E" w:rsidP="00E0089D">
      <w:pPr>
        <w:spacing w:line="360" w:lineRule="auto"/>
        <w:jc w:val="right"/>
        <w:rPr>
          <w:rFonts w:ascii="Palatino Linotype" w:hAnsi="Palatino Linotype"/>
          <w:szCs w:val="24"/>
        </w:rPr>
      </w:pPr>
      <m:oMath>
        <m:sSub>
          <m:sSubPr>
            <m:ctrlPr>
              <w:rPr>
                <w:rFonts w:ascii="Cambria Math" w:hAnsi="Cambria Math"/>
                <w:i/>
              </w:rPr>
            </m:ctrlPr>
          </m:sSubPr>
          <m:e>
            <m:r>
              <w:rPr>
                <w:rFonts w:ascii="Cambria Math" w:hAnsi="Cambria Math"/>
              </w:rPr>
              <m:t>R</m:t>
            </m:r>
          </m:e>
          <m:sub>
            <m:r>
              <w:rPr>
                <w:rFonts w:ascii="Cambria Math" w:hAnsi="Cambria Math"/>
              </w:rPr>
              <m:t>E_init</m:t>
            </m:r>
          </m:sub>
        </m:sSub>
        <m:r>
          <w:rPr>
            <w:rFonts w:ascii="Cambria Math" w:hAnsi="Cambria Math"/>
          </w:rPr>
          <m:t>= α*</m:t>
        </m:r>
        <m:sSub>
          <m:sSubPr>
            <m:ctrlPr>
              <w:rPr>
                <w:rFonts w:ascii="Cambria Math" w:hAnsi="Cambria Math"/>
                <w:i/>
              </w:rPr>
            </m:ctrlPr>
          </m:sSubPr>
          <m:e>
            <m:r>
              <w:rPr>
                <w:rFonts w:ascii="Cambria Math" w:hAnsi="Cambria Math"/>
              </w:rPr>
              <m:t>T</m:t>
            </m:r>
          </m:e>
          <m:sub>
            <m:r>
              <w:rPr>
                <w:rFonts w:ascii="Cambria Math" w:hAnsi="Cambria Math"/>
              </w:rPr>
              <m:t>UHI</m:t>
            </m:r>
          </m:sub>
        </m:sSub>
        <m:r>
          <w:rPr>
            <w:rFonts w:ascii="Cambria Math" w:hAnsi="Cambria Math"/>
          </w:rPr>
          <m:t>+ β</m:t>
        </m:r>
      </m:oMath>
      <w:r w:rsidR="008D7573">
        <w:rPr>
          <w:rFonts w:ascii="Palatino Linotype" w:hAnsi="Palatino Linotype"/>
        </w:rPr>
        <w:t xml:space="preserve">                                     SI Eqn. 6</w:t>
      </w:r>
    </w:p>
    <w:p w14:paraId="6071B6F7" w14:textId="77777777" w:rsidR="003A3C52" w:rsidRDefault="003A3C52" w:rsidP="00D66021">
      <w:pPr>
        <w:spacing w:line="360" w:lineRule="auto"/>
        <w:rPr>
          <w:rFonts w:ascii="Palatino Linotype" w:hAnsi="Palatino Linotype"/>
        </w:rPr>
      </w:pPr>
    </w:p>
    <w:p w14:paraId="46644064" w14:textId="44FDE7AB" w:rsidR="003A3C52" w:rsidRDefault="003A3C52" w:rsidP="00D66021">
      <w:pPr>
        <w:spacing w:line="360" w:lineRule="auto"/>
        <w:rPr>
          <w:rFonts w:ascii="Palatino Linotype" w:hAnsi="Palatino Linotype"/>
        </w:rPr>
      </w:pPr>
      <w:r>
        <w:rPr>
          <w:rFonts w:ascii="Palatino Linotype" w:hAnsi="Palatino Linotype"/>
        </w:rPr>
        <w:t>where α and β are model parameters and T</w:t>
      </w:r>
      <w:r w:rsidRPr="003A3C52">
        <w:rPr>
          <w:rFonts w:ascii="Palatino Linotype" w:hAnsi="Palatino Linotype"/>
          <w:vertAlign w:val="subscript"/>
        </w:rPr>
        <w:t>UHI</w:t>
      </w:r>
      <w:r>
        <w:rPr>
          <w:rFonts w:ascii="Palatino Linotype" w:hAnsi="Palatino Linotype"/>
        </w:rPr>
        <w:t xml:space="preserve"> is the urban heat island-modified air temperature.</w:t>
      </w:r>
    </w:p>
    <w:p w14:paraId="0C5E9A43" w14:textId="77777777" w:rsidR="003A3C52" w:rsidRDefault="003A3C52" w:rsidP="00D66021">
      <w:pPr>
        <w:spacing w:line="360" w:lineRule="auto"/>
        <w:rPr>
          <w:rFonts w:ascii="Palatino Linotype" w:hAnsi="Palatino Linotype"/>
        </w:rPr>
      </w:pPr>
    </w:p>
    <w:p w14:paraId="4FBE8F6C" w14:textId="46FB93B2" w:rsidR="0072579F" w:rsidRDefault="00AC2974" w:rsidP="00D66021">
      <w:pPr>
        <w:spacing w:line="360" w:lineRule="auto"/>
        <w:rPr>
          <w:rFonts w:ascii="Palatino Linotype" w:hAnsi="Palatino Linotype"/>
          <w:szCs w:val="24"/>
        </w:rPr>
      </w:pPr>
      <w:r>
        <w:rPr>
          <w:rFonts w:ascii="Palatino Linotype" w:hAnsi="Palatino Linotype"/>
          <w:szCs w:val="24"/>
        </w:rPr>
        <w:t>H</w:t>
      </w:r>
      <w:r w:rsidR="00CF37BD" w:rsidRPr="0086350F">
        <w:rPr>
          <w:rFonts w:ascii="Palatino Linotype" w:hAnsi="Palatino Linotype"/>
          <w:szCs w:val="24"/>
        </w:rPr>
        <w:t xml:space="preserve">eterotrophic respiration </w:t>
      </w:r>
      <w:r w:rsidR="00705CC2">
        <w:rPr>
          <w:rFonts w:ascii="Palatino Linotype" w:hAnsi="Palatino Linotype"/>
          <w:szCs w:val="24"/>
        </w:rPr>
        <w:t>depends on</w:t>
      </w:r>
      <w:r w:rsidR="00CF37BD" w:rsidRPr="0086350F">
        <w:rPr>
          <w:rFonts w:ascii="Palatino Linotype" w:hAnsi="Palatino Linotype"/>
          <w:szCs w:val="24"/>
        </w:rPr>
        <w:t xml:space="preserve"> </w:t>
      </w:r>
      <w:r w:rsidR="00705CC2">
        <w:rPr>
          <w:rFonts w:ascii="Palatino Linotype" w:hAnsi="Palatino Linotype"/>
          <w:szCs w:val="24"/>
        </w:rPr>
        <w:t>mineralization of organic matter by soil microbial communities</w:t>
      </w:r>
      <w:r>
        <w:rPr>
          <w:rFonts w:ascii="Palatino Linotype" w:hAnsi="Palatino Linotype"/>
          <w:szCs w:val="24"/>
        </w:rPr>
        <w:t xml:space="preserve"> and </w:t>
      </w:r>
      <w:r>
        <w:rPr>
          <w:rFonts w:ascii="Palatino Linotype" w:hAnsi="Palatino Linotype"/>
        </w:rPr>
        <w:t>emission of CO</w:t>
      </w:r>
      <w:r w:rsidRPr="00E06525">
        <w:rPr>
          <w:rFonts w:ascii="Palatino Linotype" w:hAnsi="Palatino Linotype"/>
          <w:vertAlign w:val="subscript"/>
        </w:rPr>
        <w:t>2</w:t>
      </w:r>
      <w:r>
        <w:rPr>
          <w:rFonts w:ascii="Palatino Linotype" w:hAnsi="Palatino Linotype"/>
        </w:rPr>
        <w:t xml:space="preserve"> associated with respiration from paved soils is restricted to lateral</w:t>
      </w:r>
      <w:r w:rsidRPr="00D50B75">
        <w:rPr>
          <w:rFonts w:ascii="Palatino Linotype" w:hAnsi="Palatino Linotype"/>
        </w:rPr>
        <w:t xml:space="preserve"> diffusion through adjacent unpaved areas or cracks in pavement </w:t>
      </w:r>
      <w:r>
        <w:rPr>
          <w:rFonts w:ascii="Palatino Linotype" w:hAnsi="Palatino Linotype"/>
        </w:rPr>
        <w:fldChar w:fldCharType="begin" w:fldLock="1"/>
      </w:r>
      <w:r w:rsidR="000C0119">
        <w:rPr>
          <w:rFonts w:ascii="Palatino Linotype" w:hAnsi="Palatino Linotype"/>
        </w:rPr>
        <w:instrText>ADDIN CSL_CITATION { "citationItems" : [ { "id" : "ITEM-1", "itemData" : { "DOI" : "10.1016/j.envint.2008.05.006", "ISSN" : "0160-4120", "author" : [ { "dropping-particle" : "", "family" : "Lorenz", "given" : "Klaus", "non-dropping-particle" : "", "parse-names" : false, "suffix" : "" }, { "dropping-particle" : "", "family" : "Lal", "given" : "Rattan", "non-dropping-particle" : "", "parse-names" : false, "suffix" : "" } ], "container-title" : "Environment International", "id" : "ITEM-1", "issue" : "1", "issued" : { "date-parts" : [ [ "2009" ] ] }, "page" : "1-8", "publisher" : "Elsevier Ltd", "title" : "Biogeochemical C and N cycles in urban soils", "type" : "article-journal", "volume" : "35" }, "uris" : [ "http://www.mendeley.com/documents/?uuid=e2606d94-7588-4233-a474-999f8c951a86" ] }, { "id" : "ITEM-2", "itemData" : { "DOI" : "10.1002/jpln.200521724", "ISBN" : "1436-8730", "ISSN" : "1436-8730", "abstract" : "The original light-brown sandy seam filling of pavements in urban areas turns dark and changes its properties by the time due to various inputs of urban dust. Deposited C-org inputs do mostly not have natural characteristics but are man-made, e.g., diesel dust. Thus, properties of the seam material are not predictable from experiences with forest or agricultural soils. Semiperviously sealed urban areas are sites of contaminant deposition as well as groundwater recharge. For an assessment of the resulting groundwater-contamination risk in these areas, the properties of the seam material, which influences transport processes, must be known. The aim of this study was to investigate the pore-system build-up, which includes size distribution and fractal character in the seam material of urban sites. The investigated samples were taken from pavements adjacent to roads in Berlin and Warsaw. The micropore parameters (nanometer range) were characterized using water-vapor desorption isotherms, mesopore parameters (micrometer range) were estimated from mercury-intrusion porosimetry and macropore parameters (millimeter range) from water-retention curves. Particle density, dry bulk density, and particle-size distribution were measured using standard methods. Volumes of micro- and mesopores as well as particle densities and dry bulk densities correlated with C-tot contents. However, no such relation was found for macropore volumes. Compared to the original sandy seam filling, the altered seam material shows significantly higher C-org contents and higher amounts of micro- and mesopores. Therefore, the available water capacity increases by 0.05-0.11 m(3) m(-3), as compared to the original sandy seam filling. Compared to natural sandy soils having similar C-org contents, the seam material shows similar macropore volumes, but the volume of mesopores and micropores is a few times smaller. That is mainly because of the particulate character of the organic matter.", "author" : [ { "dropping-particle" : "", "family" : "Nehls", "given" : "Thomas", "non-dropping-particle" : "", "parse-names" : false, "suffix" : "" }, { "dropping-particle" : "", "family" : "Jozefaciuk", "given" : "Grzegorz", "non-dropping-particle" : "", "parse-names" : false, "suffix" : "" }, { "dropping-particle" : "", "family" : "Soko\u0142owska", "given" : "Zofia", "non-dropping-particle" : "", "parse-names" : false, "suffix" : "" }, { "dropping-particle" : "", "family" : "Hajnos", "given" : "Mieczyslaw", "non-dropping-particle" : "", "parse-names" : false, "suffix" : "" }, { "dropping-particle" : "", "family" : "Wessolek", "given" : "Gerd", "non-dropping-particle" : "", "parse-names" : false, "suffix" : "" } ], "container-title" : "Journal of Plant Nutrition and Soil Science", "id" : "ITEM-2", "issue" : "1", "issued" : { "date-parts" : [ [ "2006" ] ] }, "page" : "16-24", "title" : "Pore-system characteristics of pavement seam materials of urban sites", "type" : "article-journal", "volume" : "169" }, "uris" : [ "http://www.mendeley.com/documents/?uuid=323ad608-0133-48e8-bc7e-7a8b95ac2f40", "http://www.mendeley.com/documents/?uuid=9c700a84-986d-4e55-bdbf-99f90c639068" ] }, { "id" : "ITEM-3", "itemData" : { "DOI" : "10.1016/j.landurbplan.2008.10.011", "ISBN" : "0169-2046", "ISSN" : "01692046", "abstract" : "The sealing of soils by impervious materials is, normally, detrimental to its ecological functions. Exchanges of energy, water and gases are restricted or hampered and an increasing pressure is being exerted on adjacent, non-sealed areas. The negative effects span from loss of plant production and natural habitats to increased floods, pollution, and health risks and consequently higher social costs. Environmental Agencies produce periodical reports where the phenomenon of soil consumption by urban infrastructures is monitored with extremely sophisticated geographical tools but little specific research is available that describes the effects of soil sealing. This paper reviews some recent contributions in terms of definition, phenomenology, and conceptual and empirical modeling approaches to artificial soil sealing with a special focus to urban areas of Europe. The works about the effects of soil sealing on soil functions are then considered, in particular those that affect the energy transfer, water and gas movements and the biota. Soil sealing is also examined as a tool for protecting some environmental compartment from contamination. In general, porosity, color, geometry of the materials used in the sealing of soils, the quality of sealed soil and aspect ratio of urban infrastructures are key aspects in preserving soil functions. \u00a9 2008 Elsevier B.V. All rights reserved.", "author" : [ { "dropping-particle" : "", "family" : "Scalenghe", "given" : "Riccardo", "non-dropping-particle" : "", "parse-names" : false, "suffix" : "" }, { "dropping-particle" : "", "family" : "Marsan", "given" : "Franco Ajmone", "non-dropping-particle" : "", "parse-names" : false, "suffix" : "" } ], "container-title" : "Landscape and Urban Planning", "id" : "ITEM-3", "issue" : "1-2", "issued" : { "date-parts" : [ [ "2009" ] ] }, "page" : "1-10", "title" : "The anthropogenic sealing of soils in urban areas", "type" : "article-journal", "volume" : "90" }, "uris" : [ "http://www.mendeley.com/documents/?uuid=e35d11eb-54da-42ba-891e-f3af80aa5229" ] } ], "mendeley" : { "formattedCitation" : "(Lorenz and Lal, 2009; Nehls et al., 2006; Scalenghe and Marsan, 2009)", "plainTextFormattedCitation" : "(Lorenz and Lal, 2009; Nehls et al., 2006; Scalenghe and Marsan, 2009)", "previouslyFormattedCitation" : "(Lorenz and Lal, 2009; Nehls et al., 2006; Scalenghe and Marsan, 2009)" }, "properties" : { "noteIndex" : 0 }, "schema" : "https://github.com/citation-style-language/schema/raw/master/csl-citation.json" }</w:instrText>
      </w:r>
      <w:r>
        <w:rPr>
          <w:rFonts w:ascii="Palatino Linotype" w:hAnsi="Palatino Linotype"/>
        </w:rPr>
        <w:fldChar w:fldCharType="separate"/>
      </w:r>
      <w:r w:rsidR="00BF6C71" w:rsidRPr="00BF6C71">
        <w:rPr>
          <w:rFonts w:ascii="Palatino Linotype" w:hAnsi="Palatino Linotype"/>
          <w:noProof/>
        </w:rPr>
        <w:t>(Lorenz and Lal, 2009; Nehls et al., 2006; Scalenghe and Marsan, 2009)</w:t>
      </w:r>
      <w:r>
        <w:rPr>
          <w:rFonts w:ascii="Palatino Linotype" w:hAnsi="Palatino Linotype"/>
        </w:rPr>
        <w:fldChar w:fldCharType="end"/>
      </w:r>
      <w:r>
        <w:rPr>
          <w:rFonts w:ascii="Palatino Linotype" w:hAnsi="Palatino Linotype"/>
        </w:rPr>
        <w:t>.</w:t>
      </w:r>
      <w:r>
        <w:rPr>
          <w:rFonts w:ascii="Palatino Linotype" w:hAnsi="Palatino Linotype"/>
          <w:szCs w:val="24"/>
        </w:rPr>
        <w:t xml:space="preserve"> W</w:t>
      </w:r>
      <w:r w:rsidRPr="0086350F">
        <w:rPr>
          <w:rFonts w:ascii="Palatino Linotype" w:hAnsi="Palatino Linotype"/>
          <w:szCs w:val="24"/>
        </w:rPr>
        <w:t>e</w:t>
      </w:r>
      <w:r>
        <w:rPr>
          <w:rFonts w:ascii="Palatino Linotype" w:hAnsi="Palatino Linotype"/>
          <w:szCs w:val="24"/>
        </w:rPr>
        <w:t xml:space="preserve"> therefore</w:t>
      </w:r>
      <w:r w:rsidRPr="0086350F">
        <w:rPr>
          <w:rFonts w:ascii="Palatino Linotype" w:hAnsi="Palatino Linotype"/>
          <w:szCs w:val="24"/>
        </w:rPr>
        <w:t xml:space="preserve"> assumed </w:t>
      </w:r>
      <w:r>
        <w:rPr>
          <w:rFonts w:ascii="Palatino Linotype" w:hAnsi="Palatino Linotype"/>
          <w:szCs w:val="24"/>
        </w:rPr>
        <w:t xml:space="preserve">respiration from </w:t>
      </w:r>
      <w:r w:rsidRPr="0086350F">
        <w:rPr>
          <w:rFonts w:ascii="Palatino Linotype" w:hAnsi="Palatino Linotype"/>
          <w:szCs w:val="24"/>
        </w:rPr>
        <w:t xml:space="preserve">paved surfaces and the </w:t>
      </w:r>
      <w:r w:rsidRPr="0086350F">
        <w:rPr>
          <w:rFonts w:ascii="Palatino Linotype" w:hAnsi="Palatino Linotype"/>
          <w:szCs w:val="24"/>
        </w:rPr>
        <w:lastRenderedPageBreak/>
        <w:t xml:space="preserve">soils beneath them </w:t>
      </w:r>
      <w:r>
        <w:rPr>
          <w:rFonts w:ascii="Palatino Linotype" w:hAnsi="Palatino Linotype"/>
          <w:szCs w:val="24"/>
        </w:rPr>
        <w:t xml:space="preserve">was negligible and </w:t>
      </w:r>
      <w:r w:rsidR="00CF37BD" w:rsidRPr="0086350F">
        <w:rPr>
          <w:rFonts w:ascii="Palatino Linotype" w:hAnsi="Palatino Linotype"/>
          <w:szCs w:val="24"/>
        </w:rPr>
        <w:t>scaled R</w:t>
      </w:r>
      <w:r w:rsidR="00CF37BD" w:rsidRPr="0086350F">
        <w:rPr>
          <w:rFonts w:ascii="Palatino Linotype" w:hAnsi="Palatino Linotype"/>
          <w:szCs w:val="24"/>
          <w:vertAlign w:val="subscript"/>
        </w:rPr>
        <w:t>H</w:t>
      </w:r>
      <w:r w:rsidR="00CF37BD" w:rsidRPr="0086350F">
        <w:rPr>
          <w:rFonts w:ascii="Palatino Linotype" w:hAnsi="Palatino Linotype"/>
          <w:szCs w:val="24"/>
        </w:rPr>
        <w:t xml:space="preserve"> by the sub-pixel proportion of ISA. </w:t>
      </w:r>
      <w:r w:rsidR="00946260" w:rsidRPr="00D50B75">
        <w:rPr>
          <w:rFonts w:ascii="Palatino Linotype" w:hAnsi="Palatino Linotype"/>
        </w:rPr>
        <w:t xml:space="preserve">Respiration </w:t>
      </w:r>
      <w:r w:rsidR="00946260">
        <w:rPr>
          <w:rFonts w:ascii="Palatino Linotype" w:hAnsi="Palatino Linotype"/>
        </w:rPr>
        <w:t>from paved soils</w:t>
      </w:r>
      <w:r w:rsidR="00946260" w:rsidRPr="00D50B75">
        <w:rPr>
          <w:rFonts w:ascii="Palatino Linotype" w:hAnsi="Palatino Linotype"/>
        </w:rPr>
        <w:t xml:space="preserve"> likely </w:t>
      </w:r>
      <w:r w:rsidR="00946260">
        <w:rPr>
          <w:rFonts w:ascii="Palatino Linotype" w:hAnsi="Palatino Linotype"/>
        </w:rPr>
        <w:t>varies</w:t>
      </w:r>
      <w:r w:rsidR="00946260" w:rsidRPr="00D50B75">
        <w:rPr>
          <w:rFonts w:ascii="Palatino Linotype" w:hAnsi="Palatino Linotype"/>
        </w:rPr>
        <w:t xml:space="preserve"> with </w:t>
      </w:r>
      <w:r w:rsidR="00946260">
        <w:rPr>
          <w:rFonts w:ascii="Palatino Linotype" w:hAnsi="Palatino Linotype"/>
        </w:rPr>
        <w:t xml:space="preserve">the quantity of </w:t>
      </w:r>
      <w:r w:rsidR="00946260" w:rsidRPr="00D50B75">
        <w:rPr>
          <w:rFonts w:ascii="Palatino Linotype" w:hAnsi="Palatino Linotype"/>
        </w:rPr>
        <w:t>soil organic carbon (SOC)</w:t>
      </w:r>
      <w:r w:rsidR="00946260">
        <w:rPr>
          <w:rFonts w:ascii="Palatino Linotype" w:hAnsi="Palatino Linotype"/>
        </w:rPr>
        <w:t xml:space="preserve"> </w:t>
      </w:r>
      <w:r>
        <w:rPr>
          <w:rFonts w:ascii="Palatino Linotype" w:hAnsi="Palatino Linotype"/>
        </w:rPr>
        <w:t>and l</w:t>
      </w:r>
      <w:r w:rsidR="00946260" w:rsidRPr="00D50B75">
        <w:rPr>
          <w:rFonts w:ascii="Palatino Linotype" w:hAnsi="Palatino Linotype"/>
        </w:rPr>
        <w:t xml:space="preserve">ong-paved soils are likely </w:t>
      </w:r>
      <w:r w:rsidR="00946260">
        <w:rPr>
          <w:rFonts w:ascii="Palatino Linotype" w:hAnsi="Palatino Linotype"/>
        </w:rPr>
        <w:t xml:space="preserve">to be </w:t>
      </w:r>
      <w:r w:rsidR="00946260" w:rsidRPr="00D50B75">
        <w:rPr>
          <w:rFonts w:ascii="Palatino Linotype" w:hAnsi="Palatino Linotype"/>
        </w:rPr>
        <w:t xml:space="preserve">depleted </w:t>
      </w:r>
      <w:r w:rsidR="00946260">
        <w:rPr>
          <w:rFonts w:ascii="Palatino Linotype" w:hAnsi="Palatino Linotype"/>
        </w:rPr>
        <w:t xml:space="preserve">of labile </w:t>
      </w:r>
      <w:r w:rsidR="00946260" w:rsidRPr="00D50B75">
        <w:rPr>
          <w:rFonts w:ascii="Palatino Linotype" w:hAnsi="Palatino Linotype"/>
        </w:rPr>
        <w:t xml:space="preserve">SOC compared to recently paved or unpaved soils </w:t>
      </w:r>
      <w:r w:rsidR="00946260" w:rsidRPr="00D50B75">
        <w:rPr>
          <w:rFonts w:ascii="Palatino Linotype" w:hAnsi="Palatino Linotype"/>
        </w:rPr>
        <w:fldChar w:fldCharType="begin" w:fldLock="1"/>
      </w:r>
      <w:r w:rsidR="000C0119">
        <w:rPr>
          <w:rFonts w:ascii="Palatino Linotype" w:hAnsi="Palatino Linotype"/>
        </w:rPr>
        <w:instrText>ADDIN CSL_CITATION { "citationItems" : [ { "id" : "ITEM-1", "itemData" : { "DOI" : "10.1016/j.envpol.2012.01.046", "ISSN" : "02697491", "author" : [ { "dropping-particle" : "", "family" : "Raciti", "given" : "Steve M.", "non-dropping-particle" : "", "parse-names" : false, "suffix" : "" }, { "dropping-particle" : "", "family" : "Hutyra", "given" : "Lucy R.", "non-dropping-particle" : "", "parse-names" : false, "suffix" : "" }, { "dropping-particle" : "", "family" : "Finzi", "given" : "Adrien C.", "non-dropping-particle" : "", "parse-names" : false, "suffix" : "" } ], "container-title" : "Environmental Pollution", "id" : "ITEM-1", "issued" : { "date-parts" : [ [ "2012" ] ] }, "page" : "248-251", "publisher" : "Elsevier Ltd", "title" : "Depleted soil carbon and nitrogen pools beneath impervious surfaces", "type" : "article-journal", "volume" : "164" }, "uris" : [ "http://www.mendeley.com/documents/?uuid=352c6d8a-6d23-4802-90be-1dc64858a63d" ] } ], "mendeley" : { "formattedCitation" : "(Raciti et al., 2012a)", "plainTextFormattedCitation" : "(Raciti et al., 2012a)", "previouslyFormattedCitation" : "(Raciti et al., 2012a)" }, "properties" : { "noteIndex" : 0 }, "schema" : "https://github.com/citation-style-language/schema/raw/master/csl-citation.json" }</w:instrText>
      </w:r>
      <w:r w:rsidR="00946260" w:rsidRPr="00D50B75">
        <w:rPr>
          <w:rFonts w:ascii="Palatino Linotype" w:hAnsi="Palatino Linotype"/>
        </w:rPr>
        <w:fldChar w:fldCharType="separate"/>
      </w:r>
      <w:r w:rsidR="00BF6C71" w:rsidRPr="00BF6C71">
        <w:rPr>
          <w:rFonts w:ascii="Palatino Linotype" w:hAnsi="Palatino Linotype"/>
          <w:noProof/>
        </w:rPr>
        <w:t>(Raciti et al., 2012a)</w:t>
      </w:r>
      <w:r w:rsidR="00946260" w:rsidRPr="00D50B75">
        <w:rPr>
          <w:rFonts w:ascii="Palatino Linotype" w:hAnsi="Palatino Linotype"/>
        </w:rPr>
        <w:fldChar w:fldCharType="end"/>
      </w:r>
      <w:r w:rsidR="00946260">
        <w:rPr>
          <w:rFonts w:ascii="Palatino Linotype" w:hAnsi="Palatino Linotype"/>
        </w:rPr>
        <w:t xml:space="preserve">, though infiltration of roots into soils under pavement represents an unquantified potential </w:t>
      </w:r>
      <w:r w:rsidR="00946260" w:rsidRPr="002A73B1">
        <w:rPr>
          <w:rFonts w:ascii="Palatino Linotype" w:hAnsi="Palatino Linotype"/>
        </w:rPr>
        <w:t xml:space="preserve">allochthonous </w:t>
      </w:r>
      <w:r w:rsidR="00946260">
        <w:rPr>
          <w:rFonts w:ascii="Palatino Linotype" w:hAnsi="Palatino Linotype"/>
        </w:rPr>
        <w:t xml:space="preserve">source of SOC. </w:t>
      </w:r>
      <w:r>
        <w:rPr>
          <w:rFonts w:ascii="Palatino Linotype" w:hAnsi="Palatino Linotype"/>
          <w:szCs w:val="24"/>
        </w:rPr>
        <w:t xml:space="preserve">Thus, </w:t>
      </w:r>
      <w:r w:rsidR="00CF37BD" w:rsidRPr="0086350F">
        <w:rPr>
          <w:rFonts w:ascii="Palatino Linotype" w:hAnsi="Palatino Linotype"/>
          <w:szCs w:val="24"/>
        </w:rPr>
        <w:t>R</w:t>
      </w:r>
      <w:r w:rsidR="00CF37BD" w:rsidRPr="0086350F">
        <w:rPr>
          <w:rFonts w:ascii="Palatino Linotype" w:hAnsi="Palatino Linotype"/>
          <w:szCs w:val="24"/>
          <w:vertAlign w:val="subscript"/>
        </w:rPr>
        <w:t>H</w:t>
      </w:r>
      <w:r w:rsidR="00CF37BD" w:rsidRPr="0086350F">
        <w:rPr>
          <w:rFonts w:ascii="Palatino Linotype" w:hAnsi="Palatino Linotype"/>
          <w:szCs w:val="24"/>
        </w:rPr>
        <w:t xml:space="preserve"> was defined as:</w:t>
      </w:r>
    </w:p>
    <w:p w14:paraId="77A82D86" w14:textId="77777777" w:rsidR="003A3C52" w:rsidRDefault="003A3C52" w:rsidP="00D66021">
      <w:pPr>
        <w:spacing w:line="360" w:lineRule="auto"/>
        <w:rPr>
          <w:rFonts w:ascii="Palatino Linotype" w:hAnsi="Palatino Linotype"/>
          <w:szCs w:val="24"/>
        </w:rPr>
      </w:pPr>
    </w:p>
    <w:p w14:paraId="5C910E78" w14:textId="3F2D8488" w:rsidR="00CF37BD" w:rsidRPr="0086350F" w:rsidRDefault="00D7627E" w:rsidP="00E0089D">
      <w:pPr>
        <w:spacing w:line="360" w:lineRule="auto"/>
        <w:jc w:val="right"/>
        <w:rPr>
          <w:rFonts w:ascii="Palatino Linotype" w:hAnsi="Palatino Linotype"/>
          <w:szCs w:val="24"/>
        </w:rPr>
      </w:pPr>
      <m:oMath>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1-ISA</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E_init</m:t>
                </m:r>
              </m:sub>
            </m:sSub>
          </m:num>
          <m:den>
            <m:r>
              <w:rPr>
                <w:rFonts w:ascii="Cambria Math" w:hAnsi="Cambria Math"/>
              </w:rPr>
              <m:t>2</m:t>
            </m:r>
          </m:den>
        </m:f>
      </m:oMath>
      <w:r w:rsidR="005B0E82">
        <w:rPr>
          <w:rFonts w:ascii="Palatino Linotype" w:hAnsi="Palatino Linotype"/>
        </w:rPr>
        <w:t xml:space="preserve">                                     SI Eqn. 7</w:t>
      </w:r>
    </w:p>
    <w:p w14:paraId="43E4E6DD" w14:textId="77777777" w:rsidR="0072579F" w:rsidRDefault="0072579F" w:rsidP="00D66021">
      <w:pPr>
        <w:spacing w:line="360" w:lineRule="auto"/>
        <w:rPr>
          <w:rFonts w:ascii="Palatino Linotype" w:eastAsiaTheme="minorEastAsia" w:hAnsi="Palatino Linotype"/>
          <w:szCs w:val="24"/>
        </w:rPr>
      </w:pPr>
    </w:p>
    <w:p w14:paraId="21EFD97F" w14:textId="4007D725" w:rsidR="00553610" w:rsidRDefault="00CF37BD" w:rsidP="00D66021">
      <w:pPr>
        <w:spacing w:line="360" w:lineRule="auto"/>
        <w:rPr>
          <w:rFonts w:ascii="Palatino Linotype" w:eastAsiaTheme="minorEastAsia" w:hAnsi="Palatino Linotype"/>
          <w:szCs w:val="24"/>
        </w:rPr>
      </w:pPr>
      <w:r w:rsidRPr="0086350F">
        <w:rPr>
          <w:rFonts w:ascii="Palatino Linotype" w:eastAsiaTheme="minorEastAsia" w:hAnsi="Palatino Linotype"/>
          <w:szCs w:val="24"/>
        </w:rPr>
        <w:t xml:space="preserve">Autotrophic respiration was scaled by the pixel greenness, as defined by </w:t>
      </w:r>
      <w:r w:rsidR="0072579F">
        <w:rPr>
          <w:rFonts w:ascii="Palatino Linotype" w:eastAsiaTheme="minorEastAsia" w:hAnsi="Palatino Linotype"/>
          <w:szCs w:val="24"/>
        </w:rPr>
        <w:t>EVI</w:t>
      </w:r>
      <w:r w:rsidRPr="0086350F">
        <w:rPr>
          <w:rFonts w:ascii="Palatino Linotype" w:eastAsiaTheme="minorEastAsia" w:hAnsi="Palatino Linotype"/>
          <w:szCs w:val="24"/>
        </w:rPr>
        <w:t xml:space="preserve">, and ISA. EVI is broadly correlated to the amount of living biomass in the area </w:t>
      </w:r>
      <w:r w:rsidR="001C58A2">
        <w:rPr>
          <w:rFonts w:ascii="Palatino Linotype" w:eastAsiaTheme="minorEastAsia" w:hAnsi="Palatino Linotype"/>
          <w:szCs w:val="24"/>
        </w:rPr>
        <w:fldChar w:fldCharType="begin" w:fldLock="1"/>
      </w:r>
      <w:r w:rsidR="000C0119">
        <w:rPr>
          <w:rFonts w:ascii="Palatino Linotype" w:eastAsiaTheme="minorEastAsia" w:hAnsi="Palatino Linotype"/>
          <w:szCs w:val="24"/>
        </w:rPr>
        <w:instrText>ADDIN CSL_CITATION { "citationItems" : [ { "id" : "ITEM-1", "itemData" : { "DOI" : "10.1016/S0034-4257(02)00096-2", "ISBN" : "0034-4257", "ISSN" : "00344257", "PMID" : "22129206", "abstract" : "We evaluated the initial 12 months of vegetation index product availability from the Moderate Resolution Imaging Spectroradiometer (MODIS) on board the Earth Observing System-Terra platform. Two MODIS vegetation indices (VI), the normalized difference vegetation index (NDVI) and enhanced vegetation index (EVI), are produced at 1-km and 500-m resolutions and 16-day compositing periods. This paper presents an initial analysis of the MODIS NDVI and EVI performance from both radiometric and biophysical perspectives. We utilize a combination of site-intensive and regionally extensive approaches to demonstrate the performance and validity of the two indices. Our results showed a good correspondence between airborne-measured, top-of-canopy reflectances and VI values with those from the MODIS sensor at four intensively measured test sites representing semi-arid grass/shrub, savanna, and tropical forest biomes. Simultaneously derived field biophysical measures also demonstrated the scientific utility of the MODIS VI. Multitemporal profiles of the MODIS VIs over numerous biome types in North and South America well represented their seasonal phenologies. Comparisons of the MODIS-NDVI with the NOAA-14, 1-km AVHRR-NDVI temporal profiles showed that the MODIS-based index performed with higher fidelity. The dynamic range of the MODIS VIs are presented and their sensitivities in discriminating vegetation differences are evaluated in sparse and dense vegetation areas. We found the NDVI to asymptotically saturate in high biomass regions such as in the Amazon while the EVI remained sensitive to canopy variations. ?? 2002 Elsevier Science Inc. All rights reserved.", "author" : [ { "dropping-particle" : "", "family" : "Huete", "given" : "A", "non-dropping-particle" : "", "parse-names" : false, "suffix" : "" }, { "dropping-particle" : "", "family" : "Didan", "given" : "K", "non-dropping-particle" : "", "parse-names" : false, "suffix" : "" }, { "dropping-particle" : "", "family" : "Miura", "given" : "T", "non-dropping-particle" : "", "parse-names" : false, "suffix" : "" }, { "dropping-particle" : "", "family" : "Rodriguez", "given" : "E P", "non-dropping-particle" : "", "parse-names" : false, "suffix" : "" }, { "dropping-particle" : "", "family" : "Gao", "given" : "X", "non-dropping-particle" : "", "parse-names" : false, "suffix" : "" }, { "dropping-particle" : "", "family" : "Ferreira", "given" : "L G", "non-dropping-particle" : "", "parse-names" : false, "suffix" : "" } ], "container-title" : "Remote Sensing of Environment", "id" : "ITEM-1", "issued" : { "date-parts" : [ [ "2002" ] ] }, "page" : "195-213", "title" : "Overview of the radiometric and biophysical performance of the MODIS vegetation indices", "type" : "article-journal", "volume" : "83" }, "uris" : [ "http://www.mendeley.com/documents/?uuid=07535e13-fa8e-48a2-9bc1-15e5439c2308" ] } ], "mendeley" : { "formattedCitation" : "(Huete et al., 2002)", "plainTextFormattedCitation" : "(Huete et al., 2002)", "previouslyFormattedCitation" : "(Huete et al., 2002)" }, "properties" : { "noteIndex" : 0 }, "schema" : "https://github.com/citation-style-language/schema/raw/master/csl-citation.json" }</w:instrText>
      </w:r>
      <w:r w:rsidR="001C58A2">
        <w:rPr>
          <w:rFonts w:ascii="Palatino Linotype" w:eastAsiaTheme="minorEastAsia" w:hAnsi="Palatino Linotype"/>
          <w:szCs w:val="24"/>
        </w:rPr>
        <w:fldChar w:fldCharType="separate"/>
      </w:r>
      <w:r w:rsidR="00BF6C71" w:rsidRPr="00BF6C71">
        <w:rPr>
          <w:rFonts w:ascii="Palatino Linotype" w:eastAsiaTheme="minorEastAsia" w:hAnsi="Palatino Linotype"/>
          <w:noProof/>
          <w:szCs w:val="24"/>
        </w:rPr>
        <w:t>(Huete et al., 2002)</w:t>
      </w:r>
      <w:r w:rsidR="001C58A2">
        <w:rPr>
          <w:rFonts w:ascii="Palatino Linotype" w:eastAsiaTheme="minorEastAsia" w:hAnsi="Palatino Linotype"/>
          <w:szCs w:val="24"/>
        </w:rPr>
        <w:fldChar w:fldCharType="end"/>
      </w:r>
      <w:r w:rsidR="00AC2974">
        <w:rPr>
          <w:rFonts w:ascii="Palatino Linotype" w:eastAsiaTheme="minorEastAsia" w:hAnsi="Palatino Linotype"/>
          <w:szCs w:val="24"/>
        </w:rPr>
        <w:t xml:space="preserve"> </w:t>
      </w:r>
      <w:r w:rsidRPr="0086350F">
        <w:rPr>
          <w:rFonts w:ascii="Palatino Linotype" w:eastAsiaTheme="minorEastAsia" w:hAnsi="Palatino Linotype"/>
          <w:szCs w:val="24"/>
        </w:rPr>
        <w:t>and is used as a proxy for the amount of living autotrophic respiration. The EVI-ISA correction estimates the relative contribution of respiration by urban trees that are densely packed in urban settings, normalized by respiration occurring at a nearby reference natural grid cell (Harvard Forest):</w:t>
      </w:r>
    </w:p>
    <w:p w14:paraId="4C0A7C29" w14:textId="77777777" w:rsidR="00553610" w:rsidRDefault="00553610" w:rsidP="00D66021">
      <w:pPr>
        <w:spacing w:line="360" w:lineRule="auto"/>
        <w:rPr>
          <w:rFonts w:ascii="Palatino Linotype" w:eastAsiaTheme="minorEastAsia" w:hAnsi="Palatino Linotype"/>
          <w:szCs w:val="24"/>
        </w:rPr>
      </w:pPr>
    </w:p>
    <w:p w14:paraId="326C1EB2" w14:textId="38B09E9C" w:rsidR="00CF37BD" w:rsidRPr="0086350F" w:rsidRDefault="00D7627E" w:rsidP="00E0089D">
      <w:pPr>
        <w:spacing w:line="360" w:lineRule="auto"/>
        <w:jc w:val="right"/>
        <w:rPr>
          <w:rFonts w:ascii="Palatino Linotype" w:hAnsi="Palatino Linotype"/>
          <w:szCs w:val="24"/>
        </w:rPr>
      </w:pPr>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EVI+</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sSub>
                          <m:sSubPr>
                            <m:ctrlPr>
                              <w:rPr>
                                <w:rFonts w:ascii="Cambria Math" w:hAnsi="Cambria Math"/>
                                <w:i/>
                              </w:rPr>
                            </m:ctrlPr>
                          </m:sSubPr>
                          <m:e>
                            <m:r>
                              <w:rPr>
                                <w:rFonts w:ascii="Cambria Math" w:hAnsi="Cambria Math"/>
                              </w:rPr>
                              <m:t>EVI</m:t>
                            </m:r>
                          </m:e>
                          <m:sub>
                            <m:r>
                              <w:rPr>
                                <w:rFonts w:ascii="Cambria Math" w:hAnsi="Cambria Math"/>
                              </w:rPr>
                              <m:t>ref</m:t>
                            </m:r>
                          </m:sub>
                        </m:sSub>
                      </m:e>
                    </m:d>
                  </m:e>
                </m:func>
                <m:r>
                  <w:rPr>
                    <w:rFonts w:ascii="Cambria Math" w:hAnsi="Cambria Math"/>
                  </w:rPr>
                  <m:t>*ISA</m:t>
                </m:r>
              </m:num>
              <m:den>
                <m:sSub>
                  <m:sSubPr>
                    <m:ctrlPr>
                      <w:rPr>
                        <w:rFonts w:ascii="Cambria Math" w:hAnsi="Cambria Math"/>
                        <w:i/>
                      </w:rPr>
                    </m:ctrlPr>
                  </m:sSubPr>
                  <m:e>
                    <m:r>
                      <w:rPr>
                        <w:rFonts w:ascii="Cambria Math" w:hAnsi="Cambria Math"/>
                      </w:rPr>
                      <m:t>EVI</m:t>
                    </m:r>
                  </m:e>
                  <m:sub>
                    <m:r>
                      <w:rPr>
                        <w:rFonts w:ascii="Cambria Math" w:hAnsi="Cambria Math"/>
                      </w:rPr>
                      <m:t>ref</m:t>
                    </m:r>
                  </m:sub>
                </m:sSub>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E_init</m:t>
                </m:r>
              </m:sub>
            </m:sSub>
          </m:num>
          <m:den>
            <m:r>
              <w:rPr>
                <w:rFonts w:ascii="Cambria Math" w:hAnsi="Cambria Math"/>
              </w:rPr>
              <m:t>2</m:t>
            </m:r>
          </m:den>
        </m:f>
      </m:oMath>
      <w:r w:rsidR="005B0E82">
        <w:rPr>
          <w:rFonts w:ascii="Palatino Linotype" w:hAnsi="Palatino Linotype"/>
        </w:rPr>
        <w:t xml:space="preserve">                          SI Eqn. 8</w:t>
      </w:r>
    </w:p>
    <w:p w14:paraId="78E27065" w14:textId="77777777" w:rsidR="00CF37BD" w:rsidRPr="0086350F" w:rsidRDefault="00CF37BD" w:rsidP="00D66021">
      <w:pPr>
        <w:spacing w:line="360" w:lineRule="auto"/>
        <w:jc w:val="center"/>
        <w:rPr>
          <w:rFonts w:ascii="Palatino Linotype" w:eastAsiaTheme="minorEastAsia" w:hAnsi="Palatino Linotype"/>
          <w:szCs w:val="24"/>
        </w:rPr>
      </w:pPr>
    </w:p>
    <w:p w14:paraId="21FEDBD0" w14:textId="41EA4696" w:rsidR="00BF1BDE" w:rsidRDefault="00D07751" w:rsidP="00D66021">
      <w:pPr>
        <w:spacing w:line="360" w:lineRule="auto"/>
        <w:rPr>
          <w:rFonts w:ascii="Palatino Linotype" w:eastAsiaTheme="minorEastAsia" w:hAnsi="Palatino Linotype"/>
          <w:szCs w:val="24"/>
        </w:rPr>
      </w:pPr>
      <w:r>
        <w:rPr>
          <w:rFonts w:ascii="Palatino Linotype" w:eastAsiaTheme="minorEastAsia" w:hAnsi="Palatino Linotype"/>
          <w:szCs w:val="24"/>
        </w:rPr>
        <w:t>w</w:t>
      </w:r>
      <w:r w:rsidR="00CF37BD" w:rsidRPr="0086350F">
        <w:rPr>
          <w:rFonts w:ascii="Palatino Linotype" w:eastAsiaTheme="minorEastAsia" w:hAnsi="Palatino Linotype"/>
          <w:szCs w:val="24"/>
        </w:rPr>
        <w:t xml:space="preserve">here EVI is the Enhanced Vegetation Index, or hourly grid-cell greenness, </w:t>
      </w:r>
      <w:r w:rsidR="0024106E" w:rsidRPr="0086350F">
        <w:rPr>
          <w:rFonts w:ascii="Palatino Linotype" w:eastAsiaTheme="minorEastAsia" w:hAnsi="Palatino Linotype"/>
          <w:szCs w:val="24"/>
        </w:rPr>
        <w:t>EVI</w:t>
      </w:r>
      <w:r w:rsidR="0024106E">
        <w:rPr>
          <w:rFonts w:ascii="Palatino Linotype" w:eastAsiaTheme="minorEastAsia" w:hAnsi="Palatino Linotype"/>
          <w:szCs w:val="24"/>
          <w:vertAlign w:val="subscript"/>
        </w:rPr>
        <w:t>ref</w:t>
      </w:r>
      <w:r w:rsidR="0024106E" w:rsidRPr="0086350F">
        <w:rPr>
          <w:rFonts w:ascii="Palatino Linotype" w:eastAsiaTheme="minorEastAsia" w:hAnsi="Palatino Linotype"/>
          <w:szCs w:val="24"/>
        </w:rPr>
        <w:t xml:space="preserve"> </w:t>
      </w:r>
      <w:r w:rsidR="00CF37BD" w:rsidRPr="0086350F">
        <w:rPr>
          <w:rFonts w:ascii="Palatino Linotype" w:eastAsiaTheme="minorEastAsia" w:hAnsi="Palatino Linotype"/>
          <w:szCs w:val="24"/>
        </w:rPr>
        <w:t>is the greenness at a reference non-urban site (Harvard Forest) at the same time, min(EVI</w:t>
      </w:r>
      <w:r w:rsidR="00CF37BD" w:rsidRPr="0086350F">
        <w:rPr>
          <w:rFonts w:ascii="Palatino Linotype" w:eastAsiaTheme="minorEastAsia" w:hAnsi="Palatino Linotype"/>
          <w:szCs w:val="24"/>
          <w:vertAlign w:val="subscript"/>
        </w:rPr>
        <w:t>HF</w:t>
      </w:r>
      <w:r w:rsidR="00CF37BD" w:rsidRPr="0086350F">
        <w:rPr>
          <w:rFonts w:ascii="Palatino Linotype" w:eastAsiaTheme="minorEastAsia" w:hAnsi="Palatino Linotype"/>
          <w:szCs w:val="24"/>
        </w:rPr>
        <w:t>) is the yearly minimum of EVI at Harvard Forest</w:t>
      </w:r>
      <w:r w:rsidR="0024106E">
        <w:rPr>
          <w:rFonts w:ascii="Palatino Linotype" w:eastAsiaTheme="minorEastAsia" w:hAnsi="Palatino Linotype"/>
          <w:szCs w:val="24"/>
        </w:rPr>
        <w:t xml:space="preserve"> (representing leaf-off, woody biomass autotrophic respiration)</w:t>
      </w:r>
      <w:r w:rsidR="00CF37BD" w:rsidRPr="0086350F">
        <w:rPr>
          <w:rFonts w:ascii="Palatino Linotype" w:eastAsiaTheme="minorEastAsia" w:hAnsi="Palatino Linotype"/>
          <w:szCs w:val="24"/>
        </w:rPr>
        <w:t xml:space="preserve">, and ISA is the impervious surface area. </w:t>
      </w:r>
      <w:r w:rsidR="00E244C8" w:rsidRPr="0086350F">
        <w:rPr>
          <w:rFonts w:ascii="Palatino Linotype" w:eastAsiaTheme="minorEastAsia" w:hAnsi="Palatino Linotype"/>
          <w:szCs w:val="24"/>
        </w:rPr>
        <w:t>Th</w:t>
      </w:r>
      <w:r w:rsidR="00E244C8">
        <w:rPr>
          <w:rFonts w:ascii="Palatino Linotype" w:eastAsiaTheme="minorEastAsia" w:hAnsi="Palatino Linotype"/>
          <w:szCs w:val="24"/>
        </w:rPr>
        <w:t>is</w:t>
      </w:r>
      <w:r w:rsidR="00E244C8" w:rsidRPr="0086350F">
        <w:rPr>
          <w:rFonts w:ascii="Palatino Linotype" w:eastAsiaTheme="minorEastAsia" w:hAnsi="Palatino Linotype"/>
          <w:szCs w:val="24"/>
        </w:rPr>
        <w:t xml:space="preserve"> </w:t>
      </w:r>
      <w:r w:rsidR="00CF37BD" w:rsidRPr="0086350F">
        <w:rPr>
          <w:rFonts w:ascii="Palatino Linotype" w:eastAsiaTheme="minorEastAsia" w:hAnsi="Palatino Linotype"/>
          <w:szCs w:val="24"/>
        </w:rPr>
        <w:t>structure adds a baseline amount of autotrophic respiration dependent on the local impervious surface area (the min(EVI</w:t>
      </w:r>
      <w:r w:rsidR="00CF37BD" w:rsidRPr="0086350F">
        <w:rPr>
          <w:rFonts w:ascii="Palatino Linotype" w:eastAsiaTheme="minorEastAsia" w:hAnsi="Palatino Linotype"/>
          <w:szCs w:val="24"/>
          <w:vertAlign w:val="subscript"/>
        </w:rPr>
        <w:t>HF</w:t>
      </w:r>
      <w:r w:rsidR="00CF37BD" w:rsidRPr="0086350F">
        <w:rPr>
          <w:rFonts w:ascii="Palatino Linotype" w:eastAsiaTheme="minorEastAsia" w:hAnsi="Palatino Linotype"/>
          <w:szCs w:val="24"/>
        </w:rPr>
        <w:t>)*ISA term) while scaling the autotrophic respiration at a given pixel to the simultaneous R</w:t>
      </w:r>
      <w:r w:rsidR="00CF37BD" w:rsidRPr="0086350F">
        <w:rPr>
          <w:rFonts w:ascii="Palatino Linotype" w:eastAsiaTheme="minorEastAsia" w:hAnsi="Palatino Linotype"/>
          <w:szCs w:val="24"/>
          <w:vertAlign w:val="subscript"/>
        </w:rPr>
        <w:t>A</w:t>
      </w:r>
      <w:r w:rsidR="00CF37BD" w:rsidRPr="0086350F">
        <w:rPr>
          <w:rFonts w:ascii="Palatino Linotype" w:eastAsiaTheme="minorEastAsia" w:hAnsi="Palatino Linotype"/>
          <w:szCs w:val="24"/>
        </w:rPr>
        <w:t xml:space="preserve"> in a natural </w:t>
      </w:r>
      <w:r w:rsidR="00CF37BD" w:rsidRPr="0086350F">
        <w:rPr>
          <w:rFonts w:ascii="Palatino Linotype" w:eastAsiaTheme="minorEastAsia" w:hAnsi="Palatino Linotype"/>
          <w:szCs w:val="24"/>
        </w:rPr>
        <w:lastRenderedPageBreak/>
        <w:t>ecosystem. Urban areas tend to have lower greenness, so this structure reflects the lower R</w:t>
      </w:r>
      <w:r w:rsidR="00CF37BD" w:rsidRPr="0086350F">
        <w:rPr>
          <w:rFonts w:ascii="Palatino Linotype" w:eastAsiaTheme="minorEastAsia" w:hAnsi="Palatino Linotype"/>
          <w:szCs w:val="24"/>
          <w:vertAlign w:val="subscript"/>
        </w:rPr>
        <w:t>A</w:t>
      </w:r>
      <w:r w:rsidR="00CF37BD" w:rsidRPr="0086350F">
        <w:rPr>
          <w:rFonts w:ascii="Palatino Linotype" w:eastAsiaTheme="minorEastAsia" w:hAnsi="Palatino Linotype"/>
          <w:szCs w:val="24"/>
        </w:rPr>
        <w:t xml:space="preserve"> that would occur in</w:t>
      </w:r>
      <w:r w:rsidR="0072579F">
        <w:rPr>
          <w:rFonts w:ascii="Palatino Linotype" w:eastAsiaTheme="minorEastAsia" w:hAnsi="Palatino Linotype"/>
          <w:szCs w:val="24"/>
        </w:rPr>
        <w:t xml:space="preserve"> sparsely vegetated urban areas.</w:t>
      </w:r>
    </w:p>
    <w:p w14:paraId="2482608A" w14:textId="77777777" w:rsidR="0024106E" w:rsidRDefault="0024106E" w:rsidP="00D66021">
      <w:pPr>
        <w:spacing w:line="360" w:lineRule="auto"/>
        <w:rPr>
          <w:rFonts w:ascii="Palatino Linotype" w:eastAsiaTheme="minorEastAsia" w:hAnsi="Palatino Linotype"/>
          <w:szCs w:val="24"/>
        </w:rPr>
      </w:pPr>
    </w:p>
    <w:p w14:paraId="38BE6041" w14:textId="59A2FAF1" w:rsidR="0024106E" w:rsidRPr="00050D34" w:rsidRDefault="0024106E" w:rsidP="00D66021">
      <w:pPr>
        <w:spacing w:line="360" w:lineRule="auto"/>
        <w:rPr>
          <w:rFonts w:ascii="Palatino Linotype" w:eastAsiaTheme="minorEastAsia" w:hAnsi="Palatino Linotype"/>
          <w:i/>
          <w:szCs w:val="24"/>
          <w:u w:val="single"/>
        </w:rPr>
      </w:pPr>
      <w:r w:rsidRPr="00050D34">
        <w:rPr>
          <w:rFonts w:ascii="Palatino Linotype" w:eastAsiaTheme="minorEastAsia" w:hAnsi="Palatino Linotype"/>
          <w:i/>
          <w:szCs w:val="24"/>
          <w:u w:val="single"/>
        </w:rPr>
        <w:t>S</w:t>
      </w:r>
      <w:r w:rsidRPr="0024106E">
        <w:rPr>
          <w:rFonts w:ascii="Palatino Linotype" w:eastAsiaTheme="minorEastAsia" w:hAnsi="Palatino Linotype"/>
          <w:i/>
          <w:szCs w:val="24"/>
          <w:u w:val="single"/>
        </w:rPr>
        <w:t xml:space="preserve">2.5 Net Ecosystem Exchange </w:t>
      </w:r>
    </w:p>
    <w:p w14:paraId="4DAB4999" w14:textId="494CF899" w:rsidR="00332322" w:rsidRDefault="0024106E" w:rsidP="00D66021">
      <w:pPr>
        <w:spacing w:line="360" w:lineRule="auto"/>
        <w:rPr>
          <w:rFonts w:ascii="Palatino Linotype" w:eastAsiaTheme="minorEastAsia" w:hAnsi="Palatino Linotype"/>
          <w:szCs w:val="24"/>
        </w:rPr>
      </w:pPr>
      <w:r>
        <w:rPr>
          <w:rFonts w:ascii="Palatino Linotype" w:eastAsiaTheme="minorEastAsia" w:hAnsi="Palatino Linotype"/>
          <w:szCs w:val="24"/>
        </w:rPr>
        <w:t>In VPRM, net ecosystem exchange (NEE) is calculated as the sum of gross ecosystem exchange (GEE) and ecosystem respiration (R</w:t>
      </w:r>
      <w:r w:rsidRPr="00050D34">
        <w:rPr>
          <w:rFonts w:ascii="Palatino Linotype" w:eastAsiaTheme="minorEastAsia" w:hAnsi="Palatino Linotype"/>
          <w:szCs w:val="24"/>
          <w:vertAlign w:val="subscript"/>
        </w:rPr>
        <w:t>E</w:t>
      </w:r>
      <w:r>
        <w:rPr>
          <w:rFonts w:ascii="Palatino Linotype" w:eastAsiaTheme="minorEastAsia" w:hAnsi="Palatino Linotype"/>
          <w:szCs w:val="24"/>
        </w:rPr>
        <w:t>). UrbanVPRM calculated NEE in the same way, where negative values indicate carbon uptake by the land surface and positive values indicate carbon release.</w:t>
      </w:r>
    </w:p>
    <w:p w14:paraId="3F941F11" w14:textId="3078B621" w:rsidR="00BF1BDE" w:rsidRDefault="00553610" w:rsidP="00B93317">
      <w:pPr>
        <w:spacing w:line="360" w:lineRule="auto"/>
        <w:rPr>
          <w:rFonts w:ascii="Palatino Linotype" w:eastAsiaTheme="minorEastAsia" w:hAnsi="Palatino Linotype"/>
          <w:szCs w:val="24"/>
        </w:rPr>
      </w:pPr>
      <w:r>
        <w:rPr>
          <w:rFonts w:ascii="Palatino Linotype" w:eastAsiaTheme="minorEastAsia" w:hAnsi="Palatino Linotype"/>
          <w:szCs w:val="24"/>
        </w:rPr>
        <w:br w:type="page"/>
      </w:r>
    </w:p>
    <w:p w14:paraId="3D372C68" w14:textId="167A0551" w:rsidR="00CF37BD" w:rsidRPr="0086350F" w:rsidRDefault="00CF37BD" w:rsidP="00B93317">
      <w:pPr>
        <w:spacing w:line="360" w:lineRule="auto"/>
        <w:rPr>
          <w:rFonts w:ascii="Palatino Linotype" w:hAnsi="Palatino Linotype"/>
          <w:b/>
        </w:rPr>
      </w:pPr>
      <w:r w:rsidRPr="00BF1BDE">
        <w:rPr>
          <w:rFonts w:ascii="Palatino Linotype" w:hAnsi="Palatino Linotype"/>
          <w:b/>
        </w:rPr>
        <w:lastRenderedPageBreak/>
        <w:t>S</w:t>
      </w:r>
      <w:r w:rsidR="00307F30">
        <w:rPr>
          <w:rFonts w:ascii="Palatino Linotype" w:hAnsi="Palatino Linotype"/>
          <w:b/>
        </w:rPr>
        <w:t>3</w:t>
      </w:r>
      <w:r w:rsidRPr="00BF1BDE">
        <w:rPr>
          <w:rFonts w:ascii="Palatino Linotype" w:hAnsi="Palatino Linotype"/>
          <w:b/>
        </w:rPr>
        <w:t xml:space="preserve"> Anthropogenic emissions of CO</w:t>
      </w:r>
      <w:r w:rsidRPr="00BF1BDE">
        <w:rPr>
          <w:rFonts w:ascii="Palatino Linotype" w:hAnsi="Palatino Linotype"/>
          <w:b/>
          <w:vertAlign w:val="subscript"/>
        </w:rPr>
        <w:t>2</w:t>
      </w:r>
      <w:r w:rsidRPr="00BF1BDE">
        <w:rPr>
          <w:rFonts w:ascii="Palatino Linotype" w:hAnsi="Palatino Linotype"/>
          <w:b/>
          <w:vertAlign w:val="subscript"/>
        </w:rPr>
        <w:br/>
      </w:r>
      <w:r w:rsidRPr="0086350F">
        <w:rPr>
          <w:rFonts w:ascii="Palatino Linotype" w:hAnsi="Palatino Linotype"/>
        </w:rPr>
        <w:t>Estimates of CO</w:t>
      </w:r>
      <w:r w:rsidRPr="0086350F">
        <w:rPr>
          <w:rFonts w:ascii="Palatino Linotype" w:hAnsi="Palatino Linotype"/>
          <w:vertAlign w:val="subscript"/>
        </w:rPr>
        <w:t>2</w:t>
      </w:r>
      <w:r w:rsidRPr="0086350F">
        <w:rPr>
          <w:rFonts w:ascii="Palatino Linotype" w:hAnsi="Palatino Linotype"/>
        </w:rPr>
        <w:t xml:space="preserve"> efflux from </w:t>
      </w:r>
      <w:r w:rsidR="00D82FA0">
        <w:rPr>
          <w:rFonts w:ascii="Palatino Linotype" w:hAnsi="Palatino Linotype"/>
        </w:rPr>
        <w:t>a</w:t>
      </w:r>
      <w:r w:rsidR="00D82FA0" w:rsidRPr="00D82FA0">
        <w:rPr>
          <w:rFonts w:ascii="Palatino Linotype" w:hAnsi="Palatino Linotype"/>
        </w:rPr>
        <w:t>nthropogenic</w:t>
      </w:r>
      <w:r w:rsidR="00D82FA0" w:rsidRPr="0086350F">
        <w:rPr>
          <w:rFonts w:ascii="Palatino Linotype" w:hAnsi="Palatino Linotype"/>
        </w:rPr>
        <w:t xml:space="preserve"> </w:t>
      </w:r>
      <w:r w:rsidR="00D82FA0" w:rsidRPr="00D82FA0">
        <w:rPr>
          <w:rFonts w:ascii="Palatino Linotype" w:hAnsi="Palatino Linotype"/>
        </w:rPr>
        <w:t>sources</w:t>
      </w:r>
      <w:r w:rsidR="00D82FA0">
        <w:rPr>
          <w:rFonts w:ascii="Palatino Linotype" w:hAnsi="Palatino Linotype"/>
        </w:rPr>
        <w:t xml:space="preserve"> </w:t>
      </w:r>
      <w:r w:rsidRPr="00D82FA0">
        <w:rPr>
          <w:rFonts w:ascii="Palatino Linotype" w:hAnsi="Palatino Linotype"/>
        </w:rPr>
        <w:t>were</w:t>
      </w:r>
      <w:r w:rsidRPr="0086350F">
        <w:rPr>
          <w:rFonts w:ascii="Palatino Linotype" w:hAnsi="Palatino Linotype"/>
        </w:rPr>
        <w:t xml:space="preserve"> developed separately for different source se</w:t>
      </w:r>
      <w:r w:rsidR="008F5975">
        <w:rPr>
          <w:rFonts w:ascii="Palatino Linotype" w:hAnsi="Palatino Linotype"/>
        </w:rPr>
        <w:t>ctors and harmonized to a 1 x 1</w:t>
      </w:r>
      <w:r w:rsidRPr="0086350F">
        <w:rPr>
          <w:rFonts w:ascii="Palatino Linotype" w:hAnsi="Palatino Linotype"/>
        </w:rPr>
        <w:t>km grid. Emissions from residential, commercial, industrial, non-road mobile, and rail sources were derived from the U.S. Environmental Protection Agency’s (EPA) National Emissions Inventory (NEI) for 2011</w:t>
      </w:r>
      <w:r w:rsidR="008A28E5">
        <w:rPr>
          <w:rFonts w:ascii="Palatino Linotype" w:hAnsi="Palatino Linotype"/>
        </w:rPr>
        <w:t xml:space="preserve"> </w:t>
      </w:r>
      <w:r w:rsidR="001B3508">
        <w:rPr>
          <w:rFonts w:ascii="Palatino Linotype" w:hAnsi="Palatino Linotype"/>
          <w:b/>
        </w:rPr>
        <w:fldChar w:fldCharType="begin" w:fldLock="1"/>
      </w:r>
      <w:r w:rsidR="000C0119">
        <w:rPr>
          <w:rFonts w:ascii="Palatino Linotype" w:hAnsi="Palatino Linotype"/>
        </w:rPr>
        <w:instrText>ADDIN CSL_CITATION { "citationItems" : [ { "id" : "ITEM-1", "itemData" : { "URL" : "http://www.epa.gov/ttnchie1/net/2011inventory.html", "author" : [ { "dropping-particle" : "", "family" : "U.S. Environmental Protection Agency", "given" : "", "non-dropping-particle" : "", "parse-names" : false, "suffix" : "" } ], "id" : "ITEM-1", "issued" : { "date-parts" : [ [ "2014" ] ] }, "title" : "2011 National Emissions Inventory", "type" : "webpage" }, "uris" : [ "http://www.mendeley.com/documents/?uuid=347bd37f-7a3e-46d3-8bad-e292cc99b137" ] } ], "mendeley" : { "formattedCitation" : "(U.S. Environmental Protection Agency, 2014a)", "plainTextFormattedCitation" : "(U.S. Environmental Protection Agency, 2014a)", "previouslyFormattedCitation" : "(U.S. Environmental Protection Agency, 2014a)" }, "properties" : { "noteIndex" : 0 }, "schema" : "https://github.com/citation-style-language/schema/raw/master/csl-citation.json" }</w:instrText>
      </w:r>
      <w:r w:rsidR="001B3508">
        <w:rPr>
          <w:rFonts w:ascii="Palatino Linotype" w:hAnsi="Palatino Linotype"/>
          <w:b/>
        </w:rPr>
        <w:fldChar w:fldCharType="separate"/>
      </w:r>
      <w:r w:rsidR="00BF6C71" w:rsidRPr="00BF6C71">
        <w:rPr>
          <w:rFonts w:ascii="Palatino Linotype" w:hAnsi="Palatino Linotype"/>
          <w:noProof/>
        </w:rPr>
        <w:t>(U.S. Environmental Protection Agency, 2014a)</w:t>
      </w:r>
      <w:r w:rsidR="001B3508">
        <w:rPr>
          <w:rFonts w:ascii="Palatino Linotype" w:hAnsi="Palatino Linotype"/>
          <w:b/>
        </w:rPr>
        <w:fldChar w:fldCharType="end"/>
      </w:r>
      <w:r w:rsidRPr="0086350F">
        <w:rPr>
          <w:rFonts w:ascii="Palatino Linotype" w:hAnsi="Palatino Linotype"/>
        </w:rPr>
        <w:t xml:space="preserve">. </w:t>
      </w:r>
      <w:r w:rsidR="00D82FA0">
        <w:rPr>
          <w:rFonts w:ascii="Palatino Linotype" w:hAnsi="Palatino Linotype"/>
        </w:rPr>
        <w:t xml:space="preserve">Emissions from human respiration were derived from population estimates and a </w:t>
      </w:r>
      <w:r w:rsidR="00D82FA0" w:rsidRPr="00D82FA0">
        <w:rPr>
          <w:rFonts w:ascii="Palatino Linotype" w:hAnsi="Palatino Linotype"/>
        </w:rPr>
        <w:t>mean per-capita CO</w:t>
      </w:r>
      <w:r w:rsidR="00D82FA0" w:rsidRPr="00D82FA0">
        <w:rPr>
          <w:rFonts w:ascii="Palatino Linotype" w:hAnsi="Palatino Linotype"/>
          <w:vertAlign w:val="subscript"/>
        </w:rPr>
        <w:t>2</w:t>
      </w:r>
      <w:r w:rsidR="00D82FA0" w:rsidRPr="00D82FA0">
        <w:rPr>
          <w:rFonts w:ascii="Palatino Linotype" w:hAnsi="Palatino Linotype"/>
        </w:rPr>
        <w:t xml:space="preserve"> respiratory flux</w:t>
      </w:r>
      <w:r w:rsidR="00D82FA0">
        <w:rPr>
          <w:rFonts w:ascii="Palatino Linotype" w:hAnsi="Palatino Linotype"/>
        </w:rPr>
        <w:t xml:space="preserve">. </w:t>
      </w:r>
      <w:r w:rsidRPr="0086350F">
        <w:rPr>
          <w:rFonts w:ascii="Palatino Linotype" w:hAnsi="Palatino Linotype"/>
        </w:rPr>
        <w:t>Emissions from point sources, which include electric power generation, industrial facilities, and aircraft take-off and landing operations, were estimated using a combination of data from the NEI and from the EPA Greenhouse Gas Reporting Program</w:t>
      </w:r>
      <w:r w:rsidR="008A28E5">
        <w:rPr>
          <w:rFonts w:ascii="Palatino Linotype" w:hAnsi="Palatino Linotype"/>
        </w:rPr>
        <w:t xml:space="preserve"> </w:t>
      </w:r>
      <w:r w:rsidR="00625E08">
        <w:rPr>
          <w:rFonts w:ascii="Palatino Linotype" w:hAnsi="Palatino Linotype"/>
        </w:rPr>
        <w:fldChar w:fldCharType="begin" w:fldLock="1"/>
      </w:r>
      <w:r w:rsidR="000C0119">
        <w:rPr>
          <w:rFonts w:ascii="Palatino Linotype" w:hAnsi="Palatino Linotype"/>
        </w:rPr>
        <w:instrText>ADDIN CSL_CITATION { "citationItems" : [ { "id" : "ITEM-1", "itemData" : { "URL" : "http://www2.epa.gov/ghgreporting/ghg-reporting-program-data-sets", "author" : [ { "dropping-particle" : "", "family" : "U.S. Environmental Protection Agency", "given" : "", "non-dropping-particle" : "", "parse-names" : false, "suffix" : "" } ], "id" : "ITEM-1", "issued" : { "date-parts" : [ [ "2014" ] ] }, "title" : "Greenhouse gas reporting program, 2013 Data", "type" : "webpage" }, "prefix" : "GHGRP;", "uris" : [ "http://www.mendeley.com/documents/?uuid=682a68d6-a273-4955-b8f3-cfe58d17cac9" ] } ], "mendeley" : { "formattedCitation" : "(GHGRP; U.S. Environmental Protection Agency, 2014b)", "plainTextFormattedCitation" : "(GHGRP; U.S. Environmental Protection Agency, 2014b)", "previouslyFormattedCitation" : "(GHGRP; U.S. Environmental Protection Agency, 2014b)" }, "properties" : { "noteIndex" : 0 }, "schema" : "https://github.com/citation-style-language/schema/raw/master/csl-citation.json" }</w:instrText>
      </w:r>
      <w:r w:rsidR="00625E08">
        <w:rPr>
          <w:rFonts w:ascii="Palatino Linotype" w:hAnsi="Palatino Linotype"/>
        </w:rPr>
        <w:fldChar w:fldCharType="separate"/>
      </w:r>
      <w:r w:rsidR="00BF6C71" w:rsidRPr="00BF6C71">
        <w:rPr>
          <w:rFonts w:ascii="Palatino Linotype" w:hAnsi="Palatino Linotype"/>
          <w:noProof/>
        </w:rPr>
        <w:t>(GHGRP; U.S. Environmental Protection Agency, 2014b)</w:t>
      </w:r>
      <w:r w:rsidR="00625E08">
        <w:rPr>
          <w:rFonts w:ascii="Palatino Linotype" w:hAnsi="Palatino Linotype"/>
        </w:rPr>
        <w:fldChar w:fldCharType="end"/>
      </w:r>
      <w:r w:rsidRPr="0086350F">
        <w:rPr>
          <w:rFonts w:ascii="Palatino Linotype" w:hAnsi="Palatino Linotype"/>
        </w:rPr>
        <w:t>. On-road CO</w:t>
      </w:r>
      <w:r w:rsidRPr="0086350F">
        <w:rPr>
          <w:rFonts w:ascii="Palatino Linotype" w:hAnsi="Palatino Linotype"/>
          <w:vertAlign w:val="subscript"/>
        </w:rPr>
        <w:t>2</w:t>
      </w:r>
      <w:r w:rsidRPr="0086350F">
        <w:rPr>
          <w:rFonts w:ascii="Palatino Linotype" w:hAnsi="Palatino Linotype"/>
        </w:rPr>
        <w:t xml:space="preserve"> emissions were obtained from the Database of Road Transportation Emissions</w:t>
      </w:r>
      <w:r w:rsidR="00625E08">
        <w:rPr>
          <w:rFonts w:ascii="Palatino Linotype" w:hAnsi="Palatino Linotype"/>
        </w:rPr>
        <w:t xml:space="preserve"> </w:t>
      </w:r>
      <w:r w:rsidR="00625E08">
        <w:rPr>
          <w:rFonts w:ascii="Palatino Linotype" w:hAnsi="Palatino Linotype"/>
        </w:rPr>
        <w:fldChar w:fldCharType="begin" w:fldLock="1"/>
      </w:r>
      <w:r w:rsidR="000C0119">
        <w:rPr>
          <w:rFonts w:ascii="Palatino Linotype" w:hAnsi="Palatino Linotype"/>
        </w:rPr>
        <w:instrText>ADDIN CSL_CITATION { "citationItems" : [ { "id" : "ITEM-1", "itemData" : { "DOI" : "10.1073/pnas.1421723112", "ISSN" : "0027-8424", "author" : [ { "dropping-particle" : "", "family" : "Gately", "given" : "Conor K.", "non-dropping-particle" : "", "parse-names" : false, "suffix" : "" }, { "dropping-particle" : "", "family" : "Hutyra", "given" : "Lucy R.", "non-dropping-particle" : "", "parse-names" : false, "suffix" : "" }, { "dropping-particle" : "", "family" : "Sue Wing", "given" : "Ian", "non-dropping-particle" : "", "parse-names" : false, "suffix" : "" } ], "container-title" : "Proceedings of the National Academy of Sciences", "id" : "ITEM-1", "issue" : "16", "issued" : { "date-parts" : [ [ "2015" ] ] }, "page" : "201421723", "title" : "Cities, traffic, and CO2: A multidecadal assessment of trends, drivers, and scaling relationships", "type" : "article-journal", "volume" : "112" }, "prefix" : "DARTE;", "uris" : [ "http://www.mendeley.com/documents/?uuid=e2defd7f-d777-4744-93b0-b85585c0eabb" ] } ], "mendeley" : { "formattedCitation" : "(DARTE; Gately et al., 2015)", "plainTextFormattedCitation" : "(DARTE; Gately et al., 2015)", "previouslyFormattedCitation" : "(DARTE; Gately et al., 2015)" }, "properties" : { "noteIndex" : 0 }, "schema" : "https://github.com/citation-style-language/schema/raw/master/csl-citation.json" }</w:instrText>
      </w:r>
      <w:r w:rsidR="00625E08">
        <w:rPr>
          <w:rFonts w:ascii="Palatino Linotype" w:hAnsi="Palatino Linotype"/>
        </w:rPr>
        <w:fldChar w:fldCharType="separate"/>
      </w:r>
      <w:r w:rsidR="00BF6C71" w:rsidRPr="00BF6C71">
        <w:rPr>
          <w:rFonts w:ascii="Palatino Linotype" w:hAnsi="Palatino Linotype"/>
          <w:noProof/>
        </w:rPr>
        <w:t>(DARTE; Gately et al., 2015)</w:t>
      </w:r>
      <w:r w:rsidR="00625E08">
        <w:rPr>
          <w:rFonts w:ascii="Palatino Linotype" w:hAnsi="Palatino Linotype"/>
        </w:rPr>
        <w:fldChar w:fldCharType="end"/>
      </w:r>
      <w:r w:rsidRPr="0086350F">
        <w:rPr>
          <w:rFonts w:ascii="Palatino Linotype" w:hAnsi="Palatino Linotype"/>
        </w:rPr>
        <w:t xml:space="preserve">. </w:t>
      </w:r>
    </w:p>
    <w:p w14:paraId="08AF5DFD" w14:textId="77777777" w:rsidR="00CF37BD" w:rsidRPr="0086350F" w:rsidRDefault="00CF37BD" w:rsidP="00B93317">
      <w:pPr>
        <w:spacing w:line="360" w:lineRule="auto"/>
        <w:rPr>
          <w:rFonts w:ascii="Palatino Linotype" w:hAnsi="Palatino Linotype"/>
          <w:szCs w:val="24"/>
        </w:rPr>
      </w:pPr>
    </w:p>
    <w:p w14:paraId="4AB55BF8" w14:textId="287E3CA7" w:rsidR="00CF37BD" w:rsidRPr="0086350F" w:rsidRDefault="00CF37BD" w:rsidP="00B93317">
      <w:pPr>
        <w:spacing w:line="360" w:lineRule="auto"/>
        <w:rPr>
          <w:rFonts w:ascii="Palatino Linotype" w:hAnsi="Palatino Linotype"/>
          <w:szCs w:val="24"/>
        </w:rPr>
      </w:pPr>
      <w:r w:rsidRPr="0086350F">
        <w:rPr>
          <w:rFonts w:ascii="Palatino Linotype" w:hAnsi="Palatino Linotype"/>
          <w:szCs w:val="24"/>
        </w:rPr>
        <w:t>The NEI reports annual emissions of carbon monoxide (CO) at the county scale for most of the non-point sources (residential, commercial, some industrial, non-road mobile, and railroad sectors). For point sources, NEI and GHGRP report annual CO and CO</w:t>
      </w:r>
      <w:r w:rsidRPr="0086350F">
        <w:rPr>
          <w:rFonts w:ascii="Palatino Linotype" w:hAnsi="Palatino Linotype"/>
          <w:szCs w:val="24"/>
          <w:vertAlign w:val="subscript"/>
        </w:rPr>
        <w:t>2</w:t>
      </w:r>
      <w:r w:rsidRPr="0086350F">
        <w:rPr>
          <w:rFonts w:ascii="Palatino Linotype" w:hAnsi="Palatino Linotype"/>
          <w:szCs w:val="24"/>
        </w:rPr>
        <w:t xml:space="preserve"> emissions, respectively, for each facility, with an accompanying latitude and longitude. We used emissions factors from </w:t>
      </w:r>
      <w:r w:rsidR="009A5781">
        <w:rPr>
          <w:rFonts w:ascii="Palatino Linotype" w:hAnsi="Palatino Linotype"/>
          <w:szCs w:val="24"/>
        </w:rPr>
        <w:t xml:space="preserve">EPA and from Gurney et al. </w:t>
      </w:r>
      <w:r w:rsidR="00625E08">
        <w:rPr>
          <w:rFonts w:ascii="Palatino Linotype" w:hAnsi="Palatino Linotype"/>
          <w:szCs w:val="24"/>
        </w:rPr>
        <w:fldChar w:fldCharType="begin" w:fldLock="1"/>
      </w:r>
      <w:r w:rsidR="00E521FA">
        <w:rPr>
          <w:rFonts w:ascii="Palatino Linotype" w:hAnsi="Palatino Linotype"/>
          <w:szCs w:val="24"/>
        </w:rPr>
        <w:instrText>ADDIN CSL_CITATION { "citationItems" : [ { "id" : "ITEM-1", "itemData" : { "author" : [ { "dropping-particle" : "", "family" : "Gurney", "given" : "Kevin Robert", "non-dropping-particle" : "", "parse-names" : false, "suffix" : "" }, { "dropping-particle" : "", "family" : "Mendoza", "given" : "Daniel", "non-dropping-particle" : "", "parse-names" : false, "suffix" : "" }, { "dropping-particle" : "", "family" : "Geethakumar", "given" : "Sarath", "non-dropping-particle" : "", "parse-names" : false, "suffix" : "" }, { "dropping-particle" : "", "family" : "Zhou", "given" : "Yuyu", "non-dropping-particle" : "", "parse-names" : false, "suffix" : "" }, { "dropping-particle" : "", "family" : "Sahni", "given" : "Nalin", "non-dropping-particle" : "", "parse-names" : false, "suffix" : "" }, { "dropping-particle" : "", "family" : "Seib", "given" : "Broc", "non-dropping-particle" : "", "parse-names" : false, "suffix" : "" }, { "dropping-particle" : "", "family" : "Ansley", "given" : "William", "non-dropping-particle" : "", "parse-names" : false, "suffix" : "" } ], "id" : "ITEM-1", "issued" : { "date-parts" : [ [ "2010" ] ] }, "page" : "1-38", "title" : "Vulcan Science Methods Documentation , Version 2.0", "type" : "article-journal" }, "suppress-author" : 1, "uris" : [ "http://www.mendeley.com/documents/?uuid=45e3fdd1-5fa0-4f79-87bf-60b80dc93b19" ] } ], "mendeley" : { "formattedCitation" : "(2010)", "plainTextFormattedCitation" : "(2010)", "previouslyFormattedCitation" : "(2010)" }, "properties" : { "noteIndex" : 0 }, "schema" : "https://github.com/citation-style-language/schema/raw/master/csl-citation.json" }</w:instrText>
      </w:r>
      <w:r w:rsidR="00625E08">
        <w:rPr>
          <w:rFonts w:ascii="Palatino Linotype" w:hAnsi="Palatino Linotype"/>
          <w:szCs w:val="24"/>
        </w:rPr>
        <w:fldChar w:fldCharType="separate"/>
      </w:r>
      <w:r w:rsidR="00E521FA" w:rsidRPr="00E521FA">
        <w:rPr>
          <w:rFonts w:ascii="Palatino Linotype" w:hAnsi="Palatino Linotype"/>
          <w:noProof/>
          <w:szCs w:val="24"/>
        </w:rPr>
        <w:t>(2010)</w:t>
      </w:r>
      <w:r w:rsidR="00625E08">
        <w:rPr>
          <w:rFonts w:ascii="Palatino Linotype" w:hAnsi="Palatino Linotype"/>
          <w:szCs w:val="24"/>
        </w:rPr>
        <w:fldChar w:fldCharType="end"/>
      </w:r>
      <w:r w:rsidR="00E521FA">
        <w:rPr>
          <w:rFonts w:ascii="Palatino Linotype" w:hAnsi="Palatino Linotype"/>
          <w:szCs w:val="24"/>
        </w:rPr>
        <w:t xml:space="preserve"> </w:t>
      </w:r>
      <w:r w:rsidRPr="0086350F">
        <w:rPr>
          <w:rFonts w:ascii="Palatino Linotype" w:hAnsi="Palatino Linotype"/>
          <w:szCs w:val="24"/>
        </w:rPr>
        <w:t>to convert CO estimates to CO</w:t>
      </w:r>
      <w:r w:rsidRPr="0086350F">
        <w:rPr>
          <w:rFonts w:ascii="Palatino Linotype" w:hAnsi="Palatino Linotype"/>
          <w:szCs w:val="24"/>
          <w:vertAlign w:val="subscript"/>
        </w:rPr>
        <w:t>2</w:t>
      </w:r>
      <w:r w:rsidRPr="0086350F">
        <w:rPr>
          <w:rFonts w:ascii="Palatino Linotype" w:hAnsi="Palatino Linotype"/>
          <w:szCs w:val="24"/>
        </w:rPr>
        <w:t>, depending on fuel type and combustion process. County-level CO</w:t>
      </w:r>
      <w:r w:rsidRPr="0086350F">
        <w:rPr>
          <w:rFonts w:ascii="Palatino Linotype" w:hAnsi="Palatino Linotype"/>
          <w:szCs w:val="24"/>
          <w:vertAlign w:val="subscript"/>
        </w:rPr>
        <w:t>2</w:t>
      </w:r>
      <w:r w:rsidRPr="0086350F">
        <w:rPr>
          <w:rFonts w:ascii="Palatino Linotype" w:hAnsi="Palatino Linotype"/>
          <w:szCs w:val="24"/>
        </w:rPr>
        <w:t xml:space="preserve"> emissions were then spatially downscaled using spatial proxies specific to each source sector. Annual CO</w:t>
      </w:r>
      <w:r w:rsidRPr="0086350F">
        <w:rPr>
          <w:rFonts w:ascii="Palatino Linotype" w:hAnsi="Palatino Linotype"/>
          <w:szCs w:val="24"/>
          <w:vertAlign w:val="subscript"/>
        </w:rPr>
        <w:t>2</w:t>
      </w:r>
      <w:r w:rsidRPr="0086350F">
        <w:rPr>
          <w:rFonts w:ascii="Palatino Linotype" w:hAnsi="Palatino Linotype"/>
          <w:szCs w:val="24"/>
        </w:rPr>
        <w:t xml:space="preserve"> estimates were also downscaled to monthly and hourly fluxes using sector-specific proxies. The details of emissions estimation and downscaling procedures for each sector are described below.</w:t>
      </w:r>
    </w:p>
    <w:p w14:paraId="2A96279D" w14:textId="77777777" w:rsidR="00CF37BD" w:rsidRPr="0086350F" w:rsidRDefault="00CF37BD" w:rsidP="00B93317">
      <w:pPr>
        <w:spacing w:line="360" w:lineRule="auto"/>
        <w:rPr>
          <w:rFonts w:ascii="Palatino Linotype" w:hAnsi="Palatino Linotype"/>
          <w:i/>
          <w:szCs w:val="24"/>
        </w:rPr>
      </w:pPr>
    </w:p>
    <w:p w14:paraId="5D7A88CD" w14:textId="3017381E" w:rsidR="00CF37BD" w:rsidRPr="0086350F" w:rsidRDefault="00CF37BD" w:rsidP="00B64FB7">
      <w:pPr>
        <w:spacing w:line="360" w:lineRule="auto"/>
        <w:rPr>
          <w:rFonts w:ascii="Palatino Linotype" w:hAnsi="Palatino Linotype"/>
          <w:i/>
          <w:szCs w:val="24"/>
        </w:rPr>
      </w:pPr>
      <w:r w:rsidRPr="0086350F">
        <w:rPr>
          <w:rFonts w:ascii="Palatino Linotype" w:hAnsi="Palatino Linotype"/>
          <w:i/>
          <w:szCs w:val="24"/>
        </w:rPr>
        <w:t>S</w:t>
      </w:r>
      <w:r w:rsidR="00553610">
        <w:rPr>
          <w:rFonts w:ascii="Palatino Linotype" w:hAnsi="Palatino Linotype"/>
          <w:i/>
          <w:szCs w:val="24"/>
        </w:rPr>
        <w:t>3</w:t>
      </w:r>
      <w:r w:rsidRPr="0086350F">
        <w:rPr>
          <w:rFonts w:ascii="Palatino Linotype" w:hAnsi="Palatino Linotype"/>
          <w:i/>
          <w:szCs w:val="24"/>
        </w:rPr>
        <w:t>.1 Airport and Heliport Emissions</w:t>
      </w:r>
    </w:p>
    <w:p w14:paraId="40DF0759" w14:textId="3885FAAE" w:rsidR="00CF37BD" w:rsidRPr="0086350F" w:rsidRDefault="00CF37BD">
      <w:pPr>
        <w:spacing w:line="360" w:lineRule="auto"/>
        <w:rPr>
          <w:rFonts w:ascii="Palatino Linotype" w:hAnsi="Palatino Linotype"/>
          <w:szCs w:val="24"/>
        </w:rPr>
      </w:pPr>
      <w:r w:rsidRPr="0086350F">
        <w:rPr>
          <w:rFonts w:ascii="Palatino Linotype" w:hAnsi="Palatino Linotype"/>
          <w:szCs w:val="24"/>
        </w:rPr>
        <w:t>The airports and heliports sector includes only emissions from aircraft taxiing, take-off and landing operations. Other emissions associated with airport facilities such as ground-based mobile vehicles and stationary combustion sources are reported in the ‘non-road mobile’ emissions sector. We converted NEI estimates of annual CO emissions into CO</w:t>
      </w:r>
      <w:r w:rsidRPr="0086350F">
        <w:rPr>
          <w:rFonts w:ascii="Palatino Linotype" w:hAnsi="Palatino Linotype"/>
          <w:szCs w:val="24"/>
          <w:vertAlign w:val="subscript"/>
        </w:rPr>
        <w:t>2</w:t>
      </w:r>
      <w:r w:rsidRPr="0086350F">
        <w:rPr>
          <w:rFonts w:ascii="Palatino Linotype" w:hAnsi="Palatino Linotype"/>
          <w:szCs w:val="24"/>
        </w:rPr>
        <w:t xml:space="preserve"> using emissions factors for jet fuel from</w:t>
      </w:r>
      <w:r w:rsidR="009A5781">
        <w:rPr>
          <w:rFonts w:ascii="Palatino Linotype" w:hAnsi="Palatino Linotype"/>
          <w:szCs w:val="24"/>
        </w:rPr>
        <w:t xml:space="preserve"> Gurney et al</w:t>
      </w:r>
      <w:r w:rsidR="000B7F57">
        <w:rPr>
          <w:rFonts w:ascii="Palatino Linotype" w:hAnsi="Palatino Linotype"/>
          <w:szCs w:val="24"/>
        </w:rPr>
        <w:t>.</w:t>
      </w:r>
      <w:r w:rsidR="00E521FA">
        <w:rPr>
          <w:rFonts w:ascii="Palatino Linotype" w:hAnsi="Palatino Linotype"/>
          <w:szCs w:val="24"/>
        </w:rPr>
        <w:t xml:space="preserve"> </w:t>
      </w:r>
      <w:r w:rsidR="00E521FA">
        <w:rPr>
          <w:rFonts w:ascii="Palatino Linotype" w:hAnsi="Palatino Linotype"/>
          <w:szCs w:val="24"/>
        </w:rPr>
        <w:fldChar w:fldCharType="begin" w:fldLock="1"/>
      </w:r>
      <w:r w:rsidR="00E521FA">
        <w:rPr>
          <w:rFonts w:ascii="Palatino Linotype" w:hAnsi="Palatino Linotype"/>
          <w:szCs w:val="24"/>
        </w:rPr>
        <w:instrText>ADDIN CSL_CITATION { "citationItems" : [ { "id" : "ITEM-1", "itemData" : { "author" : [ { "dropping-particle" : "", "family" : "Gurney", "given" : "Kevin Robert", "non-dropping-particle" : "", "parse-names" : false, "suffix" : "" }, { "dropping-particle" : "", "family" : "Mendoza", "given" : "Daniel", "non-dropping-particle" : "", "parse-names" : false, "suffix" : "" }, { "dropping-particle" : "", "family" : "Geethakumar", "given" : "Sarath", "non-dropping-particle" : "", "parse-names" : false, "suffix" : "" }, { "dropping-particle" : "", "family" : "Zhou", "given" : "Yuyu", "non-dropping-particle" : "", "parse-names" : false, "suffix" : "" }, { "dropping-particle" : "", "family" : "Sahni", "given" : "Nalin", "non-dropping-particle" : "", "parse-names" : false, "suffix" : "" }, { "dropping-particle" : "", "family" : "Seib", "given" : "Broc", "non-dropping-particle" : "", "parse-names" : false, "suffix" : "" }, { "dropping-particle" : "", "family" : "Ansley", "given" : "William", "non-dropping-particle" : "", "parse-names" : false, "suffix" : "" } ], "id" : "ITEM-1", "issued" : { "date-parts" : [ [ "2010" ] ] }, "page" : "1-38", "title" : "Vulcan Science Methods Documentation , Version 2.0", "type" : "article-journal" }, "suppress-author" : 1, "uris" : [ "http://www.mendeley.com/documents/?uuid=45e3fdd1-5fa0-4f79-87bf-60b80dc93b19" ] } ], "mendeley" : { "formattedCitation" : "(2010)", "plainTextFormattedCitation" : "(2010)", "previouslyFormattedCitation" : "(2010)" }, "properties" : { "noteIndex" : 0 }, "schema" : "https://github.com/citation-style-language/schema/raw/master/csl-citation.json" }</w:instrText>
      </w:r>
      <w:r w:rsidR="00E521FA">
        <w:rPr>
          <w:rFonts w:ascii="Palatino Linotype" w:hAnsi="Palatino Linotype"/>
          <w:szCs w:val="24"/>
        </w:rPr>
        <w:fldChar w:fldCharType="separate"/>
      </w:r>
      <w:r w:rsidR="00E521FA" w:rsidRPr="00E521FA">
        <w:rPr>
          <w:rFonts w:ascii="Palatino Linotype" w:hAnsi="Palatino Linotype"/>
          <w:noProof/>
          <w:szCs w:val="24"/>
        </w:rPr>
        <w:t>(2010)</w:t>
      </w:r>
      <w:r w:rsidR="00E521FA">
        <w:rPr>
          <w:rFonts w:ascii="Palatino Linotype" w:hAnsi="Palatino Linotype"/>
          <w:szCs w:val="24"/>
        </w:rPr>
        <w:fldChar w:fldCharType="end"/>
      </w:r>
      <w:r w:rsidRPr="0086350F">
        <w:rPr>
          <w:rFonts w:ascii="Palatino Linotype" w:hAnsi="Palatino Linotype"/>
          <w:szCs w:val="24"/>
        </w:rPr>
        <w:t>. Emissions were assigned to NEI airport point locations using the included latitude and longitude values, and these points were then spatially joined to the 1km grid cells. We disaggregated the annual emissions to a daily time structure using take-off and landing data from the Federal Aviation Administration’s Air Traffic Activity System (ATADS) (</w:t>
      </w:r>
      <w:hyperlink r:id="rId11" w:history="1">
        <w:r w:rsidRPr="0086350F">
          <w:rPr>
            <w:rStyle w:val="Hyperlink"/>
            <w:rFonts w:ascii="Palatino Linotype" w:hAnsi="Palatino Linotype"/>
            <w:szCs w:val="24"/>
          </w:rPr>
          <w:t>http://aspm.faa.gov/opsnet/sys/Main.asp</w:t>
        </w:r>
      </w:hyperlink>
      <w:r w:rsidR="008F5975" w:rsidRPr="008F5975">
        <w:rPr>
          <w:rFonts w:ascii="Palatino Linotype" w:hAnsi="Palatino Linotype"/>
          <w:szCs w:val="24"/>
        </w:rPr>
        <w:t xml:space="preserve">). </w:t>
      </w:r>
      <w:r w:rsidRPr="008F5975">
        <w:rPr>
          <w:rFonts w:ascii="Palatino Linotype" w:hAnsi="Palatino Linotype"/>
          <w:szCs w:val="24"/>
        </w:rPr>
        <w:t>We calculated each day’s share of total annual flights for a given airport in ATADS and then used those daily shares to distribute annual CO</w:t>
      </w:r>
      <w:r w:rsidRPr="00B106F3">
        <w:rPr>
          <w:rFonts w:ascii="Palatino Linotype" w:hAnsi="Palatino Linotype"/>
          <w:szCs w:val="24"/>
          <w:vertAlign w:val="subscript"/>
        </w:rPr>
        <w:t>2</w:t>
      </w:r>
      <w:r w:rsidRPr="008F5975">
        <w:rPr>
          <w:rFonts w:ascii="Palatino Linotype" w:hAnsi="Palatino Linotype"/>
          <w:szCs w:val="24"/>
        </w:rPr>
        <w:t xml:space="preserve"> estimates for the NEI airports to daily emissions for 2013. Each airport in the NEI source data was assigned the daily time structure of the nearest airport in the ATADS system, as identified through a GIS nearest neighbor calculation.</w:t>
      </w:r>
      <w:r w:rsidRPr="0086350F">
        <w:rPr>
          <w:rFonts w:ascii="Palatino Linotype" w:hAnsi="Palatino Linotype"/>
          <w:szCs w:val="24"/>
        </w:rPr>
        <w:t xml:space="preserve"> Daily emissions were aggregated by month for the growing season. </w:t>
      </w:r>
    </w:p>
    <w:p w14:paraId="4729CA3B" w14:textId="77777777" w:rsidR="00CF37BD" w:rsidRPr="0086350F" w:rsidRDefault="00CF37BD">
      <w:pPr>
        <w:spacing w:line="360" w:lineRule="auto"/>
        <w:rPr>
          <w:rFonts w:ascii="Palatino Linotype" w:hAnsi="Palatino Linotype"/>
          <w:i/>
          <w:szCs w:val="24"/>
        </w:rPr>
      </w:pPr>
    </w:p>
    <w:p w14:paraId="29401EAA" w14:textId="05D0B550" w:rsidR="00CF37BD" w:rsidRPr="0086350F" w:rsidRDefault="00CF37BD">
      <w:pPr>
        <w:spacing w:line="360" w:lineRule="auto"/>
        <w:rPr>
          <w:rFonts w:ascii="Palatino Linotype" w:hAnsi="Palatino Linotype"/>
          <w:i/>
          <w:szCs w:val="24"/>
        </w:rPr>
      </w:pPr>
      <w:r w:rsidRPr="0086350F">
        <w:rPr>
          <w:rFonts w:ascii="Palatino Linotype" w:hAnsi="Palatino Linotype"/>
          <w:i/>
          <w:szCs w:val="24"/>
        </w:rPr>
        <w:t>S</w:t>
      </w:r>
      <w:r w:rsidR="00553610">
        <w:rPr>
          <w:rFonts w:ascii="Palatino Linotype" w:hAnsi="Palatino Linotype"/>
          <w:i/>
          <w:szCs w:val="24"/>
        </w:rPr>
        <w:t>3</w:t>
      </w:r>
      <w:r w:rsidRPr="0086350F">
        <w:rPr>
          <w:rFonts w:ascii="Palatino Linotype" w:hAnsi="Palatino Linotype"/>
          <w:i/>
          <w:szCs w:val="24"/>
        </w:rPr>
        <w:t>.2 Railroad Emissions</w:t>
      </w:r>
    </w:p>
    <w:p w14:paraId="1BE52272" w14:textId="7776CA2D" w:rsidR="00CF37BD" w:rsidRPr="0086350F" w:rsidRDefault="00CF37BD">
      <w:pPr>
        <w:spacing w:line="360" w:lineRule="auto"/>
        <w:rPr>
          <w:rFonts w:ascii="Palatino Linotype" w:hAnsi="Palatino Linotype"/>
          <w:szCs w:val="24"/>
        </w:rPr>
      </w:pPr>
      <w:r w:rsidRPr="0086350F">
        <w:rPr>
          <w:rFonts w:ascii="Palatino Linotype" w:hAnsi="Palatino Linotype"/>
          <w:szCs w:val="24"/>
        </w:rPr>
        <w:t>Railroad CO and CO</w:t>
      </w:r>
      <w:r w:rsidRPr="0086350F">
        <w:rPr>
          <w:rFonts w:ascii="Palatino Linotype" w:hAnsi="Palatino Linotype"/>
          <w:szCs w:val="24"/>
          <w:vertAlign w:val="subscript"/>
        </w:rPr>
        <w:t>2</w:t>
      </w:r>
      <w:r w:rsidRPr="0086350F">
        <w:rPr>
          <w:rFonts w:ascii="Palatino Linotype" w:hAnsi="Palatino Linotype"/>
          <w:szCs w:val="24"/>
        </w:rPr>
        <w:t xml:space="preserve"> emission factors were obtained from the EPA Emission Factors for Locomotives Report</w:t>
      </w:r>
      <w:r w:rsidR="000B7F57">
        <w:rPr>
          <w:rFonts w:ascii="Palatino Linotype" w:hAnsi="Palatino Linotype"/>
          <w:szCs w:val="24"/>
          <w:vertAlign w:val="superscript"/>
        </w:rPr>
        <w:t xml:space="preserve"> </w:t>
      </w:r>
      <w:r w:rsidR="000B7F57">
        <w:rPr>
          <w:rFonts w:ascii="Palatino Linotype" w:hAnsi="Palatino Linotype"/>
          <w:szCs w:val="24"/>
        </w:rPr>
        <w:fldChar w:fldCharType="begin" w:fldLock="1"/>
      </w:r>
      <w:r w:rsidR="000C0119">
        <w:rPr>
          <w:rFonts w:ascii="Palatino Linotype" w:hAnsi="Palatino Linotype"/>
          <w:szCs w:val="24"/>
        </w:rPr>
        <w:instrText>ADDIN CSL_CITATION { "citationItems" : [ { "id" : "ITEM-1", "itemData" : { "abstract" : "Fact sheet on emission factors for locomotives", "author" : [ { "dropping-particle" : "", "family" : "US EPA", "given" : "", "non-dropping-particle" : "", "parse-names" : false, "suffix" : "" } ], "container-title" : "Office of Transportation and Air Quality", "id" : "ITEM-1", "issued" : { "date-parts" : [ [ "2009" ] ] }, "page" : "EPA- 420-F-09-025, Tables 1,2,3.", "title" : "Emission Factors for Locomotives", "type" : "article-journal" }, "uris" : [ "http://www.mendeley.com/documents/?uuid=3973478c-4ac2-4e1f-9ec5-888fbd195f84", "http://www.mendeley.com/documents/?uuid=8abb3d00-7838-4c86-996b-eba43ded5a73" ] } ], "mendeley" : { "formattedCitation" : "(US EPA, 2009)", "plainTextFormattedCitation" : "(US EPA, 2009)", "previouslyFormattedCitation" : "(US EPA, 2009)" }, "properties" : { "noteIndex" : 0 }, "schema" : "https://github.com/citation-style-language/schema/raw/master/csl-citation.json" }</w:instrText>
      </w:r>
      <w:r w:rsidR="000B7F57">
        <w:rPr>
          <w:rFonts w:ascii="Palatino Linotype" w:hAnsi="Palatino Linotype"/>
          <w:szCs w:val="24"/>
        </w:rPr>
        <w:fldChar w:fldCharType="separate"/>
      </w:r>
      <w:r w:rsidR="00BF6C71" w:rsidRPr="00BF6C71">
        <w:rPr>
          <w:rFonts w:ascii="Palatino Linotype" w:hAnsi="Palatino Linotype"/>
          <w:noProof/>
          <w:szCs w:val="24"/>
        </w:rPr>
        <w:t>(US EPA, 2009)</w:t>
      </w:r>
      <w:r w:rsidR="000B7F57">
        <w:rPr>
          <w:rFonts w:ascii="Palatino Linotype" w:hAnsi="Palatino Linotype"/>
          <w:szCs w:val="24"/>
        </w:rPr>
        <w:fldChar w:fldCharType="end"/>
      </w:r>
      <w:r w:rsidRPr="0086350F">
        <w:rPr>
          <w:rFonts w:ascii="Palatino Linotype" w:hAnsi="Palatino Linotype"/>
          <w:szCs w:val="24"/>
        </w:rPr>
        <w:t>. Emissions were summed by county and then spatially distributed onto the NEI-provided “Rail Line Shape Files” GIS layer using the “2011</w:t>
      </w:r>
      <w:r w:rsidR="000B7F57">
        <w:rPr>
          <w:rFonts w:ascii="Palatino Linotype" w:hAnsi="Palatino Linotype"/>
          <w:szCs w:val="24"/>
        </w:rPr>
        <w:t xml:space="preserve"> </w:t>
      </w:r>
      <w:r w:rsidRPr="0086350F">
        <w:rPr>
          <w:rFonts w:ascii="Palatino Linotype" w:hAnsi="Palatino Linotype"/>
          <w:szCs w:val="24"/>
        </w:rPr>
        <w:t xml:space="preserve">NEIv2 Shape Fractions of County Emissions for Rail and Commercial Marine”, both available at </w:t>
      </w:r>
      <w:hyperlink r:id="rId12" w:history="1">
        <w:r w:rsidRPr="0086350F">
          <w:rPr>
            <w:rStyle w:val="Hyperlink"/>
            <w:rFonts w:ascii="Palatino Linotype" w:hAnsi="Palatino Linotype"/>
            <w:szCs w:val="24"/>
          </w:rPr>
          <w:t>http://www.epa.gov/ttnchie1/net/2011inventory.html</w:t>
        </w:r>
      </w:hyperlink>
      <w:r w:rsidR="008F5975">
        <w:t>.</w:t>
      </w:r>
      <w:r w:rsidR="000B7F57">
        <w:t xml:space="preserve"> </w:t>
      </w:r>
      <w:r w:rsidRPr="0086350F">
        <w:rPr>
          <w:rFonts w:ascii="Palatino Linotype" w:hAnsi="Palatino Linotype"/>
          <w:szCs w:val="24"/>
        </w:rPr>
        <w:t>Railroad emissions were given a uniform time structure, as no data on seasonal, monthly, or diurnal patterns in activity was available.</w:t>
      </w:r>
      <w:r w:rsidRPr="0086350F">
        <w:rPr>
          <w:rFonts w:ascii="Palatino Linotype" w:hAnsi="Palatino Linotype"/>
          <w:b/>
          <w:szCs w:val="24"/>
        </w:rPr>
        <w:tab/>
      </w:r>
    </w:p>
    <w:p w14:paraId="40673C37" w14:textId="77777777" w:rsidR="00CF37BD" w:rsidRPr="0086350F" w:rsidRDefault="00CF37BD">
      <w:pPr>
        <w:spacing w:line="360" w:lineRule="auto"/>
        <w:rPr>
          <w:rFonts w:ascii="Palatino Linotype" w:hAnsi="Palatino Linotype"/>
          <w:i/>
          <w:szCs w:val="24"/>
        </w:rPr>
      </w:pPr>
    </w:p>
    <w:p w14:paraId="537DEAC9" w14:textId="32C86C72" w:rsidR="00CF37BD" w:rsidRPr="0086350F" w:rsidRDefault="00CF37BD">
      <w:pPr>
        <w:spacing w:line="360" w:lineRule="auto"/>
        <w:rPr>
          <w:rFonts w:ascii="Palatino Linotype" w:hAnsi="Palatino Linotype"/>
          <w:i/>
          <w:szCs w:val="24"/>
        </w:rPr>
      </w:pPr>
      <w:r w:rsidRPr="0086350F">
        <w:rPr>
          <w:rFonts w:ascii="Palatino Linotype" w:hAnsi="Palatino Linotype"/>
          <w:i/>
          <w:szCs w:val="24"/>
        </w:rPr>
        <w:t>S</w:t>
      </w:r>
      <w:r w:rsidR="00553610">
        <w:rPr>
          <w:rFonts w:ascii="Palatino Linotype" w:hAnsi="Palatino Linotype"/>
          <w:i/>
          <w:szCs w:val="24"/>
        </w:rPr>
        <w:t>3</w:t>
      </w:r>
      <w:r w:rsidRPr="0086350F">
        <w:rPr>
          <w:rFonts w:ascii="Palatino Linotype" w:hAnsi="Palatino Linotype"/>
          <w:i/>
          <w:szCs w:val="24"/>
        </w:rPr>
        <w:t>.3 On-road Mobile Emissions</w:t>
      </w:r>
    </w:p>
    <w:p w14:paraId="20A514F0" w14:textId="40FB7394" w:rsidR="00CF37BD" w:rsidRPr="0086350F" w:rsidRDefault="00CF37BD">
      <w:pPr>
        <w:spacing w:line="360" w:lineRule="auto"/>
        <w:rPr>
          <w:rFonts w:ascii="Palatino Linotype" w:hAnsi="Palatino Linotype"/>
          <w:szCs w:val="24"/>
        </w:rPr>
      </w:pPr>
      <w:r w:rsidRPr="0086350F">
        <w:rPr>
          <w:rFonts w:ascii="Palatino Linotype" w:hAnsi="Palatino Linotype"/>
          <w:szCs w:val="24"/>
        </w:rPr>
        <w:t>Annual on-road CO</w:t>
      </w:r>
      <w:r w:rsidRPr="0086350F">
        <w:rPr>
          <w:rFonts w:ascii="Palatino Linotype" w:hAnsi="Palatino Linotype"/>
          <w:szCs w:val="24"/>
          <w:vertAlign w:val="subscript"/>
        </w:rPr>
        <w:t>2</w:t>
      </w:r>
      <w:r w:rsidRPr="0086350F">
        <w:rPr>
          <w:rFonts w:ascii="Palatino Linotype" w:hAnsi="Palatino Linotype"/>
          <w:szCs w:val="24"/>
        </w:rPr>
        <w:t xml:space="preserve"> emissions on a 1km grid were obtained from DARTE</w:t>
      </w:r>
      <w:r w:rsidR="000B7F57">
        <w:rPr>
          <w:rFonts w:ascii="Palatino Linotype" w:hAnsi="Palatino Linotype"/>
          <w:szCs w:val="24"/>
          <w:vertAlign w:val="superscript"/>
        </w:rPr>
        <w:t xml:space="preserve"> </w:t>
      </w:r>
      <w:r w:rsidR="000B7F57">
        <w:rPr>
          <w:rFonts w:ascii="Palatino Linotype" w:hAnsi="Palatino Linotype"/>
          <w:szCs w:val="24"/>
        </w:rPr>
        <w:fldChar w:fldCharType="begin" w:fldLock="1"/>
      </w:r>
      <w:r w:rsidR="000C0119">
        <w:rPr>
          <w:rFonts w:ascii="Palatino Linotype" w:hAnsi="Palatino Linotype"/>
          <w:szCs w:val="24"/>
        </w:rPr>
        <w:instrText>ADDIN CSL_CITATION { "citationItems" : [ { "id" : "ITEM-1", "itemData" : { "DOI" : "10.1073/pnas.1421723112", "ISSN" : "0027-8424", "author" : [ { "dropping-particle" : "", "family" : "Gately", "given" : "Conor K.", "non-dropping-particle" : "", "parse-names" : false, "suffix" : "" }, { "dropping-particle" : "", "family" : "Hutyra", "given" : "Lucy R.", "non-dropping-particle" : "", "parse-names" : false, "suffix" : "" }, { "dropping-particle" : "", "family" : "Sue Wing", "given" : "Ian", "non-dropping-particle" : "", "parse-names" : false, "suffix" : "" } ], "container-title" : "Proceedings of the National Academy of Sciences", "id" : "ITEM-1", "issue" : "16", "issued" : { "date-parts" : [ [ "2015" ] ] }, "page" : "201421723", "title" : "Cities, traffic, and CO2: A multidecadal assessment of trends, drivers, and scaling relationships", "type" : "article-journal", "volume" : "112" }, "uris" : [ "http://www.mendeley.com/documents/?uuid=e2defd7f-d777-4744-93b0-b85585c0eabb" ] } ], "mendeley" : { "formattedCitation" : "(Gately et al., 2015)", "plainTextFormattedCitation" : "(Gately et al., 2015)", "previouslyFormattedCitation" : "(Gately et al., 2015)" }, "properties" : { "noteIndex" : 0 }, "schema" : "https://github.com/citation-style-language/schema/raw/master/csl-citation.json" }</w:instrText>
      </w:r>
      <w:r w:rsidR="000B7F57">
        <w:rPr>
          <w:rFonts w:ascii="Palatino Linotype" w:hAnsi="Palatino Linotype"/>
          <w:szCs w:val="24"/>
        </w:rPr>
        <w:fldChar w:fldCharType="separate"/>
      </w:r>
      <w:r w:rsidR="00BF6C71" w:rsidRPr="00BF6C71">
        <w:rPr>
          <w:rFonts w:ascii="Palatino Linotype" w:hAnsi="Palatino Linotype"/>
          <w:noProof/>
          <w:szCs w:val="24"/>
        </w:rPr>
        <w:t>(Gately et al., 2015)</w:t>
      </w:r>
      <w:r w:rsidR="000B7F57">
        <w:rPr>
          <w:rFonts w:ascii="Palatino Linotype" w:hAnsi="Palatino Linotype"/>
          <w:szCs w:val="24"/>
        </w:rPr>
        <w:fldChar w:fldCharType="end"/>
      </w:r>
      <w:r w:rsidRPr="0086350F">
        <w:rPr>
          <w:rFonts w:ascii="Palatino Linotype" w:hAnsi="Palatino Linotype"/>
          <w:szCs w:val="24"/>
        </w:rPr>
        <w:t>, and then downscaled to hourly estimates using hourly vehicle counts reported by local automatic traffic recorders (ATRs). We calculated the fraction of total annual traffic that occurs in each hour of the year at each ATR. For each 1 x 1km grid cell in DARTE, we then assigned the hourly time structure from the nearest ATR station to the CO</w:t>
      </w:r>
      <w:r w:rsidRPr="0086350F">
        <w:rPr>
          <w:rFonts w:ascii="Palatino Linotype" w:hAnsi="Palatino Linotype"/>
          <w:szCs w:val="24"/>
          <w:vertAlign w:val="subscript"/>
        </w:rPr>
        <w:t>2</w:t>
      </w:r>
      <w:r w:rsidRPr="0086350F">
        <w:rPr>
          <w:rFonts w:ascii="Palatino Linotype" w:hAnsi="Palatino Linotype"/>
          <w:szCs w:val="24"/>
        </w:rPr>
        <w:t xml:space="preserve"> emissions of that grid cell. Hourly emissions were aggregated to monthly totals for the growing season.</w:t>
      </w:r>
    </w:p>
    <w:p w14:paraId="7820EE96" w14:textId="77777777" w:rsidR="00CF37BD" w:rsidRPr="0086350F" w:rsidRDefault="00CF37BD">
      <w:pPr>
        <w:spacing w:line="360" w:lineRule="auto"/>
        <w:rPr>
          <w:rFonts w:ascii="Palatino Linotype" w:hAnsi="Palatino Linotype"/>
          <w:i/>
          <w:szCs w:val="24"/>
        </w:rPr>
      </w:pPr>
    </w:p>
    <w:p w14:paraId="226DE190" w14:textId="4DF51599" w:rsidR="00CF37BD" w:rsidRPr="0086350F" w:rsidRDefault="00CF37BD">
      <w:pPr>
        <w:spacing w:line="360" w:lineRule="auto"/>
        <w:rPr>
          <w:rFonts w:ascii="Palatino Linotype" w:hAnsi="Palatino Linotype"/>
          <w:i/>
          <w:szCs w:val="24"/>
        </w:rPr>
      </w:pPr>
      <w:r w:rsidRPr="0086350F">
        <w:rPr>
          <w:rFonts w:ascii="Palatino Linotype" w:hAnsi="Palatino Linotype"/>
          <w:i/>
          <w:szCs w:val="24"/>
        </w:rPr>
        <w:t>S</w:t>
      </w:r>
      <w:r w:rsidR="00553610">
        <w:rPr>
          <w:rFonts w:ascii="Palatino Linotype" w:hAnsi="Palatino Linotype"/>
          <w:i/>
          <w:szCs w:val="24"/>
        </w:rPr>
        <w:t>3</w:t>
      </w:r>
      <w:r w:rsidRPr="0086350F">
        <w:rPr>
          <w:rFonts w:ascii="Palatino Linotype" w:hAnsi="Palatino Linotype"/>
          <w:i/>
          <w:szCs w:val="24"/>
        </w:rPr>
        <w:t>.4 Non-road Mobile Emissions</w:t>
      </w:r>
    </w:p>
    <w:p w14:paraId="6C730888" w14:textId="32E1B2F0" w:rsidR="00CF37BD" w:rsidRPr="0086350F" w:rsidRDefault="00CF37BD">
      <w:pPr>
        <w:spacing w:line="360" w:lineRule="auto"/>
        <w:rPr>
          <w:rFonts w:ascii="Palatino Linotype" w:hAnsi="Palatino Linotype"/>
          <w:szCs w:val="24"/>
        </w:rPr>
      </w:pPr>
      <w:r w:rsidRPr="0086350F">
        <w:rPr>
          <w:rFonts w:ascii="Palatino Linotype" w:hAnsi="Palatino Linotype"/>
          <w:szCs w:val="24"/>
        </w:rPr>
        <w:t>Estimates of county-level CO</w:t>
      </w:r>
      <w:r w:rsidRPr="0086350F">
        <w:rPr>
          <w:rFonts w:ascii="Palatino Linotype" w:hAnsi="Palatino Linotype"/>
          <w:szCs w:val="24"/>
          <w:vertAlign w:val="subscript"/>
        </w:rPr>
        <w:t>2</w:t>
      </w:r>
      <w:r w:rsidRPr="0086350F">
        <w:rPr>
          <w:rFonts w:ascii="Palatino Linotype" w:hAnsi="Palatino Linotype"/>
          <w:b/>
          <w:szCs w:val="24"/>
        </w:rPr>
        <w:t xml:space="preserve"> </w:t>
      </w:r>
      <w:r w:rsidRPr="0086350F">
        <w:rPr>
          <w:rFonts w:ascii="Palatino Linotype" w:hAnsi="Palatino Linotype"/>
          <w:szCs w:val="24"/>
        </w:rPr>
        <w:t>were obtained from the</w:t>
      </w:r>
      <w:r w:rsidRPr="0086350F">
        <w:rPr>
          <w:rFonts w:ascii="Palatino Linotype" w:hAnsi="Palatino Linotype"/>
          <w:b/>
          <w:szCs w:val="24"/>
        </w:rPr>
        <w:t xml:space="preserve"> </w:t>
      </w:r>
      <w:r w:rsidRPr="0086350F">
        <w:rPr>
          <w:rFonts w:ascii="Palatino Linotype" w:hAnsi="Palatino Linotype"/>
          <w:szCs w:val="24"/>
        </w:rPr>
        <w:t>NONROAD2008 model included in the EPA MOVES2012b (Motor Vehicle Emission Simulator) model (</w:t>
      </w:r>
      <w:hyperlink r:id="rId13" w:history="1">
        <w:r w:rsidRPr="0086350F">
          <w:rPr>
            <w:rStyle w:val="Hyperlink"/>
            <w:rFonts w:ascii="Palatino Linotype" w:hAnsi="Palatino Linotype"/>
            <w:szCs w:val="24"/>
          </w:rPr>
          <w:t>http://www.epa.gov/otaq/nonrdmdl.htm</w:t>
        </w:r>
      </w:hyperlink>
      <w:r w:rsidRPr="0086350F">
        <w:rPr>
          <w:rFonts w:ascii="Palatino Linotype" w:hAnsi="Palatino Linotype"/>
          <w:szCs w:val="24"/>
        </w:rPr>
        <w:t>). The NONROAD2008 model estimates CO</w:t>
      </w:r>
      <w:r w:rsidRPr="0086350F">
        <w:rPr>
          <w:rFonts w:ascii="Palatino Linotype" w:hAnsi="Palatino Linotype"/>
          <w:szCs w:val="24"/>
          <w:vertAlign w:val="subscript"/>
        </w:rPr>
        <w:t>2</w:t>
      </w:r>
      <w:r w:rsidRPr="0086350F">
        <w:rPr>
          <w:rFonts w:ascii="Palatino Linotype" w:hAnsi="Palatino Linotype"/>
          <w:szCs w:val="24"/>
        </w:rPr>
        <w:t xml:space="preserve"> emissions for all mobile vehicle activity that does not occur on public roads (construction vehicles, agricultural vehicles, rail yards and airports, lawn and garden equipment, etc.). Emissions were uniformly distributed across each county and then aggregated to our 1km grid. The NONROAD2008 model provides time-varying emissions estimates by month and by weekday/weekend. The time structure was developed based on data from the NONROAD2005 model, and has not been updated since then. This is the same time structure as the Vulcan Project ‘non-road’ emissions layer, as Vulcan estimated emissions using the NONROAD2005 model</w:t>
      </w:r>
      <w:r w:rsidR="000B7F57">
        <w:rPr>
          <w:rFonts w:ascii="Palatino Linotype" w:hAnsi="Palatino Linotype"/>
          <w:szCs w:val="24"/>
          <w:vertAlign w:val="superscript"/>
        </w:rPr>
        <w:t xml:space="preserve"> </w:t>
      </w:r>
      <w:r w:rsidR="000B7F57">
        <w:rPr>
          <w:rFonts w:ascii="Palatino Linotype" w:hAnsi="Palatino Linotype"/>
          <w:szCs w:val="24"/>
        </w:rPr>
        <w:fldChar w:fldCharType="begin" w:fldLock="1"/>
      </w:r>
      <w:r w:rsidR="000C0119">
        <w:rPr>
          <w:rFonts w:ascii="Palatino Linotype" w:hAnsi="Palatino Linotype"/>
          <w:szCs w:val="24"/>
        </w:rPr>
        <w:instrText>ADDIN CSL_CITATION { "citationItems" : [ { "id" : "ITEM-1", "itemData" : { "author" : [ { "dropping-particle" : "", "family" : "Gurney", "given" : "Kevin Robert", "non-dropping-particle" : "", "parse-names" : false, "suffix" : "" }, { "dropping-particle" : "", "family" : "Mendoza", "given" : "Daniel", "non-dropping-particle" : "", "parse-names" : false, "suffix" : "" }, { "dropping-particle" : "", "family" : "Geethakumar", "given" : "Sarath", "non-dropping-particle" : "", "parse-names" : false, "suffix" : "" }, { "dropping-particle" : "", "family" : "Zhou", "given" : "Yuyu", "non-dropping-particle" : "", "parse-names" : false, "suffix" : "" }, { "dropping-particle" : "", "family" : "Sahni", "given" : "Nalin", "non-dropping-particle" : "", "parse-names" : false, "suffix" : "" }, { "dropping-particle" : "", "family" : "Seib", "given" : "Broc", "non-dropping-particle" : "", "parse-names" : false, "suffix" : "" }, { "dropping-particle" : "", "family" : "Ansley", "given" : "William", "non-dropping-particle" : "", "parse-names" : false, "suffix" : "" } ], "id" : "ITEM-1", "issued" : { "date-parts" : [ [ "2010" ] ] }, "page" : "1-38", "title" : "Vulcan Science Methods Documentation , Version 2.0", "type" : "article-journal" }, "uris" : [ "http://www.mendeley.com/documents/?uuid=45e3fdd1-5fa0-4f79-87bf-60b80dc93b19" ] } ], "mendeley" : { "formattedCitation" : "(Gurney et al., 2010)", "plainTextFormattedCitation" : "(Gurney et al., 2010)", "previouslyFormattedCitation" : "(Gurney et al., 2010)" }, "properties" : { "noteIndex" : 0 }, "schema" : "https://github.com/citation-style-language/schema/raw/master/csl-citation.json" }</w:instrText>
      </w:r>
      <w:r w:rsidR="000B7F57">
        <w:rPr>
          <w:rFonts w:ascii="Palatino Linotype" w:hAnsi="Palatino Linotype"/>
          <w:szCs w:val="24"/>
        </w:rPr>
        <w:fldChar w:fldCharType="separate"/>
      </w:r>
      <w:r w:rsidR="00BF6C71" w:rsidRPr="00BF6C71">
        <w:rPr>
          <w:rFonts w:ascii="Palatino Linotype" w:hAnsi="Palatino Linotype"/>
          <w:noProof/>
          <w:szCs w:val="24"/>
        </w:rPr>
        <w:t>(Gurney et al., 2010)</w:t>
      </w:r>
      <w:r w:rsidR="000B7F57">
        <w:rPr>
          <w:rFonts w:ascii="Palatino Linotype" w:hAnsi="Palatino Linotype"/>
          <w:szCs w:val="24"/>
        </w:rPr>
        <w:fldChar w:fldCharType="end"/>
      </w:r>
      <w:r w:rsidRPr="0086350F">
        <w:rPr>
          <w:rFonts w:ascii="Palatino Linotype" w:hAnsi="Palatino Linotype"/>
          <w:szCs w:val="24"/>
        </w:rPr>
        <w:t xml:space="preserve">. To reduce the </w:t>
      </w:r>
      <w:r w:rsidRPr="0086350F">
        <w:rPr>
          <w:rFonts w:ascii="Palatino Linotype" w:hAnsi="Palatino Linotype"/>
          <w:szCs w:val="24"/>
        </w:rPr>
        <w:lastRenderedPageBreak/>
        <w:t>computational cost of running NONROAD2008 multiple times to generate weekday and weekend emissions estimates for every month in the growing season, we chose to use the annual CO</w:t>
      </w:r>
      <w:r w:rsidRPr="0086350F">
        <w:rPr>
          <w:rFonts w:ascii="Palatino Linotype" w:hAnsi="Palatino Linotype"/>
          <w:szCs w:val="24"/>
          <w:vertAlign w:val="subscript"/>
        </w:rPr>
        <w:t>2</w:t>
      </w:r>
      <w:r w:rsidRPr="0086350F">
        <w:rPr>
          <w:rFonts w:ascii="Palatino Linotype" w:hAnsi="Palatino Linotype"/>
          <w:szCs w:val="24"/>
        </w:rPr>
        <w:t xml:space="preserve"> estimates from NONROAD2008 and the temporal structure from the Vulcan ‘non-road’ emissions layer. The relative shares of each hourly emissions value in the Vulcan grid were distributed to our 2011 annual emissions on an hourly basis. Each hourly value of emissions in each Vulcan grid cell was divided by the total annual emissions for that Vulcan grid cell. For Vulcan grid cells that reported zero emissions for 2002, but contained non-zero emissions in our 2011 dataset, we used the time structure of the nearest non-zero Vulcan grid cell. In order to correctly align the weekday/weekend variations to our target year of 2013, we shifted the Vulcan hourly data (which starts on 00:00 Universal Standard Time, 1 January 2002) so that the first hour of the year matches the first hour of the year 2013 in our domain (00:00 Eastern Standard Time, 1 January, 2013). This shift was done by moving Vulcan emissions from the beginning of January to the end of December. The adjusted hourly shares of each Vulcan grid cell were then assigned to each of our 1km grid cells contained by the Vulcan grid cell, and those shares were used to distribute the 2011 annual CO</w:t>
      </w:r>
      <w:r w:rsidRPr="0086350F">
        <w:rPr>
          <w:rFonts w:ascii="Palatino Linotype" w:hAnsi="Palatino Linotype"/>
          <w:szCs w:val="24"/>
          <w:vertAlign w:val="subscript"/>
        </w:rPr>
        <w:t>2</w:t>
      </w:r>
      <w:r w:rsidRPr="0086350F">
        <w:rPr>
          <w:rFonts w:ascii="Palatino Linotype" w:hAnsi="Palatino Linotype"/>
          <w:szCs w:val="24"/>
        </w:rPr>
        <w:t xml:space="preserve"> estimates into 2013 hourly CO</w:t>
      </w:r>
      <w:r w:rsidRPr="0086350F">
        <w:rPr>
          <w:rFonts w:ascii="Palatino Linotype" w:hAnsi="Palatino Linotype"/>
          <w:szCs w:val="24"/>
          <w:vertAlign w:val="subscript"/>
        </w:rPr>
        <w:t>2</w:t>
      </w:r>
      <w:r w:rsidRPr="0086350F">
        <w:rPr>
          <w:rFonts w:ascii="Palatino Linotype" w:hAnsi="Palatino Linotype"/>
          <w:szCs w:val="24"/>
        </w:rPr>
        <w:t xml:space="preserve"> estimates. Hourly emissions were aggregated to monthly totals for the growing season.</w:t>
      </w:r>
    </w:p>
    <w:p w14:paraId="141B4497" w14:textId="77777777" w:rsidR="00CF37BD" w:rsidRPr="0086350F" w:rsidRDefault="00CF37BD">
      <w:pPr>
        <w:spacing w:line="360" w:lineRule="auto"/>
        <w:rPr>
          <w:rFonts w:ascii="Palatino Linotype" w:hAnsi="Palatino Linotype"/>
          <w:i/>
          <w:szCs w:val="24"/>
        </w:rPr>
      </w:pPr>
    </w:p>
    <w:p w14:paraId="75232001" w14:textId="4E4A73A9" w:rsidR="00CF37BD" w:rsidRPr="0086350F" w:rsidRDefault="00CF37BD">
      <w:pPr>
        <w:spacing w:line="360" w:lineRule="auto"/>
        <w:rPr>
          <w:rFonts w:ascii="Palatino Linotype" w:hAnsi="Palatino Linotype"/>
          <w:i/>
          <w:szCs w:val="24"/>
        </w:rPr>
      </w:pPr>
      <w:r w:rsidRPr="0086350F">
        <w:rPr>
          <w:rFonts w:ascii="Palatino Linotype" w:hAnsi="Palatino Linotype"/>
          <w:i/>
          <w:szCs w:val="24"/>
        </w:rPr>
        <w:t>S</w:t>
      </w:r>
      <w:r w:rsidR="00553610">
        <w:rPr>
          <w:rFonts w:ascii="Palatino Linotype" w:hAnsi="Palatino Linotype"/>
          <w:i/>
          <w:szCs w:val="24"/>
        </w:rPr>
        <w:t>3</w:t>
      </w:r>
      <w:r w:rsidRPr="0086350F">
        <w:rPr>
          <w:rFonts w:ascii="Palatino Linotype" w:hAnsi="Palatino Linotype"/>
          <w:i/>
          <w:szCs w:val="24"/>
        </w:rPr>
        <w:t>.5 Point Source Emissions</w:t>
      </w:r>
    </w:p>
    <w:p w14:paraId="5F8FCDAF" w14:textId="1F7D42A0" w:rsidR="00CF37BD" w:rsidRPr="0086350F" w:rsidRDefault="00CF37BD">
      <w:pPr>
        <w:spacing w:line="360" w:lineRule="auto"/>
        <w:rPr>
          <w:rFonts w:ascii="Palatino Linotype" w:hAnsi="Palatino Linotype"/>
          <w:szCs w:val="24"/>
        </w:rPr>
      </w:pPr>
      <w:r w:rsidRPr="0086350F">
        <w:rPr>
          <w:rFonts w:ascii="Palatino Linotype" w:hAnsi="Palatino Linotype"/>
          <w:szCs w:val="24"/>
        </w:rPr>
        <w:t>The NEI and GHGRP point source emissions files were partitioned into electricity generating and non-electricity generating facilities. For the NEI point sources, the reported CO emissions were converted into CO</w:t>
      </w:r>
      <w:r w:rsidRPr="0086350F">
        <w:rPr>
          <w:rFonts w:ascii="Palatino Linotype" w:hAnsi="Palatino Linotype"/>
          <w:szCs w:val="24"/>
          <w:vertAlign w:val="subscript"/>
        </w:rPr>
        <w:t>2</w:t>
      </w:r>
      <w:r w:rsidRPr="0086350F">
        <w:rPr>
          <w:rFonts w:ascii="Palatino Linotype" w:hAnsi="Palatino Linotype"/>
          <w:szCs w:val="24"/>
        </w:rPr>
        <w:t xml:space="preserve"> emissions using emissions factors from the EPA WEBFire database (</w:t>
      </w:r>
      <w:hyperlink r:id="rId14" w:history="1">
        <w:r w:rsidRPr="0086350F">
          <w:rPr>
            <w:rStyle w:val="Hyperlink"/>
            <w:rFonts w:ascii="Palatino Linotype" w:hAnsi="Palatino Linotype"/>
            <w:szCs w:val="24"/>
          </w:rPr>
          <w:t>http://cfpub.epa.gov/webfire/</w:t>
        </w:r>
      </w:hyperlink>
      <w:r w:rsidRPr="0086350F">
        <w:rPr>
          <w:rFonts w:ascii="Palatino Linotype" w:hAnsi="Palatino Linotype"/>
          <w:szCs w:val="24"/>
        </w:rPr>
        <w:t>) and from Gurney et al.</w:t>
      </w:r>
      <w:r w:rsidR="00E521FA">
        <w:rPr>
          <w:rFonts w:ascii="Palatino Linotype" w:hAnsi="Palatino Linotype"/>
          <w:szCs w:val="24"/>
        </w:rPr>
        <w:t xml:space="preserve"> </w:t>
      </w:r>
      <w:r w:rsidR="00E521FA">
        <w:rPr>
          <w:rFonts w:ascii="Palatino Linotype" w:hAnsi="Palatino Linotype"/>
          <w:szCs w:val="24"/>
        </w:rPr>
        <w:fldChar w:fldCharType="begin" w:fldLock="1"/>
      </w:r>
      <w:r w:rsidR="00E521FA">
        <w:rPr>
          <w:rFonts w:ascii="Palatino Linotype" w:hAnsi="Palatino Linotype"/>
          <w:szCs w:val="24"/>
        </w:rPr>
        <w:instrText>ADDIN CSL_CITATION { "citationItems" : [ { "id" : "ITEM-1", "itemData" : { "author" : [ { "dropping-particle" : "", "family" : "Gurney", "given" : "Kevin Robert", "non-dropping-particle" : "", "parse-names" : false, "suffix" : "" }, { "dropping-particle" : "", "family" : "Mendoza", "given" : "Daniel", "non-dropping-particle" : "", "parse-names" : false, "suffix" : "" }, { "dropping-particle" : "", "family" : "Geethakumar", "given" : "Sarath", "non-dropping-particle" : "", "parse-names" : false, "suffix" : "" }, { "dropping-particle" : "", "family" : "Zhou", "given" : "Yuyu", "non-dropping-particle" : "", "parse-names" : false, "suffix" : "" }, { "dropping-particle" : "", "family" : "Sahni", "given" : "Nalin", "non-dropping-particle" : "", "parse-names" : false, "suffix" : "" }, { "dropping-particle" : "", "family" : "Seib", "given" : "Broc", "non-dropping-particle" : "", "parse-names" : false, "suffix" : "" }, { "dropping-particle" : "", "family" : "Ansley", "given" : "William", "non-dropping-particle" : "", "parse-names" : false, "suffix" : "" } ], "id" : "ITEM-1", "issued" : { "date-parts" : [ [ "2010" ] ] }, "page" : "1-38", "title" : "Vulcan Science Methods Documentation , Version 2.0", "type" : "article-journal" }, "suppress-author" : 1, "uris" : [ "http://www.mendeley.com/documents/?uuid=45e3fdd1-5fa0-4f79-87bf-60b80dc93b19" ] } ], "mendeley" : { "formattedCitation" : "(2010)", "plainTextFormattedCitation" : "(2010)", "previouslyFormattedCitation" : "(2010)" }, "properties" : { "noteIndex" : 0 }, "schema" : "https://github.com/citation-style-language/schema/raw/master/csl-citation.json" }</w:instrText>
      </w:r>
      <w:r w:rsidR="00E521FA">
        <w:rPr>
          <w:rFonts w:ascii="Palatino Linotype" w:hAnsi="Palatino Linotype"/>
          <w:szCs w:val="24"/>
        </w:rPr>
        <w:fldChar w:fldCharType="separate"/>
      </w:r>
      <w:r w:rsidR="00E521FA" w:rsidRPr="00E521FA">
        <w:rPr>
          <w:rFonts w:ascii="Palatino Linotype" w:hAnsi="Palatino Linotype"/>
          <w:noProof/>
          <w:szCs w:val="24"/>
        </w:rPr>
        <w:t>(2010)</w:t>
      </w:r>
      <w:r w:rsidR="00E521FA">
        <w:rPr>
          <w:rFonts w:ascii="Palatino Linotype" w:hAnsi="Palatino Linotype"/>
          <w:szCs w:val="24"/>
        </w:rPr>
        <w:fldChar w:fldCharType="end"/>
      </w:r>
      <w:r w:rsidRPr="0086350F">
        <w:rPr>
          <w:rFonts w:ascii="Palatino Linotype" w:hAnsi="Palatino Linotype"/>
          <w:szCs w:val="24"/>
        </w:rPr>
        <w:t xml:space="preserve">. We also </w:t>
      </w:r>
      <w:r w:rsidRPr="0086350F">
        <w:rPr>
          <w:rFonts w:ascii="Palatino Linotype" w:hAnsi="Palatino Linotype"/>
          <w:szCs w:val="24"/>
        </w:rPr>
        <w:lastRenderedPageBreak/>
        <w:t>incorporated CO</w:t>
      </w:r>
      <w:r w:rsidRPr="0086350F">
        <w:rPr>
          <w:rFonts w:ascii="Palatino Linotype" w:hAnsi="Palatino Linotype"/>
          <w:szCs w:val="24"/>
          <w:vertAlign w:val="subscript"/>
        </w:rPr>
        <w:t>2</w:t>
      </w:r>
      <w:r w:rsidRPr="0086350F">
        <w:rPr>
          <w:rFonts w:ascii="Palatino Linotype" w:hAnsi="Palatino Linotype"/>
          <w:szCs w:val="24"/>
        </w:rPr>
        <w:t xml:space="preserve"> emissions from point sources that report under the GHGRP, as these emissions are directly reported by each facility as CO</w:t>
      </w:r>
      <w:r w:rsidRPr="0086350F">
        <w:rPr>
          <w:rFonts w:ascii="Palatino Linotype" w:hAnsi="Palatino Linotype"/>
          <w:szCs w:val="24"/>
          <w:vertAlign w:val="subscript"/>
        </w:rPr>
        <w:t>2</w:t>
      </w:r>
      <w:r w:rsidRPr="0086350F">
        <w:rPr>
          <w:rFonts w:ascii="Palatino Linotype" w:hAnsi="Palatino Linotype"/>
          <w:szCs w:val="24"/>
        </w:rPr>
        <w:t>, which reduces the potential errors associated with using CO to CO</w:t>
      </w:r>
      <w:r w:rsidRPr="0086350F">
        <w:rPr>
          <w:rFonts w:ascii="Palatino Linotype" w:hAnsi="Palatino Linotype"/>
          <w:szCs w:val="24"/>
          <w:vertAlign w:val="subscript"/>
        </w:rPr>
        <w:t>2</w:t>
      </w:r>
      <w:r w:rsidRPr="0086350F">
        <w:rPr>
          <w:rFonts w:ascii="Palatino Linotype" w:hAnsi="Palatino Linotype"/>
          <w:szCs w:val="24"/>
        </w:rPr>
        <w:t xml:space="preserve"> conversion factors as was done for the NEI point source facilities. To avoid double counting facilities whose emissions are reported in both the NEI and the GHGRP, we filtered the NEI point dataset to remove any facilities that matched GHGRP facilities. We used hourly energy consumption data reported by electric power generating stations as part of the EPA Air Markets Program Database (AMPD) (</w:t>
      </w:r>
      <w:hyperlink r:id="rId15" w:history="1">
        <w:r w:rsidRPr="0086350F">
          <w:rPr>
            <w:rStyle w:val="Hyperlink"/>
            <w:rFonts w:ascii="Palatino Linotype" w:hAnsi="Palatino Linotype"/>
            <w:szCs w:val="24"/>
          </w:rPr>
          <w:t>http://ampd.epa.gov/ampd/</w:t>
        </w:r>
      </w:hyperlink>
      <w:r w:rsidRPr="0086350F">
        <w:rPr>
          <w:rFonts w:ascii="Palatino Linotype" w:hAnsi="Palatino Linotype"/>
          <w:szCs w:val="24"/>
        </w:rPr>
        <w:t>) to temporally downscale annual emissions. Each facility reports the heat input in millions of British thermal units (BTUs) of the fuel combusted to generate power for each hour of the year. We summed the hourly heat input to an annual total for each facility, then divided each hour’s value by this total to generate hourly shares of activity for the facility. Each 1km grid cell was assigned the temporal structure of the nearest AMPD facility, and emissions in each grid cell were then partitioned into hourly emissions. Hourly emissions were then aggregated to monthly emissions for the growing season.</w:t>
      </w:r>
    </w:p>
    <w:p w14:paraId="2AD28E37" w14:textId="77777777" w:rsidR="00CF37BD" w:rsidRPr="0086350F" w:rsidRDefault="00CF37BD">
      <w:pPr>
        <w:spacing w:line="360" w:lineRule="auto"/>
        <w:rPr>
          <w:rFonts w:ascii="Palatino Linotype" w:hAnsi="Palatino Linotype"/>
          <w:szCs w:val="24"/>
        </w:rPr>
      </w:pPr>
    </w:p>
    <w:p w14:paraId="6AA68D13" w14:textId="77777777" w:rsidR="00CF37BD" w:rsidRPr="0086350F" w:rsidRDefault="00CF37BD">
      <w:pPr>
        <w:spacing w:line="360" w:lineRule="auto"/>
        <w:rPr>
          <w:rFonts w:ascii="Palatino Linotype" w:hAnsi="Palatino Linotype"/>
          <w:szCs w:val="24"/>
        </w:rPr>
      </w:pPr>
      <w:r w:rsidRPr="0086350F">
        <w:rPr>
          <w:rFonts w:ascii="Palatino Linotype" w:hAnsi="Palatino Linotype"/>
          <w:szCs w:val="24"/>
        </w:rPr>
        <w:t xml:space="preserve">The time structure procedure for the non-electricity generating point sources is similar to the electricity-generating facilities. Data on hourly heat input for facilities that were not electricity-generating facilities was obtained from AMPD for 2013. However, due to the widely varying temporal structure of activity in the non-electricity generating facilities reported in AMPD, we elected to use the average 2013 temporal structures of all the facilities in the domain to partition annual emissions from our NEI and GHGRP facilities into hourly emissions. Heat input in million BTUs were summed across all facilities for each of hour of the year, and then used to calculate the average hourly share of activity across all </w:t>
      </w:r>
      <w:r w:rsidRPr="0086350F">
        <w:rPr>
          <w:rFonts w:ascii="Palatino Linotype" w:hAnsi="Palatino Linotype"/>
          <w:szCs w:val="24"/>
        </w:rPr>
        <w:lastRenderedPageBreak/>
        <w:t>facilities. These hourly shares were then assigned to all of the non-electricity generating point source emissions in our 1km grid. Hourly emissions were aggregated to monthly emissions for the growing season.</w:t>
      </w:r>
    </w:p>
    <w:p w14:paraId="127EFB7B" w14:textId="77777777" w:rsidR="00CF37BD" w:rsidRPr="0086350F" w:rsidRDefault="00CF37BD">
      <w:pPr>
        <w:spacing w:line="360" w:lineRule="auto"/>
        <w:rPr>
          <w:rFonts w:ascii="Palatino Linotype" w:hAnsi="Palatino Linotype"/>
          <w:i/>
          <w:szCs w:val="24"/>
        </w:rPr>
      </w:pPr>
    </w:p>
    <w:p w14:paraId="2C824E8A" w14:textId="1943F583" w:rsidR="00CF37BD" w:rsidRPr="0086350F" w:rsidRDefault="00CF37BD">
      <w:pPr>
        <w:spacing w:line="360" w:lineRule="auto"/>
        <w:rPr>
          <w:rFonts w:ascii="Palatino Linotype" w:hAnsi="Palatino Linotype"/>
          <w:i/>
          <w:szCs w:val="24"/>
        </w:rPr>
      </w:pPr>
      <w:r w:rsidRPr="0086350F">
        <w:rPr>
          <w:rFonts w:ascii="Palatino Linotype" w:hAnsi="Palatino Linotype"/>
          <w:i/>
          <w:szCs w:val="24"/>
        </w:rPr>
        <w:t>S</w:t>
      </w:r>
      <w:r w:rsidR="00553610">
        <w:rPr>
          <w:rFonts w:ascii="Palatino Linotype" w:hAnsi="Palatino Linotype"/>
          <w:i/>
          <w:szCs w:val="24"/>
        </w:rPr>
        <w:t>3</w:t>
      </w:r>
      <w:r w:rsidRPr="0086350F">
        <w:rPr>
          <w:rFonts w:ascii="Palatino Linotype" w:hAnsi="Palatino Linotype"/>
          <w:i/>
          <w:szCs w:val="24"/>
        </w:rPr>
        <w:t>.6 Commercial Building Emissions</w:t>
      </w:r>
    </w:p>
    <w:p w14:paraId="1E0BC818" w14:textId="3DA3BCA2" w:rsidR="00CF37BD" w:rsidRPr="0086350F" w:rsidRDefault="00CF37BD">
      <w:pPr>
        <w:spacing w:line="360" w:lineRule="auto"/>
        <w:rPr>
          <w:rFonts w:ascii="Palatino Linotype" w:hAnsi="Palatino Linotype"/>
          <w:szCs w:val="24"/>
        </w:rPr>
      </w:pPr>
      <w:r w:rsidRPr="0086350F">
        <w:rPr>
          <w:rFonts w:ascii="Palatino Linotype" w:hAnsi="Palatino Linotype"/>
          <w:szCs w:val="24"/>
        </w:rPr>
        <w:t>Annual CO emissions from NEI are reported at the county scale for the commercial sector. We converted CO to CO</w:t>
      </w:r>
      <w:r w:rsidRPr="0086350F">
        <w:rPr>
          <w:rFonts w:ascii="Palatino Linotype" w:hAnsi="Palatino Linotype"/>
          <w:szCs w:val="24"/>
          <w:vertAlign w:val="subscript"/>
        </w:rPr>
        <w:t>2</w:t>
      </w:r>
      <w:r w:rsidRPr="0086350F">
        <w:rPr>
          <w:rFonts w:ascii="Palatino Linotype" w:hAnsi="Palatino Linotype"/>
          <w:szCs w:val="24"/>
        </w:rPr>
        <w:t xml:space="preserve"> using emissions factors from EPA’s WEBFire database and Gurney et al.</w:t>
      </w:r>
      <w:r w:rsidR="00E521FA">
        <w:rPr>
          <w:rFonts w:ascii="Palatino Linotype" w:hAnsi="Palatino Linotype"/>
          <w:szCs w:val="24"/>
        </w:rPr>
        <w:t xml:space="preserve"> </w:t>
      </w:r>
      <w:r w:rsidR="00E521FA">
        <w:rPr>
          <w:rFonts w:ascii="Palatino Linotype" w:hAnsi="Palatino Linotype"/>
          <w:szCs w:val="24"/>
        </w:rPr>
        <w:fldChar w:fldCharType="begin" w:fldLock="1"/>
      </w:r>
      <w:r w:rsidR="00E521FA">
        <w:rPr>
          <w:rFonts w:ascii="Palatino Linotype" w:hAnsi="Palatino Linotype"/>
          <w:szCs w:val="24"/>
        </w:rPr>
        <w:instrText>ADDIN CSL_CITATION { "citationItems" : [ { "id" : "ITEM-1", "itemData" : { "author" : [ { "dropping-particle" : "", "family" : "Gurney", "given" : "Kevin Robert", "non-dropping-particle" : "", "parse-names" : false, "suffix" : "" }, { "dropping-particle" : "", "family" : "Mendoza", "given" : "Daniel", "non-dropping-particle" : "", "parse-names" : false, "suffix" : "" }, { "dropping-particle" : "", "family" : "Geethakumar", "given" : "Sarath", "non-dropping-particle" : "", "parse-names" : false, "suffix" : "" }, { "dropping-particle" : "", "family" : "Zhou", "given" : "Yuyu", "non-dropping-particle" : "", "parse-names" : false, "suffix" : "" }, { "dropping-particle" : "", "family" : "Sahni", "given" : "Nalin", "non-dropping-particle" : "", "parse-names" : false, "suffix" : "" }, { "dropping-particle" : "", "family" : "Seib", "given" : "Broc", "non-dropping-particle" : "", "parse-names" : false, "suffix" : "" }, { "dropping-particle" : "", "family" : "Ansley", "given" : "William", "non-dropping-particle" : "", "parse-names" : false, "suffix" : "" } ], "id" : "ITEM-1", "issued" : { "date-parts" : [ [ "2010" ] ] }, "page" : "1-38", "title" : "Vulcan Science Methods Documentation , Version 2.0", "type" : "article-journal" }, "suppress-author" : 1, "uris" : [ "http://www.mendeley.com/documents/?uuid=45e3fdd1-5fa0-4f79-87bf-60b80dc93b19" ] } ], "mendeley" : { "formattedCitation" : "(2010)", "plainTextFormattedCitation" : "(2010)", "previouslyFormattedCitation" : "(2010)" }, "properties" : { "noteIndex" : 0 }, "schema" : "https://github.com/citation-style-language/schema/raw/master/csl-citation.json" }</w:instrText>
      </w:r>
      <w:r w:rsidR="00E521FA">
        <w:rPr>
          <w:rFonts w:ascii="Palatino Linotype" w:hAnsi="Palatino Linotype"/>
          <w:szCs w:val="24"/>
        </w:rPr>
        <w:fldChar w:fldCharType="separate"/>
      </w:r>
      <w:r w:rsidR="00E521FA" w:rsidRPr="00E521FA">
        <w:rPr>
          <w:rFonts w:ascii="Palatino Linotype" w:hAnsi="Palatino Linotype"/>
          <w:noProof/>
          <w:szCs w:val="24"/>
        </w:rPr>
        <w:t>(2010)</w:t>
      </w:r>
      <w:r w:rsidR="00E521FA">
        <w:rPr>
          <w:rFonts w:ascii="Palatino Linotype" w:hAnsi="Palatino Linotype"/>
          <w:szCs w:val="24"/>
        </w:rPr>
        <w:fldChar w:fldCharType="end"/>
      </w:r>
      <w:r w:rsidRPr="0086350F">
        <w:rPr>
          <w:rFonts w:ascii="Palatino Linotype" w:hAnsi="Palatino Linotype"/>
          <w:szCs w:val="24"/>
        </w:rPr>
        <w:t>. We downscaled county-level emissions using Tax Assessor Parcel data from the Boston Metropolitan Area Planning Council (http://www.mapc.org). Emissions were assigned to parcels whose land-use code identified them as commercial buildings based on each parcel’s share of total commercial building square footage in the county. We then aggregated parcel level emissions to our 1km grid.</w:t>
      </w:r>
    </w:p>
    <w:p w14:paraId="450810E4" w14:textId="77777777" w:rsidR="00CF37BD" w:rsidRPr="0086350F" w:rsidRDefault="00CF37BD">
      <w:pPr>
        <w:spacing w:line="360" w:lineRule="auto"/>
        <w:rPr>
          <w:rFonts w:ascii="Palatino Linotype" w:hAnsi="Palatino Linotype"/>
          <w:szCs w:val="24"/>
        </w:rPr>
      </w:pPr>
    </w:p>
    <w:p w14:paraId="617CE24D" w14:textId="77777777" w:rsidR="00CF37BD" w:rsidRPr="0086350F" w:rsidRDefault="00CF37BD">
      <w:pPr>
        <w:spacing w:line="360" w:lineRule="auto"/>
        <w:rPr>
          <w:rFonts w:ascii="Palatino Linotype" w:hAnsi="Palatino Linotype"/>
          <w:szCs w:val="24"/>
        </w:rPr>
      </w:pPr>
      <w:r w:rsidRPr="0086350F">
        <w:rPr>
          <w:rFonts w:ascii="Palatino Linotype" w:hAnsi="Palatino Linotype"/>
          <w:szCs w:val="24"/>
        </w:rPr>
        <w:t xml:space="preserve">We use data on the monthly consumption of natural gas for commercial purposes as a proxy to disaggregate annual commercial emissions to monthly emissions. This data was obtained for the year 2013 from the Energy Information Administration’s State Energy Data System (SEDS) available at </w:t>
      </w:r>
      <w:hyperlink r:id="rId16" w:history="1">
        <w:r w:rsidRPr="0086350F">
          <w:rPr>
            <w:rStyle w:val="Hyperlink"/>
            <w:rFonts w:ascii="Palatino Linotype" w:hAnsi="Palatino Linotype"/>
            <w:szCs w:val="24"/>
          </w:rPr>
          <w:t>http://www.eia.gov/state/seds</w:t>
        </w:r>
      </w:hyperlink>
      <w:r w:rsidRPr="0086350F">
        <w:rPr>
          <w:rFonts w:ascii="Palatino Linotype" w:hAnsi="Palatino Linotype"/>
          <w:szCs w:val="24"/>
        </w:rPr>
        <w:t xml:space="preserve">. </w:t>
      </w:r>
    </w:p>
    <w:p w14:paraId="0F029E42" w14:textId="77777777" w:rsidR="00CF37BD" w:rsidRPr="0086350F" w:rsidRDefault="00CF37BD">
      <w:pPr>
        <w:spacing w:line="360" w:lineRule="auto"/>
        <w:rPr>
          <w:rFonts w:ascii="Palatino Linotype" w:hAnsi="Palatino Linotype"/>
          <w:i/>
          <w:szCs w:val="24"/>
        </w:rPr>
      </w:pPr>
    </w:p>
    <w:p w14:paraId="727E0E3C" w14:textId="5F2E5145" w:rsidR="00CF37BD" w:rsidRPr="0086350F" w:rsidRDefault="00CF37BD">
      <w:pPr>
        <w:spacing w:line="360" w:lineRule="auto"/>
        <w:rPr>
          <w:rFonts w:ascii="Palatino Linotype" w:hAnsi="Palatino Linotype"/>
          <w:i/>
          <w:szCs w:val="24"/>
        </w:rPr>
      </w:pPr>
      <w:r w:rsidRPr="0086350F">
        <w:rPr>
          <w:rFonts w:ascii="Palatino Linotype" w:hAnsi="Palatino Linotype"/>
          <w:i/>
          <w:szCs w:val="24"/>
        </w:rPr>
        <w:t>S</w:t>
      </w:r>
      <w:r w:rsidR="00553610">
        <w:rPr>
          <w:rFonts w:ascii="Palatino Linotype" w:hAnsi="Palatino Linotype"/>
          <w:i/>
          <w:szCs w:val="24"/>
        </w:rPr>
        <w:t>3</w:t>
      </w:r>
      <w:r w:rsidRPr="0086350F">
        <w:rPr>
          <w:rFonts w:ascii="Palatino Linotype" w:hAnsi="Palatino Linotype"/>
          <w:i/>
          <w:szCs w:val="24"/>
        </w:rPr>
        <w:t>.7 Residential Building Emissions</w:t>
      </w:r>
    </w:p>
    <w:p w14:paraId="68F4FFD7" w14:textId="46A41F8B" w:rsidR="00CF37BD" w:rsidRPr="0086350F" w:rsidRDefault="00CF37BD">
      <w:pPr>
        <w:spacing w:line="360" w:lineRule="auto"/>
        <w:rPr>
          <w:rFonts w:ascii="Palatino Linotype" w:hAnsi="Palatino Linotype"/>
          <w:szCs w:val="24"/>
        </w:rPr>
      </w:pPr>
      <w:r w:rsidRPr="0086350F">
        <w:rPr>
          <w:rFonts w:ascii="Palatino Linotype" w:hAnsi="Palatino Linotype"/>
          <w:szCs w:val="24"/>
        </w:rPr>
        <w:t>Annual CO emissions from NEI are reported at the county scale for the residential sector. We converted CO to CO</w:t>
      </w:r>
      <w:r w:rsidRPr="0086350F">
        <w:rPr>
          <w:rFonts w:ascii="Palatino Linotype" w:hAnsi="Palatino Linotype"/>
          <w:szCs w:val="24"/>
          <w:vertAlign w:val="subscript"/>
        </w:rPr>
        <w:t>2</w:t>
      </w:r>
      <w:r w:rsidRPr="0086350F">
        <w:rPr>
          <w:rFonts w:ascii="Palatino Linotype" w:hAnsi="Palatino Linotype"/>
          <w:szCs w:val="24"/>
        </w:rPr>
        <w:t xml:space="preserve"> using emissions factors from EPA’s WEBF</w:t>
      </w:r>
      <w:r w:rsidR="000B7F57">
        <w:rPr>
          <w:rFonts w:ascii="Palatino Linotype" w:hAnsi="Palatino Linotype"/>
          <w:szCs w:val="24"/>
        </w:rPr>
        <w:t>ire database and Gurney et al.</w:t>
      </w:r>
      <w:r w:rsidR="00E521FA">
        <w:rPr>
          <w:rFonts w:ascii="Palatino Linotype" w:hAnsi="Palatino Linotype"/>
          <w:szCs w:val="24"/>
        </w:rPr>
        <w:t xml:space="preserve"> </w:t>
      </w:r>
      <w:r w:rsidR="00E521FA">
        <w:rPr>
          <w:rFonts w:ascii="Palatino Linotype" w:hAnsi="Palatino Linotype"/>
          <w:szCs w:val="24"/>
        </w:rPr>
        <w:fldChar w:fldCharType="begin" w:fldLock="1"/>
      </w:r>
      <w:r w:rsidR="00E521FA">
        <w:rPr>
          <w:rFonts w:ascii="Palatino Linotype" w:hAnsi="Palatino Linotype"/>
          <w:szCs w:val="24"/>
        </w:rPr>
        <w:instrText>ADDIN CSL_CITATION { "citationItems" : [ { "id" : "ITEM-1", "itemData" : { "author" : [ { "dropping-particle" : "", "family" : "Gurney", "given" : "Kevin Robert", "non-dropping-particle" : "", "parse-names" : false, "suffix" : "" }, { "dropping-particle" : "", "family" : "Mendoza", "given" : "Daniel", "non-dropping-particle" : "", "parse-names" : false, "suffix" : "" }, { "dropping-particle" : "", "family" : "Geethakumar", "given" : "Sarath", "non-dropping-particle" : "", "parse-names" : false, "suffix" : "" }, { "dropping-particle" : "", "family" : "Zhou", "given" : "Yuyu", "non-dropping-particle" : "", "parse-names" : false, "suffix" : "" }, { "dropping-particle" : "", "family" : "Sahni", "given" : "Nalin", "non-dropping-particle" : "", "parse-names" : false, "suffix" : "" }, { "dropping-particle" : "", "family" : "Seib", "given" : "Broc", "non-dropping-particle" : "", "parse-names" : false, "suffix" : "" }, { "dropping-particle" : "", "family" : "Ansley", "given" : "William", "non-dropping-particle" : "", "parse-names" : false, "suffix" : "" } ], "id" : "ITEM-1", "issued" : { "date-parts" : [ [ "2010" ] ] }, "page" : "1-38", "title" : "Vulcan Science Methods Documentation , Version 2.0", "type" : "article-journal" }, "suppress-author" : 1, "uris" : [ "http://www.mendeley.com/documents/?uuid=45e3fdd1-5fa0-4f79-87bf-60b80dc93b19" ] } ], "mendeley" : { "formattedCitation" : "(2010)", "plainTextFormattedCitation" : "(2010)", "previouslyFormattedCitation" : "(2010)" }, "properties" : { "noteIndex" : 0 }, "schema" : "https://github.com/citation-style-language/schema/raw/master/csl-citation.json" }</w:instrText>
      </w:r>
      <w:r w:rsidR="00E521FA">
        <w:rPr>
          <w:rFonts w:ascii="Palatino Linotype" w:hAnsi="Palatino Linotype"/>
          <w:szCs w:val="24"/>
        </w:rPr>
        <w:fldChar w:fldCharType="separate"/>
      </w:r>
      <w:r w:rsidR="00E521FA" w:rsidRPr="00E521FA">
        <w:rPr>
          <w:rFonts w:ascii="Palatino Linotype" w:hAnsi="Palatino Linotype"/>
          <w:noProof/>
          <w:szCs w:val="24"/>
        </w:rPr>
        <w:t>(2010)</w:t>
      </w:r>
      <w:r w:rsidR="00E521FA">
        <w:rPr>
          <w:rFonts w:ascii="Palatino Linotype" w:hAnsi="Palatino Linotype"/>
          <w:szCs w:val="24"/>
        </w:rPr>
        <w:fldChar w:fldCharType="end"/>
      </w:r>
      <w:r w:rsidR="00314F96">
        <w:rPr>
          <w:rFonts w:ascii="Palatino Linotype" w:hAnsi="Palatino Linotype"/>
          <w:szCs w:val="24"/>
        </w:rPr>
        <w:t xml:space="preserve">. </w:t>
      </w:r>
      <w:r w:rsidRPr="0086350F">
        <w:rPr>
          <w:rFonts w:ascii="Palatino Linotype" w:hAnsi="Palatino Linotype"/>
          <w:szCs w:val="24"/>
        </w:rPr>
        <w:t xml:space="preserve">To downscale emissions from the county scale, only the number of households in each Census Block Group (BG) that use the following fuels to heat their homes were included: natural gas, </w:t>
      </w:r>
      <w:r w:rsidRPr="0086350F">
        <w:rPr>
          <w:rFonts w:ascii="Palatino Linotype" w:hAnsi="Palatino Linotype"/>
          <w:szCs w:val="24"/>
        </w:rPr>
        <w:lastRenderedPageBreak/>
        <w:t xml:space="preserve">heating oil, coal, wood, and LPG. We calculated the total number of households in each county that used each fuel type, and then applied each BG’s share of total households by fuel type to allocate county-level emissions by fuel type to each BG. Emissions from all fuel types were then summed in each BG, and the average emissions per-square meter were calculated. The BG polygons were then intersected with our 1km grid in ArcGIS, and emissions were summed by grid cell. A monthly time structure was assigned to emissions in each grid cell using the same method as for commercial sector emissions, with the only difference being that monthly emissions shares were obtained using the monthly natural gas consumption date from SEDS for the residential sector rather than the commercial sector. </w:t>
      </w:r>
    </w:p>
    <w:p w14:paraId="1A07D89D" w14:textId="77777777" w:rsidR="00CF37BD" w:rsidRPr="0086350F" w:rsidRDefault="00CF37BD">
      <w:pPr>
        <w:spacing w:line="360" w:lineRule="auto"/>
        <w:rPr>
          <w:rFonts w:ascii="Palatino Linotype" w:hAnsi="Palatino Linotype"/>
          <w:i/>
          <w:szCs w:val="24"/>
        </w:rPr>
      </w:pPr>
    </w:p>
    <w:p w14:paraId="3A0DBC07" w14:textId="28E9443C" w:rsidR="00CF37BD" w:rsidRDefault="00CF37BD">
      <w:pPr>
        <w:spacing w:line="360" w:lineRule="auto"/>
        <w:rPr>
          <w:rFonts w:ascii="Palatino Linotype" w:hAnsi="Palatino Linotype"/>
          <w:szCs w:val="24"/>
        </w:rPr>
      </w:pPr>
      <w:r w:rsidRPr="0086350F">
        <w:rPr>
          <w:rFonts w:ascii="Palatino Linotype" w:hAnsi="Palatino Linotype"/>
          <w:i/>
          <w:szCs w:val="24"/>
        </w:rPr>
        <w:t>S</w:t>
      </w:r>
      <w:r w:rsidR="00553610">
        <w:rPr>
          <w:rFonts w:ascii="Palatino Linotype" w:hAnsi="Palatino Linotype"/>
          <w:i/>
          <w:szCs w:val="24"/>
        </w:rPr>
        <w:t>3</w:t>
      </w:r>
      <w:r w:rsidRPr="0086350F">
        <w:rPr>
          <w:rFonts w:ascii="Palatino Linotype" w:hAnsi="Palatino Linotype"/>
          <w:i/>
          <w:szCs w:val="24"/>
        </w:rPr>
        <w:t>.8 Non-Point Industrial Emissions</w:t>
      </w:r>
      <w:r w:rsidRPr="0086350F">
        <w:rPr>
          <w:rFonts w:ascii="Palatino Linotype" w:hAnsi="Palatino Linotype"/>
          <w:i/>
          <w:szCs w:val="24"/>
        </w:rPr>
        <w:br/>
      </w:r>
      <w:r w:rsidRPr="0086350F">
        <w:rPr>
          <w:rFonts w:ascii="Palatino Linotype" w:hAnsi="Palatino Linotype"/>
          <w:szCs w:val="24"/>
        </w:rPr>
        <w:t>Annual CO emissions from NEI were obtained at the county scale for the industrial sector. We converted CO to CO</w:t>
      </w:r>
      <w:r w:rsidRPr="0086350F">
        <w:rPr>
          <w:rFonts w:ascii="Palatino Linotype" w:hAnsi="Palatino Linotype"/>
          <w:szCs w:val="24"/>
          <w:vertAlign w:val="subscript"/>
        </w:rPr>
        <w:t>2</w:t>
      </w:r>
      <w:r w:rsidRPr="0086350F">
        <w:rPr>
          <w:rFonts w:ascii="Palatino Linotype" w:hAnsi="Palatino Linotype"/>
          <w:szCs w:val="24"/>
        </w:rPr>
        <w:t xml:space="preserve"> using emissions factors from EPA’s WEBFir</w:t>
      </w:r>
      <w:r w:rsidR="00314F96">
        <w:rPr>
          <w:rFonts w:ascii="Palatino Linotype" w:hAnsi="Palatino Linotype"/>
          <w:szCs w:val="24"/>
        </w:rPr>
        <w:t>e database and Gurney et al.</w:t>
      </w:r>
      <w:r w:rsidR="00E521FA">
        <w:rPr>
          <w:rFonts w:ascii="Palatino Linotype" w:hAnsi="Palatino Linotype"/>
          <w:szCs w:val="24"/>
        </w:rPr>
        <w:t xml:space="preserve"> </w:t>
      </w:r>
      <w:r w:rsidR="00E521FA">
        <w:rPr>
          <w:rFonts w:ascii="Palatino Linotype" w:hAnsi="Palatino Linotype"/>
          <w:szCs w:val="24"/>
        </w:rPr>
        <w:fldChar w:fldCharType="begin" w:fldLock="1"/>
      </w:r>
      <w:r w:rsidR="00E521FA">
        <w:rPr>
          <w:rFonts w:ascii="Palatino Linotype" w:hAnsi="Palatino Linotype"/>
          <w:szCs w:val="24"/>
        </w:rPr>
        <w:instrText>ADDIN CSL_CITATION { "citationItems" : [ { "id" : "ITEM-1", "itemData" : { "author" : [ { "dropping-particle" : "", "family" : "Gurney", "given" : "Kevin Robert", "non-dropping-particle" : "", "parse-names" : false, "suffix" : "" }, { "dropping-particle" : "", "family" : "Mendoza", "given" : "Daniel", "non-dropping-particle" : "", "parse-names" : false, "suffix" : "" }, { "dropping-particle" : "", "family" : "Geethakumar", "given" : "Sarath", "non-dropping-particle" : "", "parse-names" : false, "suffix" : "" }, { "dropping-particle" : "", "family" : "Zhou", "given" : "Yuyu", "non-dropping-particle" : "", "parse-names" : false, "suffix" : "" }, { "dropping-particle" : "", "family" : "Sahni", "given" : "Nalin", "non-dropping-particle" : "", "parse-names" : false, "suffix" : "" }, { "dropping-particle" : "", "family" : "Seib", "given" : "Broc", "non-dropping-particle" : "", "parse-names" : false, "suffix" : "" }, { "dropping-particle" : "", "family" : "Ansley", "given" : "William", "non-dropping-particle" : "", "parse-names" : false, "suffix" : "" } ], "id" : "ITEM-1", "issued" : { "date-parts" : [ [ "2010" ] ] }, "page" : "1-38", "title" : "Vulcan Science Methods Documentation , Version 2.0", "type" : "article-journal" }, "suppress-author" : 1, "uris" : [ "http://www.mendeley.com/documents/?uuid=45e3fdd1-5fa0-4f79-87bf-60b80dc93b19" ] } ], "mendeley" : { "formattedCitation" : "(2010)", "plainTextFormattedCitation" : "(2010)", "previouslyFormattedCitation" : "(2010)" }, "properties" : { "noteIndex" : 0 }, "schema" : "https://github.com/citation-style-language/schema/raw/master/csl-citation.json" }</w:instrText>
      </w:r>
      <w:r w:rsidR="00E521FA">
        <w:rPr>
          <w:rFonts w:ascii="Palatino Linotype" w:hAnsi="Palatino Linotype"/>
          <w:szCs w:val="24"/>
        </w:rPr>
        <w:fldChar w:fldCharType="separate"/>
      </w:r>
      <w:r w:rsidR="00E521FA" w:rsidRPr="00E521FA">
        <w:rPr>
          <w:rFonts w:ascii="Palatino Linotype" w:hAnsi="Palatino Linotype"/>
          <w:noProof/>
          <w:szCs w:val="24"/>
        </w:rPr>
        <w:t>(2010)</w:t>
      </w:r>
      <w:r w:rsidR="00E521FA">
        <w:rPr>
          <w:rFonts w:ascii="Palatino Linotype" w:hAnsi="Palatino Linotype"/>
          <w:szCs w:val="24"/>
        </w:rPr>
        <w:fldChar w:fldCharType="end"/>
      </w:r>
      <w:r w:rsidRPr="0086350F">
        <w:rPr>
          <w:rFonts w:ascii="Palatino Linotype" w:hAnsi="Palatino Linotype"/>
          <w:szCs w:val="24"/>
        </w:rPr>
        <w:t>.</w:t>
      </w:r>
      <w:r w:rsidRPr="0086350F">
        <w:rPr>
          <w:rFonts w:ascii="Palatino Linotype" w:hAnsi="Palatino Linotype"/>
          <w:b/>
          <w:szCs w:val="24"/>
        </w:rPr>
        <w:t xml:space="preserve"> </w:t>
      </w:r>
      <w:r w:rsidRPr="0086350F">
        <w:rPr>
          <w:rFonts w:ascii="Palatino Linotype" w:hAnsi="Palatino Linotype"/>
          <w:szCs w:val="24"/>
        </w:rPr>
        <w:t xml:space="preserve">Industrial emissions were assigned uniformly across each county, as no data on the sub-county spatial distribution of emissions were available, and then aggregated to the 1 km grid. The time structure of industrial non-point emissions </w:t>
      </w:r>
      <w:r w:rsidR="00BF6C71" w:rsidRPr="0086350F">
        <w:rPr>
          <w:rFonts w:ascii="Palatino Linotype" w:hAnsi="Palatino Linotype"/>
          <w:szCs w:val="24"/>
        </w:rPr>
        <w:t>was</w:t>
      </w:r>
      <w:r w:rsidRPr="0086350F">
        <w:rPr>
          <w:rFonts w:ascii="Palatino Linotype" w:hAnsi="Palatino Linotype"/>
          <w:szCs w:val="24"/>
        </w:rPr>
        <w:t xml:space="preserve"> calculated using the same methodology as for the commercial sector emissions. Data from SEDS on the monthly shares of natural gas consumption by the industrial sector contained a large number of missing values. </w:t>
      </w:r>
      <w:r w:rsidR="00DC72CD" w:rsidRPr="0086350F">
        <w:rPr>
          <w:rFonts w:ascii="Palatino Linotype" w:hAnsi="Palatino Linotype"/>
          <w:szCs w:val="24"/>
        </w:rPr>
        <w:t>Therefore,</w:t>
      </w:r>
      <w:r w:rsidRPr="0086350F">
        <w:rPr>
          <w:rFonts w:ascii="Palatino Linotype" w:hAnsi="Palatino Linotype"/>
          <w:szCs w:val="24"/>
        </w:rPr>
        <w:t xml:space="preserve"> we elected to use the monthly shares for the commercial sector to calculate monthly shares for the non-point industrial sector.</w:t>
      </w:r>
    </w:p>
    <w:p w14:paraId="3BF32CD6" w14:textId="77777777" w:rsidR="009E7A28" w:rsidRDefault="009E7A28">
      <w:pPr>
        <w:spacing w:line="360" w:lineRule="auto"/>
        <w:rPr>
          <w:rFonts w:ascii="Palatino Linotype" w:hAnsi="Palatino Linotype"/>
          <w:szCs w:val="24"/>
        </w:rPr>
      </w:pPr>
    </w:p>
    <w:p w14:paraId="7B0BF4D7" w14:textId="4E4124F4" w:rsidR="009E7A28" w:rsidRPr="009E7A28" w:rsidRDefault="009E7A28">
      <w:pPr>
        <w:spacing w:line="360" w:lineRule="auto"/>
        <w:rPr>
          <w:rFonts w:ascii="Palatino Linotype" w:hAnsi="Palatino Linotype"/>
          <w:i/>
          <w:szCs w:val="24"/>
        </w:rPr>
      </w:pPr>
      <w:r>
        <w:rPr>
          <w:rFonts w:ascii="Palatino Linotype" w:hAnsi="Palatino Linotype"/>
          <w:i/>
          <w:szCs w:val="24"/>
        </w:rPr>
        <w:t>S</w:t>
      </w:r>
      <w:r w:rsidR="00553610">
        <w:rPr>
          <w:rFonts w:ascii="Palatino Linotype" w:hAnsi="Palatino Linotype"/>
          <w:i/>
          <w:szCs w:val="24"/>
        </w:rPr>
        <w:t>3</w:t>
      </w:r>
      <w:r>
        <w:rPr>
          <w:rFonts w:ascii="Palatino Linotype" w:hAnsi="Palatino Linotype"/>
          <w:i/>
          <w:szCs w:val="24"/>
        </w:rPr>
        <w:t xml:space="preserve">.9 </w:t>
      </w:r>
      <w:r w:rsidRPr="009E7A28">
        <w:rPr>
          <w:rFonts w:ascii="Palatino Linotype" w:hAnsi="Palatino Linotype"/>
          <w:i/>
          <w:szCs w:val="24"/>
        </w:rPr>
        <w:t xml:space="preserve">Human Respiration </w:t>
      </w:r>
    </w:p>
    <w:p w14:paraId="14BCD9EA" w14:textId="1474A019" w:rsidR="00CF37BD" w:rsidRPr="009E7A28" w:rsidRDefault="009E7A28">
      <w:pPr>
        <w:pStyle w:val="Default"/>
        <w:spacing w:line="360" w:lineRule="auto"/>
        <w:rPr>
          <w:rFonts w:ascii="Palatino Linotype" w:hAnsi="Palatino Linotype"/>
        </w:rPr>
      </w:pPr>
      <w:r>
        <w:rPr>
          <w:rFonts w:ascii="Palatino Linotype" w:eastAsia="Times New Roman" w:hAnsi="Palatino Linotype" w:cs="Times New Roman"/>
          <w:color w:val="auto"/>
        </w:rPr>
        <w:lastRenderedPageBreak/>
        <w:t xml:space="preserve">Estimates of human respiration were derived from </w:t>
      </w:r>
      <w:r w:rsidR="00901F6D">
        <w:rPr>
          <w:rFonts w:ascii="Palatino Linotype" w:eastAsia="Times New Roman" w:hAnsi="Palatino Linotype" w:cs="Times New Roman"/>
          <w:color w:val="auto"/>
        </w:rPr>
        <w:t>LandScan</w:t>
      </w:r>
      <w:r w:rsidR="00D82FA0">
        <w:rPr>
          <w:rFonts w:ascii="Palatino Linotype" w:eastAsia="Times New Roman" w:hAnsi="Palatino Linotype" w:cs="Times New Roman"/>
          <w:color w:val="auto"/>
        </w:rPr>
        <w:t xml:space="preserve"> </w:t>
      </w:r>
      <w:r>
        <w:rPr>
          <w:rFonts w:ascii="Palatino Linotype" w:eastAsia="Times New Roman" w:hAnsi="Palatino Linotype" w:cs="Times New Roman"/>
          <w:color w:val="auto"/>
        </w:rPr>
        <w:t xml:space="preserve">1km gridded </w:t>
      </w:r>
      <w:r w:rsidR="00D82FA0">
        <w:rPr>
          <w:rFonts w:ascii="Palatino Linotype" w:eastAsia="Times New Roman" w:hAnsi="Palatino Linotype" w:cs="Times New Roman"/>
          <w:color w:val="auto"/>
        </w:rPr>
        <w:t xml:space="preserve">2013 </w:t>
      </w:r>
      <w:r w:rsidRPr="009E7A28">
        <w:rPr>
          <w:rFonts w:ascii="Palatino Linotype" w:eastAsia="Times New Roman" w:hAnsi="Palatino Linotype" w:cs="Times New Roman"/>
          <w:color w:val="auto"/>
        </w:rPr>
        <w:t>average daily population</w:t>
      </w:r>
      <w:r>
        <w:rPr>
          <w:rFonts w:ascii="Palatino Linotype" w:eastAsia="Times New Roman" w:hAnsi="Palatino Linotype" w:cs="Times New Roman"/>
          <w:color w:val="auto"/>
        </w:rPr>
        <w:t xml:space="preserve"> </w:t>
      </w:r>
      <w:r w:rsidR="00E521FA">
        <w:rPr>
          <w:rFonts w:ascii="Palatino Linotype" w:eastAsia="Times New Roman" w:hAnsi="Palatino Linotype" w:cs="Times New Roman"/>
          <w:color w:val="auto"/>
        </w:rPr>
        <w:fldChar w:fldCharType="begin" w:fldLock="1"/>
      </w:r>
      <w:r w:rsidR="000C0119">
        <w:rPr>
          <w:rFonts w:ascii="Palatino Linotype" w:eastAsia="Times New Roman" w:hAnsi="Palatino Linotype" w:cs="Times New Roman"/>
          <w:color w:val="auto"/>
        </w:rPr>
        <w:instrText>ADDIN CSL_CITATION { "citationItems" : [ { "id" : "ITEM-1", "itemData" : { "URL" : "http://web.ornl.gov/sci/landscan/", "author" : [ { "dropping-particle" : "", "family" : "ORNL", "given" : "", "non-dropping-particle" : "", "parse-names" : false, "suffix" : "" } ], "container-title" : "Oak Ridge National Lab", "id" : "ITEM-1", "issued" : { "date-parts" : [ [ "2014" ] ] }, "title" : "LandScan 2013", "type" : "webpage" }, "uris" : [ "http://www.mendeley.com/documents/?uuid=6bac9892-35a1-4b7d-81a3-1d829d9760a7" ] } ], "mendeley" : { "formattedCitation" : "(ORNL, 2014)", "plainTextFormattedCitation" : "(ORNL, 2014)", "previouslyFormattedCitation" : "(ORNL, 2014)" }, "properties" : { "noteIndex" : 0 }, "schema" : "https://github.com/citation-style-language/schema/raw/master/csl-citation.json" }</w:instrText>
      </w:r>
      <w:r w:rsidR="00E521FA">
        <w:rPr>
          <w:rFonts w:ascii="Palatino Linotype" w:eastAsia="Times New Roman" w:hAnsi="Palatino Linotype" w:cs="Times New Roman"/>
          <w:color w:val="auto"/>
        </w:rPr>
        <w:fldChar w:fldCharType="separate"/>
      </w:r>
      <w:r w:rsidR="00BF6C71" w:rsidRPr="00BF6C71">
        <w:rPr>
          <w:rFonts w:ascii="Palatino Linotype" w:eastAsia="Times New Roman" w:hAnsi="Palatino Linotype" w:cs="Times New Roman"/>
          <w:noProof/>
          <w:color w:val="auto"/>
        </w:rPr>
        <w:t>(ORNL, 2014)</w:t>
      </w:r>
      <w:r w:rsidR="00E521FA">
        <w:rPr>
          <w:rFonts w:ascii="Palatino Linotype" w:eastAsia="Times New Roman" w:hAnsi="Palatino Linotype" w:cs="Times New Roman"/>
          <w:color w:val="auto"/>
        </w:rPr>
        <w:fldChar w:fldCharType="end"/>
      </w:r>
      <w:r>
        <w:rPr>
          <w:rFonts w:ascii="Palatino Linotype" w:eastAsia="Times New Roman" w:hAnsi="Palatino Linotype" w:cs="Times New Roman"/>
          <w:color w:val="auto"/>
        </w:rPr>
        <w:t xml:space="preserve"> using</w:t>
      </w:r>
      <w:r w:rsidRPr="009E7A28">
        <w:rPr>
          <w:rFonts w:ascii="Palatino Linotype" w:eastAsia="Times New Roman" w:hAnsi="Palatino Linotype" w:cs="Times New Roman"/>
          <w:color w:val="auto"/>
        </w:rPr>
        <w:t xml:space="preserve"> an estimate of mean per-capita CO</w:t>
      </w:r>
      <w:r w:rsidRPr="009E7A28">
        <w:rPr>
          <w:rFonts w:ascii="Palatino Linotype" w:eastAsia="Times New Roman" w:hAnsi="Palatino Linotype" w:cs="Times New Roman"/>
          <w:color w:val="auto"/>
          <w:vertAlign w:val="subscript"/>
        </w:rPr>
        <w:t>2</w:t>
      </w:r>
      <w:r w:rsidRPr="009E7A28">
        <w:rPr>
          <w:rFonts w:ascii="Palatino Linotype" w:eastAsia="Times New Roman" w:hAnsi="Palatino Linotype" w:cs="Times New Roman"/>
          <w:color w:val="auto"/>
        </w:rPr>
        <w:t xml:space="preserve"> respir</w:t>
      </w:r>
      <w:r>
        <w:rPr>
          <w:rFonts w:ascii="Palatino Linotype" w:eastAsia="Times New Roman" w:hAnsi="Palatino Linotype" w:cs="Times New Roman"/>
          <w:color w:val="auto"/>
        </w:rPr>
        <w:t xml:space="preserve">atory </w:t>
      </w:r>
      <w:r w:rsidRPr="009E7A28">
        <w:rPr>
          <w:rFonts w:ascii="Palatino Linotype" w:eastAsia="Times New Roman" w:hAnsi="Palatino Linotype" w:cs="Times New Roman"/>
          <w:color w:val="auto"/>
        </w:rPr>
        <w:t xml:space="preserve">flux </w:t>
      </w:r>
      <w:r>
        <w:rPr>
          <w:rFonts w:ascii="Palatino Linotype" w:eastAsia="Times New Roman" w:hAnsi="Palatino Linotype" w:cs="Times New Roman"/>
          <w:color w:val="auto"/>
        </w:rPr>
        <w:t xml:space="preserve">of 257 g C/person/day </w:t>
      </w:r>
      <w:r w:rsidR="001B3508">
        <w:rPr>
          <w:rFonts w:ascii="Palatino Linotype" w:eastAsia="Times New Roman" w:hAnsi="Palatino Linotype" w:cs="Times New Roman"/>
          <w:color w:val="auto"/>
        </w:rPr>
        <w:fldChar w:fldCharType="begin" w:fldLock="1"/>
      </w:r>
      <w:r w:rsidR="000C0119">
        <w:rPr>
          <w:rFonts w:ascii="Palatino Linotype" w:eastAsia="Times New Roman" w:hAnsi="Palatino Linotype" w:cs="Times New Roman"/>
          <w:color w:val="auto"/>
        </w:rPr>
        <w:instrText>ADDIN CSL_CITATION { "citationItems" : [ { "id" : "ITEM-1", "itemData" : { "DOI" : "10.5194/bg-4-215-2007", "author" : [ { "dropping-particle" : "", "family" : "Prairie", "given" : "Y T", "non-dropping-particle" : "", "parse-names" : false, "suffix" : "" }, { "dropping-particle" : "", "family" : "Duarte", "given" : "C M", "non-dropping-particle" : "", "parse-names" : false, "suffix" : "" } ], "container-title" : "Biogeosciences", "id" : "ITEM-1", "issue" : "2", "issued" : { "date-parts" : [ [ "2007" ] ] }, "page" : "215-217", "title" : "Direct and indirect metabolic CO2 release by humanity", "type" : "article-journal", "volume" : "4" }, "uris" : [ "http://www.mendeley.com/documents/?uuid=60b30a69-1b18-4cd1-93f3-9d0d938e2d4e" ] } ], "mendeley" : { "formattedCitation" : "(Prairie and Duarte, 2007)", "plainTextFormattedCitation" : "(Prairie and Duarte, 2007)", "previouslyFormattedCitation" : "(Prairie and Duarte, 2007)" }, "properties" : { "noteIndex" : 0 }, "schema" : "https://github.com/citation-style-language/schema/raw/master/csl-citation.json" }</w:instrText>
      </w:r>
      <w:r w:rsidR="001B3508">
        <w:rPr>
          <w:rFonts w:ascii="Palatino Linotype" w:eastAsia="Times New Roman" w:hAnsi="Palatino Linotype" w:cs="Times New Roman"/>
          <w:color w:val="auto"/>
        </w:rPr>
        <w:fldChar w:fldCharType="separate"/>
      </w:r>
      <w:r w:rsidR="00BF6C71" w:rsidRPr="00BF6C71">
        <w:rPr>
          <w:rFonts w:ascii="Palatino Linotype" w:eastAsia="Times New Roman" w:hAnsi="Palatino Linotype" w:cs="Times New Roman"/>
          <w:noProof/>
          <w:color w:val="auto"/>
        </w:rPr>
        <w:t>(Prairie and Duarte, 2007)</w:t>
      </w:r>
      <w:r w:rsidR="001B3508">
        <w:rPr>
          <w:rFonts w:ascii="Palatino Linotype" w:eastAsia="Times New Roman" w:hAnsi="Palatino Linotype" w:cs="Times New Roman"/>
          <w:color w:val="auto"/>
        </w:rPr>
        <w:fldChar w:fldCharType="end"/>
      </w:r>
      <w:r w:rsidRPr="009E7A28">
        <w:rPr>
          <w:rFonts w:ascii="Palatino Linotype" w:eastAsia="Times New Roman" w:hAnsi="Palatino Linotype" w:cs="Times New Roman"/>
          <w:color w:val="auto"/>
        </w:rPr>
        <w:t xml:space="preserve">. </w:t>
      </w:r>
      <w:r w:rsidRPr="009E7A28">
        <w:rPr>
          <w:rFonts w:ascii="Palatino Linotype" w:hAnsi="Palatino Linotype"/>
        </w:rPr>
        <w:t xml:space="preserve">The </w:t>
      </w:r>
      <w:r w:rsidR="00901F6D" w:rsidRPr="009E7A28">
        <w:rPr>
          <w:rFonts w:ascii="Palatino Linotype" w:hAnsi="Palatino Linotype"/>
        </w:rPr>
        <w:t>LandScan</w:t>
      </w:r>
      <w:r w:rsidRPr="009E7A28">
        <w:rPr>
          <w:rFonts w:ascii="Palatino Linotype" w:hAnsi="Palatino Linotype"/>
        </w:rPr>
        <w:t xml:space="preserve"> data uses a different spatial grid than our 1km grid. We re-projected the </w:t>
      </w:r>
      <w:r w:rsidR="00901F6D" w:rsidRPr="009E7A28">
        <w:rPr>
          <w:rFonts w:ascii="Palatino Linotype" w:hAnsi="Palatino Linotype"/>
        </w:rPr>
        <w:t>LandScan</w:t>
      </w:r>
      <w:r w:rsidRPr="009E7A28">
        <w:rPr>
          <w:rFonts w:ascii="Palatino Linotype" w:hAnsi="Palatino Linotype"/>
        </w:rPr>
        <w:t xml:space="preserve"> shapefile into our grid’s coordinate system, and then calculated the average population per square meter in each </w:t>
      </w:r>
      <w:r w:rsidR="00901F6D" w:rsidRPr="009E7A28">
        <w:rPr>
          <w:rFonts w:ascii="Palatino Linotype" w:hAnsi="Palatino Linotype"/>
        </w:rPr>
        <w:t>LandScan</w:t>
      </w:r>
      <w:r w:rsidRPr="009E7A28">
        <w:rPr>
          <w:rFonts w:ascii="Palatino Linotype" w:hAnsi="Palatino Linotype"/>
        </w:rPr>
        <w:t xml:space="preserve"> gridcell. The two grid layers were then intersected in ArcGIS, and the per-square-meter population values were used to calculate the population of the overlapping portions of each gridcell. Total population in each cell of our grid was then calculated by summing the population of the included cell fractions. This layer has a flat time structure (each hour was assigned 1/8760th the value of the annual emissions total in the grid cell).</w:t>
      </w:r>
    </w:p>
    <w:p w14:paraId="2C009896" w14:textId="41296C74" w:rsidR="002F3103" w:rsidRDefault="002F3103">
      <w:pPr>
        <w:rPr>
          <w:rFonts w:ascii="Palatino Linotype" w:hAnsi="Palatino Linotype"/>
          <w:b/>
          <w:bCs/>
          <w:kern w:val="32"/>
          <w:szCs w:val="24"/>
        </w:rPr>
      </w:pPr>
      <w:r>
        <w:rPr>
          <w:rFonts w:ascii="Palatino Linotype" w:hAnsi="Palatino Linotype"/>
        </w:rPr>
        <w:br w:type="page"/>
      </w:r>
    </w:p>
    <w:p w14:paraId="6D327E32" w14:textId="567954E2" w:rsidR="00CF37BD" w:rsidRDefault="002F3103">
      <w:pPr>
        <w:pStyle w:val="SMHeading"/>
        <w:spacing w:line="360" w:lineRule="auto"/>
        <w:rPr>
          <w:rFonts w:ascii="Palatino Linotype" w:hAnsi="Palatino Linotype"/>
        </w:rPr>
      </w:pPr>
      <w:r>
        <w:rPr>
          <w:rFonts w:ascii="Palatino Linotype" w:hAnsi="Palatino Linotype"/>
        </w:rPr>
        <w:lastRenderedPageBreak/>
        <w:t>S4 Additional factors impacting urban carbon cycling</w:t>
      </w:r>
    </w:p>
    <w:p w14:paraId="5DD2DE8A" w14:textId="0FB2A523" w:rsidR="002F3103" w:rsidRPr="004845FE" w:rsidRDefault="002F3103">
      <w:pPr>
        <w:spacing w:line="360" w:lineRule="auto"/>
        <w:rPr>
          <w:rFonts w:ascii="Palatino Linotype" w:hAnsi="Palatino Linotype"/>
        </w:rPr>
      </w:pPr>
      <w:r w:rsidRPr="004845FE">
        <w:rPr>
          <w:rFonts w:ascii="Palatino Linotype" w:hAnsi="Palatino Linotype"/>
        </w:rPr>
        <w:t xml:space="preserve">Globally, conversion to urban land cover is accelerating </w:t>
      </w:r>
      <w:r w:rsidRPr="004845FE">
        <w:rPr>
          <w:rFonts w:ascii="Palatino Linotype" w:hAnsi="Palatino Linotype"/>
        </w:rPr>
        <w:fldChar w:fldCharType="begin" w:fldLock="1"/>
      </w:r>
      <w:r w:rsidR="000C0119">
        <w:rPr>
          <w:rFonts w:ascii="Palatino Linotype" w:hAnsi="Palatino Linotype"/>
        </w:rPr>
        <w:instrText>ADDIN CSL_CITATION { "citationItems" : [ { "id" : "ITEM-1", "itemData" : { "DOI" : "10.1073/pnas.1211658109", "ISBN" : "0027-8424", "ISSN" : "0027-8424", "PMID" : "22988086", "abstract" : "Urban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km(2),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yr(-1)), equal to \u223c5%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 "author" : [ { "dropping-particle" : "", "family" : "Seto", "given" : "K. C.", "non-dropping-particle" : "", "parse-names" : false, "suffix" : "" }, { "dropping-particle" : "", "family" : "Guneralp", "given" : "B.", "non-dropping-particle" : "", "parse-names" : false, "suffix" : "" }, { "dropping-particle" : "", "family" : "Hutyra", "given" : "L. R.", "non-dropping-particle" : "", "parse-names" : false, "suffix" : "" } ], "container-title" : "Proceedings of the National Academy of Sciences", "id" : "ITEM-1", "issue" : "40", "issued" : { "date-parts" : [ [ "2012" ] ] }, "page" : "16083-16088", "title" : "Global forecasts of urban expansion to 2030 and direct impacts on biodiversity and carbon pools", "type" : "article-journal", "volume" : "109" }, "uris" : [ "http://www.mendeley.com/documents/?uuid=4f7b782c-b589-40ff-9be9-571497fd0827" ] } ], "mendeley" : { "formattedCitation" : "(Seto et al., 2012)", "plainTextFormattedCitation" : "(Seto et al., 2012)", "previouslyFormattedCitation" : "(Seto et al., 2012)" }, "properties" : { "noteIndex" : 0 }, "schema" : "https://github.com/citation-style-language/schema/raw/master/csl-citation.json" }</w:instrText>
      </w:r>
      <w:r w:rsidRPr="004845FE">
        <w:rPr>
          <w:rFonts w:ascii="Palatino Linotype" w:hAnsi="Palatino Linotype"/>
        </w:rPr>
        <w:fldChar w:fldCharType="separate"/>
      </w:r>
      <w:r w:rsidR="00BF6C71" w:rsidRPr="00BF6C71">
        <w:rPr>
          <w:rFonts w:ascii="Palatino Linotype" w:hAnsi="Palatino Linotype"/>
          <w:noProof/>
        </w:rPr>
        <w:t>(Seto et al., 2012)</w:t>
      </w:r>
      <w:r w:rsidRPr="004845FE">
        <w:rPr>
          <w:rFonts w:ascii="Palatino Linotype" w:hAnsi="Palatino Linotype"/>
        </w:rPr>
        <w:fldChar w:fldCharType="end"/>
      </w:r>
      <w:r w:rsidRPr="004845FE">
        <w:rPr>
          <w:rFonts w:ascii="Palatino Linotype" w:hAnsi="Palatino Linotype"/>
        </w:rPr>
        <w:t xml:space="preserve">. Urbanization creates complex, spatially heterogeneous patchworks that incorporate heavily modified environments devoid of vegetation alongside fragments of largely intact native vegetation </w:t>
      </w:r>
      <w:r w:rsidRPr="004845FE">
        <w:rPr>
          <w:rFonts w:ascii="Palatino Linotype" w:hAnsi="Palatino Linotype"/>
        </w:rPr>
        <w:fldChar w:fldCharType="begin" w:fldLock="1"/>
      </w:r>
      <w:r w:rsidR="000C0119">
        <w:rPr>
          <w:rFonts w:ascii="Palatino Linotype" w:hAnsi="Palatino Linotype"/>
        </w:rPr>
        <w:instrText>ADDIN CSL_CITATION { "citationItems" : [ { "id" : "ITEM-1", "itemData" : { "DOI" : "10.1016/j.scitotenv.2014.08.070", "ISSN" : "1879-1026", "PMID" : "25217746", "abstract" : "High resolution maps of urban vegetation and biomass are powerful tools for policy-makers and community groups seeking to reduce rates of urban runoff, moderate urban heat island effects, and mitigate the effects of greenhouse gas emissions. We developed a very high resolution map of urban tree biomass, assessed the scale sensitivities in biomass estimation, compared our results with lower resolution estimates, and explored the demographic relationships in biomass distribution across the City of Boston. We integrated remote sensing data (including LiDAR-based tree height estimates) and field-based observations to map canopy cover and aboveground tree carbon storage at ~1m spatial scale. Mean tree canopy cover was estimated to be 25.5\u00b11.5% and carbon storage was 355Gg (28.8MgCha(-1)) for the City of Boston. Tree biomass was highest in forest patches (110.7MgCha(-1)), but residential (32.8MgCha(-1)) and developed open (23.5MgCha(-1)) land uses also contained relatively high carbon stocks. In contrast with previous studies, we did not find significant correlations between tree biomass and the demographic characteristics of Boston neighborhoods, including income, education, race, or population density. The proportion of households that rent was negatively correlated with urban tree biomass (R(2)=0.26, p=0.04) and correlated with Priority Planting Index values (R(2)=0.55, p=0.001), potentially reflecting differences in land management among rented and owner-occupied residential properties. We compared our very high resolution biomass map to lower resolution biomass products from other sources and found that those products consistently underestimated biomass within urban areas. This underestimation became more severe as spatial resolution decreased. This research demonstrates that 1) urban areas contain considerable tree carbon stocks; 2) canopy cover and biomass may not be related to the demographic characteristics of Boston neighborhoods; and 3) that recent advances in high resolution remote sensing have the potential to improve the characterization and management of urban vegetation.", "author" : [ { "dropping-particle" : "", "family" : "Raciti", "given" : "Steve M.", "non-dropping-particle" : "", "parse-names" : false, "suffix" : "" }, { "dropping-particle" : "", "family" : "Hutyra", "given" : "Lucy R.", "non-dropping-particle" : "", "parse-names" : false, "suffix" : "" }, { "dropping-particle" : "", "family" : "Newell", "given" : "Jared D.", "non-dropping-particle" : "", "parse-names" : false, "suffix" : "" } ], "container-title" : "Science of the Total Environment", "id" : "ITEM-1", "issued" : { "date-parts" : [ [ "2014", "12", "1" ] ] }, "page" : "72-83", "publisher" : "Elsevier B.V.", "title" : "Mapping carbon storage in urban trees with multi-source remote sensing data: Relationships between biomass, land use, and demographics in Boston neighborhoods.", "type" : "article-journal", "volume" : "500-501" }, "uris" : [ "http://www.mendeley.com/documents/?uuid=4f9aa60b-f8d1-473a-ba52-0b3132c38138" ] } ], "mendeley" : { "formattedCitation" : "(Raciti et al., 2014)", "plainTextFormattedCitation" : "(Raciti et al., 2014)", "previouslyFormattedCitation" : "(Raciti et al., 2014)" }, "properties" : { "noteIndex" : 0 }, "schema" : "https://github.com/citation-style-language/schema/raw/master/csl-citation.json" }</w:instrText>
      </w:r>
      <w:r w:rsidRPr="004845FE">
        <w:rPr>
          <w:rFonts w:ascii="Palatino Linotype" w:hAnsi="Palatino Linotype"/>
        </w:rPr>
        <w:fldChar w:fldCharType="separate"/>
      </w:r>
      <w:r w:rsidR="00BF6C71" w:rsidRPr="00BF6C71">
        <w:rPr>
          <w:rFonts w:ascii="Palatino Linotype" w:hAnsi="Palatino Linotype"/>
          <w:noProof/>
        </w:rPr>
        <w:t>(Raciti et al., 2014)</w:t>
      </w:r>
      <w:r w:rsidRPr="004845FE">
        <w:rPr>
          <w:rFonts w:ascii="Palatino Linotype" w:hAnsi="Palatino Linotype"/>
        </w:rPr>
        <w:fldChar w:fldCharType="end"/>
      </w:r>
      <w:r w:rsidRPr="004845FE">
        <w:rPr>
          <w:rFonts w:ascii="Palatino Linotype" w:hAnsi="Palatino Linotype"/>
        </w:rPr>
        <w:t xml:space="preserve">. However, even intact patches of urban vegetation are influenced by urban growing conditions </w:t>
      </w:r>
      <w:r w:rsidR="00285CDF">
        <w:rPr>
          <w:rFonts w:ascii="Palatino Linotype" w:hAnsi="Palatino Linotype"/>
        </w:rPr>
        <w:fldChar w:fldCharType="begin" w:fldLock="1"/>
      </w:r>
      <w:r w:rsidR="000C0119">
        <w:rPr>
          <w:rFonts w:ascii="Palatino Linotype" w:hAnsi="Palatino Linotype"/>
        </w:rPr>
        <w:instrText>ADDIN CSL_CITATION { "citationItems" : [ { "id" : "ITEM-1", "itemData" : { "DOI" : "10.1016/j.tree.2011.10.008", "ISBN" : "0169-5347", "ISSN" : "01695347", "PMID" : "22093191", "abstract" : "Contemporary cities are expanding rapidly in a spatially complex, non-linear manner. However, this form of expansion is rarely taken into account in the way that urbanization is classically assessed in ecological studies. An explicit consideration of the temporal dynamics, although frequently missing, is crucial in order to understand the effects of urbanization on biodiversity and ecosystem functioning in rapidly urbanizing landscapes. In particular, a temporal perspective highlights the importance of land-use legacies and transient dynamics in the response of biodiversity to environmental change. Here, we outline the essential elements of an emerging framework for urban ecology that incorporates the characteristics of contemporary urbanization and thus empowers ecologists to understand and intervene in the planning and management of cities. ?? 2011 Elsevier Ltd.", "author" : [ { "dropping-particle" : "", "family" : "Ramalho", "given" : "Cristina E.", "non-dropping-particle" : "", "parse-names" : false, "suffix" : "" }, { "dropping-particle" : "", "family" : "Hobbs", "given" : "Richard J.", "non-dropping-particle" : "", "parse-names" : false, "suffix" : "" } ], "container-title" : "Trends in Ecology and Evolution", "id" : "ITEM-1", "issue" : "3", "issued" : { "date-parts" : [ [ "2012" ] ] }, "page" : "179-188", "publisher" : "Elsevier Ltd", "title" : "Time for a change: Dynamic urban ecology", "type" : "article-journal", "volume" : "27" }, "uris" : [ "http://www.mendeley.com/documents/?uuid=2976a598-c1d7-42f0-9d19-8f1af1bd2db3" ] }, { "id" : "ITEM-2", "itemData" : { "author" : [ { "dropping-particle" : "", "family" : "Reinmann", "given" : "Andrew B", "non-dropping-particle" : "", "parse-names" : false, "suffix" : "" }, { "dropping-particle" : "", "family" : "Hutyra", "given" : "Lucy R", "non-dropping-particle" : "", "parse-names" : false, "suffix" : "" } ], "container-title" : "Proceedings of the National Academy of Sciences", "id" : "ITEM-2", "issued" : { "date-parts" : [ [ "0" ] ] }, "title" : "Edge effects enhance carbon uptake and its vulnerability to climate change in temperate broadleaf forests", "type" : "article-journal" }, "uris" : [ "http://www.mendeley.com/documents/?uuid=95ca4946-3330-4b16-a892-81e7b9d1035f" ] } ], "mendeley" : { "formattedCitation" : "(Ramalho and Hobbs, 2012; Reinmann and Hutyra, n.d.)", "plainTextFormattedCitation" : "(Ramalho and Hobbs, 2012; Reinmann and Hutyra, n.d.)", "previouslyFormattedCitation" : "(Ramalho and Hobbs, 2012; Reinmann and Hutyra, n.d.)" }, "properties" : { "noteIndex" : 0 }, "schema" : "https://github.com/citation-style-language/schema/raw/master/csl-citation.json" }</w:instrText>
      </w:r>
      <w:r w:rsidR="00285CDF">
        <w:rPr>
          <w:rFonts w:ascii="Palatino Linotype" w:hAnsi="Palatino Linotype"/>
        </w:rPr>
        <w:fldChar w:fldCharType="separate"/>
      </w:r>
      <w:r w:rsidR="00BF6C71" w:rsidRPr="00BF6C71">
        <w:rPr>
          <w:rFonts w:ascii="Palatino Linotype" w:hAnsi="Palatino Linotype"/>
          <w:noProof/>
        </w:rPr>
        <w:t>(Ramalho and Hobbs, 2012; Reinmann and Hutyra, n.d.)</w:t>
      </w:r>
      <w:r w:rsidR="00285CDF">
        <w:rPr>
          <w:rFonts w:ascii="Palatino Linotype" w:hAnsi="Palatino Linotype"/>
        </w:rPr>
        <w:fldChar w:fldCharType="end"/>
      </w:r>
      <w:r w:rsidRPr="004845FE">
        <w:rPr>
          <w:rFonts w:ascii="Palatino Linotype" w:hAnsi="Palatino Linotype"/>
        </w:rPr>
        <w:t xml:space="preserve"> and evince altered phenological </w:t>
      </w:r>
      <w:r w:rsidRPr="004845FE">
        <w:rPr>
          <w:rFonts w:ascii="Palatino Linotype" w:hAnsi="Palatino Linotype"/>
        </w:rPr>
        <w:fldChar w:fldCharType="begin" w:fldLock="1"/>
      </w:r>
      <w:r w:rsidR="000C0119">
        <w:rPr>
          <w:rFonts w:ascii="Palatino Linotype" w:hAnsi="Palatino Linotype"/>
        </w:rPr>
        <w:instrText>ADDIN CSL_CITATION { "citationItems" : [ { "id" : "ITEM-1", "itemData" : { "DOI" : "10.1029/2004GL020137", "ISBN" : "0094-8276", "ISSN" : "00948276", "abstract" : "Human activity, through changing land use and other activities, is the most fundamental source of environmental change on the Earth. Urbanization and the resultant &amp;#8220;urban heat islands&amp;#8221; provide a means for evaluating the effect of climate warming on vegetation phenology. Using data from the Moderate Resolution Imaging Spectroradiometer, we analyzed urban-rural differences in vegetation phenological transition dates and land surface temperatures for urban areas larger than 10 km2 in eastern North America. The results show that the effect of urban climates on vegetation phenology decays exponentially with distance from urban areas with substantial influence up to 10 km beyond the edge of urban land cover, and that the ecological &amp;#8220;footprint&amp;#8221; of urban climates is about 2.4 times that of urban land use in eastern North America. The net effect is an increase in the growing season by about 15 days in urban areas relative to adjacent unaffected rural areas.", "author" : [ { "dropping-particle" : "", "family" : "Zhang", "given" : "Xiaoyang", "non-dropping-particle" : "", "parse-names" : false, "suffix" : "" }, { "dropping-particle" : "", "family" : "Friedl", "given" : "Mark a.", "non-dropping-particle" : "", "parse-names" : false, "suffix" : "" }, { "dropping-particle" : "", "family" : "Schaaf", "given" : "Crystal B.", "non-dropping-particle" : "", "parse-names" : false, "suffix" : "" }, { "dropping-particle" : "", "family" : "Strahler", "given" : "Alan H.", "non-dropping-particle" : "", "parse-names" : false, "suffix" : "" }, { "dropping-particle" : "", "family" : "Schneider", "given" : "Annemarie", "non-dropping-particle" : "", "parse-names" : false, "suffix" : "" } ], "container-title" : "Geophysical Research Letters", "id" : "ITEM-1", "issue" : "12", "issued" : { "date-parts" : [ [ "2004" ] ] }, "page" : "10-13", "title" : "The footprint of urban climates on vegetation phenology", "type" : "article-journal", "volume" : "31" }, "uris" : [ "http://www.mendeley.com/documents/?uuid=05fe8f62-cc8b-4f77-8e1e-f8ba9d70d448" ] } ], "mendeley" : { "formattedCitation" : "(Zhang et al., 2004)", "plainTextFormattedCitation" : "(Zhang et al., 2004)", "previouslyFormattedCitation" : "(Zhang et al., 2004)" }, "properties" : { "noteIndex" : 0 }, "schema" : "https://github.com/citation-style-language/schema/raw/master/csl-citation.json" }</w:instrText>
      </w:r>
      <w:r w:rsidRPr="004845FE">
        <w:rPr>
          <w:rFonts w:ascii="Palatino Linotype" w:hAnsi="Palatino Linotype"/>
        </w:rPr>
        <w:fldChar w:fldCharType="separate"/>
      </w:r>
      <w:r w:rsidR="00BF6C71" w:rsidRPr="00BF6C71">
        <w:rPr>
          <w:rFonts w:ascii="Palatino Linotype" w:hAnsi="Palatino Linotype"/>
          <w:noProof/>
        </w:rPr>
        <w:t>(Zhang et al., 2004)</w:t>
      </w:r>
      <w:r w:rsidRPr="004845FE">
        <w:rPr>
          <w:rFonts w:ascii="Palatino Linotype" w:hAnsi="Palatino Linotype"/>
        </w:rPr>
        <w:fldChar w:fldCharType="end"/>
      </w:r>
      <w:r w:rsidRPr="004845FE">
        <w:rPr>
          <w:rFonts w:ascii="Palatino Linotype" w:hAnsi="Palatino Linotype"/>
        </w:rPr>
        <w:t xml:space="preserve"> and biogeochemical cycles </w:t>
      </w:r>
      <w:r w:rsidRPr="004845FE">
        <w:rPr>
          <w:rFonts w:ascii="Palatino Linotype" w:hAnsi="Palatino Linotype"/>
        </w:rPr>
        <w:fldChar w:fldCharType="begin" w:fldLock="1"/>
      </w:r>
      <w:r w:rsidR="000C0119">
        <w:rPr>
          <w:rFonts w:ascii="Palatino Linotype" w:hAnsi="Palatino Linotype"/>
        </w:rPr>
        <w:instrText>ADDIN CSL_CITATION { "citationItems" : [ { "id" : "ITEM-1", "itemData" : { "DOI" : "10.1007/s10533-013-9861-1", "ISBN" : "0168-2563", "ISSN" : "01682563", "author" : [ { "dropping-particle" : "", "family" : "Rao", "given" : "Preeti", "non-dropping-particle" : "", "parse-names" : false, "suffix" : "" }, { "dropping-particle" : "", "family" : "Hutyra", "given" : "Lucy R.", "non-dropping-particle" : "", "parse-names" : false, "suffix" : "" }, { "dropping-particle" : "", "family" : "Raciti", "given" : "Steve M.", "non-dropping-particle" : "", "parse-names" : false, "suffix" : "" }, { "dropping-particle" : "", "family" : "Templer", "given" : "Pamela H.", "non-dropping-particle" : "", "parse-names" : false, "suffix" : "" } ], "container-title" : "Biogeochemistry", "id" : "ITEM-1", "issued" : { "date-parts" : [ [ "2014" ] ] }, "page" : "229\u2013245", "title" : "Atmospheric nitrogen inputs and losses along an urbanization gradient from Boston to Harvard Forest, MA", "type" : "article-journal", "volume" : "121" }, "uris" : [ "http://www.mendeley.com/documents/?uuid=e5f6a3a3-1364-4742-b83e-d02e3c1375fe" ] } ], "mendeley" : { "formattedCitation" : "(Rao et al., 2014)", "plainTextFormattedCitation" : "(Rao et al., 2014)", "previouslyFormattedCitation" : "(Rao et al., 2014)" }, "properties" : { "noteIndex" : 0 }, "schema" : "https://github.com/citation-style-language/schema/raw/master/csl-citation.json" }</w:instrText>
      </w:r>
      <w:r w:rsidRPr="004845FE">
        <w:rPr>
          <w:rFonts w:ascii="Palatino Linotype" w:hAnsi="Palatino Linotype"/>
        </w:rPr>
        <w:fldChar w:fldCharType="separate"/>
      </w:r>
      <w:r w:rsidR="00BF6C71" w:rsidRPr="00BF6C71">
        <w:rPr>
          <w:rFonts w:ascii="Palatino Linotype" w:hAnsi="Palatino Linotype"/>
          <w:noProof/>
        </w:rPr>
        <w:t>(Rao et al., 2014)</w:t>
      </w:r>
      <w:r w:rsidRPr="004845FE">
        <w:rPr>
          <w:rFonts w:ascii="Palatino Linotype" w:hAnsi="Palatino Linotype"/>
        </w:rPr>
        <w:fldChar w:fldCharType="end"/>
      </w:r>
      <w:r w:rsidRPr="004845FE">
        <w:rPr>
          <w:rFonts w:ascii="Palatino Linotype" w:hAnsi="Palatino Linotype"/>
        </w:rPr>
        <w:t xml:space="preserve"> that may boost C storage. Elevated C storage in these remnant forest patches may offset some C losses associated with urbanization </w:t>
      </w:r>
      <w:r w:rsidR="00A41E5E">
        <w:rPr>
          <w:rFonts w:ascii="Palatino Linotype" w:hAnsi="Palatino Linotype"/>
        </w:rPr>
        <w:fldChar w:fldCharType="begin" w:fldLock="1"/>
      </w:r>
      <w:r w:rsidR="000C0119">
        <w:rPr>
          <w:rFonts w:ascii="Palatino Linotype" w:hAnsi="Palatino Linotype"/>
        </w:rPr>
        <w:instrText>ADDIN CSL_CITATION { "citationItems" : [ { "id" : "ITEM-1", "itemData" : { "DOI" : "10.1016/j.scitotenv.2015.12.033", "ISSN" : "00489697", "author" : [ { "dropping-particle" : "", "family" : "Reinmann", "given" : "Andrew B.", "non-dropping-particle" : "", "parse-names" : false, "suffix" : "" }, { "dropping-particle" : "", "family" : "Hutyra", "given" : "Lucy R.", "non-dropping-particle" : "", "parse-names" : false, "suffix" : "" }, { "dropping-particle" : "", "family" : "Trlica", "given" : "Andrew", "non-dropping-particle" : "", "parse-names" : false, "suffix" : "" }, { "dropping-particle" : "", "family" : "Olofsson", "given" : "Pontus", "non-dropping-particle" : "", "parse-names" : false, "suffix" : "" } ], "container-title" : "Science of The Total Environment", "id" : "ITEM-1", "issued" : { "date-parts" : [ [ "2016" ] ] }, "page" : "512-524", "publisher" : "Elsevier B.V.", "title" : "Assessing the global warming potential of human settlement expansion in a mesic temperate landscape from 2005 to 2050", "type" : "article-journal", "volume" : "545-546" }, "uris" : [ "http://www.mendeley.com/documents/?uuid=771ac052-6e2d-4214-8fb1-828ba7ce4453" ] }, { "id" : "ITEM-2", "itemData" : { "DOI" : "10.1073/pnas.1602312113", "ISSN" : "0027-8424", "author" : [ { "dropping-particle" : "", "family" : "Zhao", "given" : "Shuqing", "non-dropping-particle" : "", "parse-names" : false, "suffix" : "" }, { "dropping-particle" : "", "family" : "Liu", "given" : "Shuguang", "non-dropping-particle" : "", "parse-names" : false, "suffix" : "" }, { "dropping-particle" : "", "family" : "Zhou", "given" : "Decheng", "non-dropping-particle" : "", "parse-names" : false, "suffix" : "" } ], "container-title" : "Proceedings of the National Academy of Sciences", "id" : "ITEM-2", "issued" : { "date-parts" : [ [ "2016" ] ] }, "page" : "201602312", "title" : "Prevalent vegetation growth enhancement in urban environment", "type" : "article-journal" }, "uris" : [ "http://www.mendeley.com/documents/?uuid=73083590-c957-4e49-b8bb-a99c34f936fa" ] } ], "mendeley" : { "formattedCitation" : "(Reinmann et al., 2016; Zhao et al., 2016)", "plainTextFormattedCitation" : "(Reinmann et al., 2016; Zhao et al., 2016)", "previouslyFormattedCitation" : "(Reinmann et al., 2016; Zhao et al., 2016)" }, "properties" : { "noteIndex" : 0 }, "schema" : "https://github.com/citation-style-language/schema/raw/master/csl-citation.json" }</w:instrText>
      </w:r>
      <w:r w:rsidR="00A41E5E">
        <w:rPr>
          <w:rFonts w:ascii="Palatino Linotype" w:hAnsi="Palatino Linotype"/>
        </w:rPr>
        <w:fldChar w:fldCharType="separate"/>
      </w:r>
      <w:r w:rsidR="00BF6C71" w:rsidRPr="00BF6C71">
        <w:rPr>
          <w:rFonts w:ascii="Palatino Linotype" w:hAnsi="Palatino Linotype"/>
          <w:noProof/>
        </w:rPr>
        <w:t>(Reinmann et al., 2016; Zhao et al., 2016)</w:t>
      </w:r>
      <w:r w:rsidR="00A41E5E">
        <w:rPr>
          <w:rFonts w:ascii="Palatino Linotype" w:hAnsi="Palatino Linotype"/>
        </w:rPr>
        <w:fldChar w:fldCharType="end"/>
      </w:r>
      <w:r w:rsidRPr="004845FE">
        <w:rPr>
          <w:rFonts w:ascii="Palatino Linotype" w:hAnsi="Palatino Linotype"/>
        </w:rPr>
        <w:t>, but are unlikely to offset anthropogenic emissions in the resulting urban areas.</w:t>
      </w:r>
      <w:r>
        <w:rPr>
          <w:rFonts w:ascii="Palatino Linotype" w:hAnsi="Palatino Linotype"/>
        </w:rPr>
        <w:t xml:space="preserve"> Nevertheless, a full accounting of the unique suite of growing conditions in urban ecosystems and their influence on biogenic C flows will improve efforts to accurately monitor, report, verify, and mitigate urban </w:t>
      </w:r>
      <w:r w:rsidRPr="004845FE">
        <w:rPr>
          <w:rFonts w:ascii="Palatino Linotype" w:hAnsi="Palatino Linotype"/>
          <w:shd w:val="clear" w:color="auto" w:fill="FFFFFF"/>
        </w:rPr>
        <w:t>anthropogenic C emissions</w:t>
      </w:r>
      <w:r>
        <w:rPr>
          <w:rFonts w:ascii="Palatino Linotype" w:hAnsi="Palatino Linotype"/>
          <w:shd w:val="clear" w:color="auto" w:fill="FFFFFF"/>
        </w:rPr>
        <w:t>.</w:t>
      </w:r>
    </w:p>
    <w:p w14:paraId="7DB02C8B" w14:textId="77777777" w:rsidR="002F3103" w:rsidRDefault="002F3103">
      <w:pPr>
        <w:spacing w:line="360" w:lineRule="auto"/>
        <w:rPr>
          <w:rFonts w:ascii="Palatino Linotype" w:hAnsi="Palatino Linotype"/>
        </w:rPr>
      </w:pPr>
    </w:p>
    <w:p w14:paraId="6AA9DD95" w14:textId="09CD54F3" w:rsidR="002F3103" w:rsidRPr="00BF1BDE" w:rsidRDefault="002F3103">
      <w:pPr>
        <w:spacing w:line="360" w:lineRule="auto"/>
        <w:rPr>
          <w:rFonts w:ascii="Palatino Linotype" w:hAnsi="Palatino Linotype"/>
          <w:b/>
          <w:bCs/>
          <w:kern w:val="32"/>
          <w:szCs w:val="24"/>
        </w:rPr>
      </w:pPr>
      <w:r w:rsidRPr="004845FE">
        <w:rPr>
          <w:rFonts w:ascii="Palatino Linotype" w:hAnsi="Palatino Linotype"/>
        </w:rPr>
        <w:t xml:space="preserve">Many municipalities have embraced tree planting efforts as part of climate change mitigation strategies </w:t>
      </w:r>
      <w:r>
        <w:rPr>
          <w:rFonts w:ascii="Palatino Linotype" w:hAnsi="Palatino Linotype"/>
        </w:rPr>
        <w:fldChar w:fldCharType="begin" w:fldLock="1"/>
      </w:r>
      <w:r w:rsidR="000C0119">
        <w:rPr>
          <w:rFonts w:ascii="Palatino Linotype" w:hAnsi="Palatino Linotype"/>
        </w:rPr>
        <w:instrText>ADDIN CSL_CITATION { "citationItems" : [ { "id" : "ITEM-1", "itemData" : { "DOI" : "10.1007/s10708-012-9446-x", "ISBN" : "0343-2521", "ISSN" : "03432521", "abstract" : "Tree planting programs are being imple- mented in many US cities (most notably New York, Los Angeles, and Chicago) on the basis of the multiple environmental and health benefits they may provide. However, the magnitude and even the direction of the impacts of trees on specific urban environments have seldom been directly measured. In addition, there has been little research on the historical, cultural, political or institutional origins of such programs, or on their implementation process. Pending questions include the degree to which these programs are integrated in the existing frameworks of city government and infrastructure management, how they are paid for, and the kinds of collaborations between nonprofit organizations, the public, and public agencies at all levels they may require in order to succeed. This paper reports on an interdisciplinary research project exam- ining the Million Tree Program of the City of Los Angeles.", "author" : [ { "dropping-particle" : "", "family" : "Pincetl", "given" : "Stephanie", "non-dropping-particle" : "", "parse-names" : false, "suffix" : "" }, { "dropping-particle" : "", "family" : "Gillespie", "given" : "Thomas", "non-dropping-particle" : "", "parse-names" : false, "suffix" : "" }, { "dropping-particle" : "", "family" : "Pataki", "given" : "Diane E.", "non-dropping-particle" : "", "parse-names" : false, "suffix" : "" }, { "dropping-particle" : "", "family" : "Saatchi", "given" : "Sassan", "non-dropping-particle" : "", "parse-names" : false, "suffix" : "" }, { "dropping-particle" : "", "family" : "Saphores", "given" : "Jean Daniel", "non-dropping-particle" : "", "parse-names" : false, "suffix" : "" } ], "container-title" : "GeoJournal", "id" : "ITEM-1", "issue" : "3", "issued" : { "date-parts" : [ [ "2013" ] ] }, "page" : "475-493", "title" : "Urban tree planting programs, function or fashion? Los Angeles and urban tree planting campaigns", "type" : "article-journal", "volume" : "78" }, "uris" : [ "http://www.mendeley.com/documents/?uuid=5fb5c5a6-261c-4fb9-bc3d-6042377c4a82" ] }, { "id" : "ITEM-2", "itemData" : { "DOI" : "10.1073/pnas.1322280111", "ISBN" : "0027-8424", "ISSN" : "1091-6490", "PMID" : "24516126", "abstract" : "Modeling results incorporating several distinct urban expansion futures for the United States in 2100 show that, in the absence of any adaptive urban design, megapolitan expansion, alone and separate from greenhouse gas-induced forcing, can be expected to raise near-surface temperatures 1-2 \u00b0C not just at the scale of individual cities but over large regional swaths of the country. This warming is a significant fraction of the 21st century greenhouse gas-induced climate change simulated by global climate models. Using a suite of regional climate simulations, we assessed the efficacy of commonly proposed urban adaptation strategies, such as green, cool roof, and hybrid approaches, to ameliorate the warming. Our results quantify how judicious choices in urban planning and design cannot only counteract the climatological impacts of the urban expansion itself but also, can, in fact, even offset a significant percentage of future greenhouse warming over large scales. Our results also reveal tradeoffs among different adaptation options for some regions, showing the need for geographically appropriate strategies rather than one size fits all solutions.", "author" : [ { "dropping-particle" : "", "family" : "Georgescu", "given" : "Matei", "non-dropping-particle" : "", "parse-names" : false, "suffix" : "" }, { "dropping-particle" : "", "family" : "Morefield", "given" : "Philip E", "non-dropping-particle" : "", "parse-names" : false, "suffix" : "" }, { "dropping-particle" : "", "family" : "Bierwagen", "given" : "Britta G", "non-dropping-particle" : "", "parse-names" : false, "suffix" : "" }, { "dropping-particle" : "", "family" : "Weaver", "given" : "Christopher P", "non-dropping-particle" : "", "parse-names" : false, "suffix" : "" } ], "container-title" : "Proceedings of the National Academy of Sciences of the United States of America", "id" : "ITEM-2", "issue" : "8", "issued" : { "date-parts" : [ [ "2014" ] ] }, "page" : "2909-14", "title" : "Urban adaptation can roll back warming of emerging megapolitan regions.", "type" : "article-journal", "volume" : "111" }, "uris" : [ "http://www.mendeley.com/documents/?uuid=e502730f-243d-48ad-ba61-ff66ee229f2e" ] } ], "mendeley" : { "formattedCitation" : "(Georgescu et al., 2014; Pincetl et al., 2013)", "plainTextFormattedCitation" : "(Georgescu et al., 2014; Pincetl et al., 2013)", "previouslyFormattedCitation" : "(Georgescu et al., 2014; Pincetl et al., 2013)" }, "properties" : { "noteIndex" : 0 }, "schema" : "https://github.com/citation-style-language/schema/raw/master/csl-citation.json" }</w:instrText>
      </w:r>
      <w:r>
        <w:rPr>
          <w:rFonts w:ascii="Palatino Linotype" w:hAnsi="Palatino Linotype"/>
        </w:rPr>
        <w:fldChar w:fldCharType="separate"/>
      </w:r>
      <w:r w:rsidR="00BF6C71" w:rsidRPr="00BF6C71">
        <w:rPr>
          <w:rFonts w:ascii="Palatino Linotype" w:hAnsi="Palatino Linotype"/>
          <w:noProof/>
        </w:rPr>
        <w:t>(Georgescu et al., 2014; Pincetl et al., 2013)</w:t>
      </w:r>
      <w:r>
        <w:rPr>
          <w:rFonts w:ascii="Palatino Linotype" w:hAnsi="Palatino Linotype"/>
        </w:rPr>
        <w:fldChar w:fldCharType="end"/>
      </w:r>
      <w:r w:rsidRPr="004845FE">
        <w:rPr>
          <w:rFonts w:ascii="Palatino Linotype" w:hAnsi="Palatino Linotype"/>
        </w:rPr>
        <w:t xml:space="preserve">. While urban greening is desirable for myriad reasons, </w:t>
      </w:r>
      <w:r>
        <w:rPr>
          <w:rFonts w:ascii="Palatino Linotype" w:hAnsi="Palatino Linotype"/>
        </w:rPr>
        <w:t>its potential to significantly increase urban</w:t>
      </w:r>
      <w:r w:rsidRPr="004845FE">
        <w:rPr>
          <w:rFonts w:ascii="Palatino Linotype" w:hAnsi="Palatino Linotype"/>
        </w:rPr>
        <w:t xml:space="preserve"> biogenic C storage</w:t>
      </w:r>
      <w:r>
        <w:rPr>
          <w:rFonts w:ascii="Palatino Linotype" w:hAnsi="Palatino Linotype"/>
        </w:rPr>
        <w:t xml:space="preserve"> has been questioned</w:t>
      </w:r>
      <w:r w:rsidRPr="004845FE">
        <w:rPr>
          <w:rFonts w:ascii="Palatino Linotype" w:hAnsi="Palatino Linotype"/>
        </w:rPr>
        <w:t xml:space="preserve"> </w:t>
      </w:r>
      <w:r w:rsidRPr="004845FE">
        <w:rPr>
          <w:rFonts w:ascii="Palatino Linotype" w:hAnsi="Palatino Linotype"/>
        </w:rPr>
        <w:fldChar w:fldCharType="begin" w:fldLock="1"/>
      </w:r>
      <w:r w:rsidR="000C0119">
        <w:rPr>
          <w:rFonts w:ascii="Palatino Linotype" w:hAnsi="Palatino Linotype"/>
        </w:rPr>
        <w:instrText>ADDIN CSL_CITATION { "citationItems" : [ { "id" : "ITEM-1", "itemData" : { "DOI" : "10.2134/jeq2005.0162", "ISBN" : "0047-2425", "ISSN" : "0047-2425", "PMID" : "16825466", "abstract" : "This paper reviews the effects of past forest management on carbon stocks in the United States, and the challenges for managing forest carbon resources in the 21st century. Forests in the United States were in approximate carbon balance with the atmosphere from 1600-1800. Utilization and land clearing caused a large pulse of forest carbon emissions during the 19th century, followed by regrowth and net forest carbon sequestration in the 20th century. Recent data and knowledge of the general behavior of forests after disturbance suggest that the rate of forest carbon sequestration is declining. A goal of an additional 100 to 200 Tg C/yr of forest carbon sequestration is achievable, but would require investment in inventory and monitoring, development of technology and practices, and assistance for land managers.", "author" : [ { "dropping-particle" : "", "family" : "Birdsey", "given" : "Richard", "non-dropping-particle" : "", "parse-names" : false, "suffix" : "" }, { "dropping-particle" : "", "family" : "Pregitzer", "given" : "Kurt", "non-dropping-particle" : "", "parse-names" : false, "suffix" : "" }, { "dropping-particle" : "", "family" : "Lucier", "given" : "Alan", "non-dropping-particle" : "", "parse-names" : false, "suffix" : "" } ], "container-title" : "Journal of Environmental Quality", "id" : "ITEM-1", "issue" : "4", "issued" : { "date-parts" : [ [ "2006" ] ] }, "note" : "From Duplicate 1 (Forest carbon management in the United States: 1600-2100 - Birdsey, Richard; Pregitzer, Kurt; Lucier, Alan)\n\nFrom Duplicate 1 (Forest carbon management in the United States: 1600-2100 - Birdsey, Richard; Pregitzer, Kurt; Lucier, Alan)\n\nTimes Cited: 42\n3rd USDA Symposium on Greenhouse Gases and Carbon Sequestration in Agriculture and Forestry\nMAR 21-24, 2005\nBaltimore, MD\nUSDA", "page" : "1461-1469", "title" : "Forest carbon management in the United States: 1600-2100", "type" : "article-journal", "volume" : "35" }, "uris" : [ "http://www.mendeley.com/documents/?uuid=dc30f93a-5432-4d79-807f-e285c530d8a0" ] } ], "mendeley" : { "formattedCitation" : "(Birdsey et al., 2006)", "plainTextFormattedCitation" : "(Birdsey et al., 2006)", "previouslyFormattedCitation" : "(Birdsey et al., 2006)" }, "properties" : { "noteIndex" : 0 }, "schema" : "https://github.com/citation-style-language/schema/raw/master/csl-citation.json" }</w:instrText>
      </w:r>
      <w:r w:rsidRPr="004845FE">
        <w:rPr>
          <w:rFonts w:ascii="Palatino Linotype" w:hAnsi="Palatino Linotype"/>
        </w:rPr>
        <w:fldChar w:fldCharType="separate"/>
      </w:r>
      <w:r w:rsidR="00BF6C71" w:rsidRPr="00BF6C71">
        <w:rPr>
          <w:rFonts w:ascii="Palatino Linotype" w:hAnsi="Palatino Linotype"/>
          <w:noProof/>
        </w:rPr>
        <w:t>(Birdsey et al., 2006)</w:t>
      </w:r>
      <w:r w:rsidRPr="004845FE">
        <w:rPr>
          <w:rFonts w:ascii="Palatino Linotype" w:hAnsi="Palatino Linotype"/>
        </w:rPr>
        <w:fldChar w:fldCharType="end"/>
      </w:r>
      <w:r w:rsidRPr="004845FE">
        <w:rPr>
          <w:rFonts w:ascii="Palatino Linotype" w:hAnsi="Palatino Linotype"/>
        </w:rPr>
        <w:t xml:space="preserve">. Conditions that promote higher rates of urban tree growth may lose efficacy if trees are planted at higher densities. Further, municipalities tend to plant small trees with high rates of mortality </w:t>
      </w:r>
      <w:r w:rsidRPr="004845FE">
        <w:rPr>
          <w:rFonts w:ascii="Palatino Linotype" w:hAnsi="Palatino Linotype"/>
        </w:rPr>
        <w:fldChar w:fldCharType="begin" w:fldLock="1"/>
      </w:r>
      <w:r w:rsidR="000C0119">
        <w:rPr>
          <w:rFonts w:ascii="Palatino Linotype" w:hAnsi="Palatino Linotype"/>
        </w:rPr>
        <w:instrText>ADDIN CSL_CITATION { "citationItems" : [ { "id" : "ITEM-1", "itemData" : { "DOI" : "10.1016/j.ufug.2013.02.006", "ISBN" : "16188667 16108167", "ISSN" : "16188667", "abstract" : "Knowledge of allometric equations can enable urban forest managers to meet desired economic, social, and ecological goals. However, there remains limited regional data on young tree growth within the urban landscape. The objective of this study is to address this research gap and examine interactions between age, bole size and crown dimensions of young urban trees in New Haven, CT, USA to identify allometric relationships and generate predictive growth equations useful for the region. This study examines the 10 most common species from a census of 1474 community planted trees (ages 4-16). Regressions were applied to relate diameter at breast height (dbh), age (years since transplanting), tree height, crown diameter and crown volume. Across all ten species each allometric relationship was statistically (p&lt;0.001) significant at an \u03b1-level of 0.05. Consistently, shade trees demonstrated stronger relationships than ornamental trees. Crown diameter and dbh displayed the strongest fit with eight of the ten species having an R2&gt;0.70. Crown volume exhibited a good fit for each of the shade tree species (R2&gt;0.85), while the coefficients of determination for the ornamentals varied (0.38&lt;R2&lt;0.73). In the model predicting height from dbh, ornamentals displayed the lowest R2 (0.33&lt;R2&lt;0.55) while shade trees represented a much better fit (R2&gt;0.66). Allometric relationships can be used to develop spacing guidelines for commonly planted urban trees. These correlations will better equip forest managers to predict the growth of urban trees, thereby improving the management and maintenance of New England's urban forests. \u00a9 2013 Elsevier GmbH.", "author" : [ { "dropping-particle" : "", "family" : "Troxel", "given" : "Blake", "non-dropping-particle" : "", "parse-names" : false, "suffix" : "" }, { "dropping-particle" : "", "family" : "Piana", "given" : "Max", "non-dropping-particle" : "", "parse-names" : false, "suffix" : "" }, { "dropping-particle" : "", "family" : "Ashton", "given" : "Mark S.", "non-dropping-particle" : "", "parse-names" : false, "suffix" : "" }, { "dropping-particle" : "", "family" : "Murphy-Dunning", "given" : "Colleen", "non-dropping-particle" : "", "parse-names" : false, "suffix" : "" } ], "container-title" : "Urban Forestry and Urban Greening", "id" : "ITEM-1", "issue" : "2", "issued" : { "date-parts" : [ [ "2013" ] ] }, "page" : "144-153", "publisher" : "Elsevier GmbH.", "title" : "Relationships between bole and crown size for young urban trees in the northeastern USA", "type" : "article-journal", "volume" : "12" }, "uris" : [ "http://www.mendeley.com/documents/?uuid=8878d51b-4764-47aa-82f6-8ba5024ee4d1" ] }, { "id" : "ITEM-2", "itemData" : { "DOI" : "10.1007/s11252-013-0320-5", "ISSN" : "15731642", "author" : [ { "dropping-particle" : "", "family" : "Roman", "given" : "Lara a.", "non-dropping-particle" : "", "parse-names" : false, "suffix" : "" }, { "dropping-particle" : "", "family" : "Battles", "given" : "John J.", "non-dropping-particle" : "", "parse-names" : false, "suffix" : "" }, { "dropping-particle" : "", "family" : "McBride", "given" : "Joe R.", "non-dropping-particle" : "", "parse-names" : false, "suffix" : "" } ], "container-title" : "Urban Ecosystems", "id" : "ITEM-2", "issue" : "2", "issued" : { "date-parts" : [ [ "2014" ] ] }, "page" : "387-404", "title" : "The balance of planting and mortality in a street tree population", "type" : "article-journal", "volume" : "17" }, "uris" : [ "http://www.mendeley.com/documents/?uuid=8bab05bf-b6a5-4b45-ac62-928d7917774f" ] }, { "id" : "ITEM-3", "itemData" : { "author" : [ { "dropping-particle" : "", "family" : "Nowak", "given" : "David J", "non-dropping-particle" : "", "parse-names" : false, "suffix" : "" }, { "dropping-particle" : "", "family" : "Crane", "given" : "Daniel E", "non-dropping-particle" : "", "parse-names" : false, "suffix" : "" } ], "container-title" : "Environmental Pollution", "id" : "ITEM-3", "issued" : { "date-parts" : [ [ "2002" ] ] }, "page" : "381-389", "title" : "Carbon storage and sequestration by urban trees in the USA", "type" : "article-journal", "volume" : "116" }, "uris" : [ "http://www.mendeley.com/documents/?uuid=f93be3c7-1525-4e7b-8edf-91ba63072936" ] } ], "mendeley" : { "formattedCitation" : "(Nowak and Crane, 2002; Roman et al., 2014; Troxel et al., 2013)", "plainTextFormattedCitation" : "(Nowak and Crane, 2002; Roman et al., 2014; Troxel et al., 2013)", "previouslyFormattedCitation" : "(Nowak and Crane, 2002; Roman et al., 2014; Troxel et al., 2013)" }, "properties" : { "noteIndex" : 0 }, "schema" : "https://github.com/citation-style-language/schema/raw/master/csl-citation.json" }</w:instrText>
      </w:r>
      <w:r w:rsidRPr="004845FE">
        <w:rPr>
          <w:rFonts w:ascii="Palatino Linotype" w:hAnsi="Palatino Linotype"/>
        </w:rPr>
        <w:fldChar w:fldCharType="separate"/>
      </w:r>
      <w:r w:rsidR="00BF6C71" w:rsidRPr="00BF6C71">
        <w:rPr>
          <w:rFonts w:ascii="Palatino Linotype" w:hAnsi="Palatino Linotype"/>
          <w:noProof/>
        </w:rPr>
        <w:t>(Nowak and Crane, 2002; Roman et al., 2014; Troxel et al., 2013)</w:t>
      </w:r>
      <w:r w:rsidRPr="004845FE">
        <w:rPr>
          <w:rFonts w:ascii="Palatino Linotype" w:hAnsi="Palatino Linotype"/>
        </w:rPr>
        <w:fldChar w:fldCharType="end"/>
      </w:r>
      <w:r w:rsidRPr="004845FE">
        <w:rPr>
          <w:rFonts w:ascii="Palatino Linotype" w:hAnsi="Palatino Linotype"/>
        </w:rPr>
        <w:t xml:space="preserve">, while removing large, old trees that store large amounts of C and cast the most shade </w:t>
      </w:r>
      <w:r w:rsidRPr="004845FE">
        <w:rPr>
          <w:rFonts w:ascii="Palatino Linotype" w:hAnsi="Palatino Linotype"/>
        </w:rPr>
        <w:fldChar w:fldCharType="begin" w:fldLock="1"/>
      </w:r>
      <w:r w:rsidR="000C0119">
        <w:rPr>
          <w:rFonts w:ascii="Palatino Linotype" w:hAnsi="Palatino Linotype"/>
        </w:rPr>
        <w:instrText>ADDIN CSL_CITATION { "citationItems" : [ { "id" : "ITEM-1", "itemData" : { "DOI" : "10.1078/1618-8667-00030", "ISBN" : "16188667", "ISSN" : "16188667", "abstract" : "Based on re-measurements (1999 and 2001) of randomly-distributed perma- nent plots within the city boundaries of Baltimore, Maryland, trees are estimated to have an annual mortality rate of 6.6% with an overall annual net change in the number of live trees of -4.2%. Tree mortality rates were significantly different based on tree size, condi- tion, species, and Land use. Morus alba, Ailanthus altissima, and trees in small diameter classes, poor condition, or in transportation or commercial - industrial land uses exhibit- ed relatively high mortality rates. Trees in medium- to low-density residential areas ex- hibited low mortality rates. The high mortality rate for A. altissima is an artifact of this species distribution among land use types (24% were in the transportation land use). Based on a new tree population projection model that incorporates Baltimore's existing tree population and annual mortality estimates, along with estimates of annual tree growth, Baltimore's urban forest is projected to decline in both number of trees and canopy area over the next century. Factors affecting urban tree mortality are discussed.", "author" : [ { "dropping-particle" : "", "family" : "Nowak", "given" : "David J", "non-dropping-particle" : "", "parse-names" : false, "suffix" : "" }, { "dropping-particle" : "", "family" : "Kuroda", "given" : "Miki", "non-dropping-particle" : "", "parse-names" : false, "suffix" : "" }, { "dropping-particle" : "", "family" : "Crane", "given" : "Daniel E", "non-dropping-particle" : "", "parse-names" : false, "suffix" : "" } ], "container-title" : "Urban Forestry &amp; Urban Greening", "id" : "ITEM-1", "issue" : "3", "issued" : { "date-parts" : [ [ "2004" ] ] }, "page" : "139-147", "title" : "Tree mortality rates and tree population projections in Baltimore, Maryland, USA", "type" : "article-journal", "volume" : "2" }, "uris" : [ "http://www.mendeley.com/documents/?uuid=44cc9eec-7f0c-48bc-bab0-3932222b3a2f" ] } ], "mendeley" : { "formattedCitation" : "(Nowak et al., 2004)", "plainTextFormattedCitation" : "(Nowak et al., 2004)", "previouslyFormattedCitation" : "(Nowak et al., 2004)" }, "properties" : { "noteIndex" : 0 }, "schema" : "https://github.com/citation-style-language/schema/raw/master/csl-citation.json" }</w:instrText>
      </w:r>
      <w:r w:rsidRPr="004845FE">
        <w:rPr>
          <w:rFonts w:ascii="Palatino Linotype" w:hAnsi="Palatino Linotype"/>
        </w:rPr>
        <w:fldChar w:fldCharType="separate"/>
      </w:r>
      <w:r w:rsidR="00BF6C71" w:rsidRPr="00BF6C71">
        <w:rPr>
          <w:rFonts w:ascii="Palatino Linotype" w:hAnsi="Palatino Linotype"/>
          <w:noProof/>
        </w:rPr>
        <w:t>(Nowak et al., 2004)</w:t>
      </w:r>
      <w:r w:rsidRPr="004845FE">
        <w:rPr>
          <w:rFonts w:ascii="Palatino Linotype" w:hAnsi="Palatino Linotype"/>
        </w:rPr>
        <w:fldChar w:fldCharType="end"/>
      </w:r>
      <w:r w:rsidRPr="004845FE">
        <w:rPr>
          <w:rFonts w:ascii="Palatino Linotype" w:hAnsi="Palatino Linotype"/>
        </w:rPr>
        <w:t>, a pattern that suggests urban ‘greening’ initiatives may struggle to meet their goals.</w:t>
      </w:r>
    </w:p>
    <w:p w14:paraId="18970A11" w14:textId="53777786" w:rsidR="002F3103" w:rsidRPr="004845FE" w:rsidRDefault="002F3103">
      <w:pPr>
        <w:spacing w:line="360" w:lineRule="auto"/>
        <w:rPr>
          <w:rFonts w:ascii="Palatino Linotype" w:hAnsi="Palatino Linotype"/>
        </w:rPr>
      </w:pPr>
      <w:r w:rsidRPr="004845FE">
        <w:rPr>
          <w:rFonts w:ascii="Palatino Linotype" w:hAnsi="Palatino Linotype"/>
        </w:rPr>
        <w:lastRenderedPageBreak/>
        <w:t xml:space="preserve">The high rate of C exchange </w:t>
      </w:r>
      <w:r>
        <w:rPr>
          <w:rFonts w:ascii="Palatino Linotype" w:hAnsi="Palatino Linotype"/>
        </w:rPr>
        <w:t>from</w:t>
      </w:r>
      <w:r w:rsidRPr="004845FE">
        <w:rPr>
          <w:rFonts w:ascii="Palatino Linotype" w:hAnsi="Palatino Linotype"/>
        </w:rPr>
        <w:t xml:space="preserve"> urban vegetation</w:t>
      </w:r>
      <w:r>
        <w:rPr>
          <w:rFonts w:ascii="Palatino Linotype" w:hAnsi="Palatino Linotype"/>
        </w:rPr>
        <w:t xml:space="preserve"> suggested by our model estimates </w:t>
      </w:r>
      <w:r w:rsidRPr="004845FE">
        <w:rPr>
          <w:rFonts w:ascii="Palatino Linotype" w:hAnsi="Palatino Linotype"/>
        </w:rPr>
        <w:t>belies its limited capacity to offset anthropogenic emissions by sequestering CO</w:t>
      </w:r>
      <w:r w:rsidRPr="004845FE">
        <w:rPr>
          <w:rFonts w:ascii="Palatino Linotype" w:hAnsi="Palatino Linotype"/>
          <w:vertAlign w:val="subscript"/>
        </w:rPr>
        <w:t>2</w:t>
      </w:r>
      <w:r w:rsidRPr="004845FE">
        <w:rPr>
          <w:rFonts w:ascii="Palatino Linotype" w:hAnsi="Palatino Linotype"/>
        </w:rPr>
        <w:t xml:space="preserve"> in AGB. Turnover rates of urban C pools are unknown but intensive management practices including leaf litter collection, mulching, and fertilizing likely accelerate C cycling </w:t>
      </w:r>
      <w:r w:rsidRPr="004845FE">
        <w:rPr>
          <w:rFonts w:ascii="Palatino Linotype" w:hAnsi="Palatino Linotype"/>
        </w:rPr>
        <w:fldChar w:fldCharType="begin" w:fldLock="1"/>
      </w:r>
      <w:r w:rsidR="000C0119">
        <w:rPr>
          <w:rFonts w:ascii="Palatino Linotype" w:hAnsi="Palatino Linotype"/>
        </w:rPr>
        <w:instrText>ADDIN CSL_CITATION { "citationItems" : [ { "id" : "ITEM-1", "itemData" : { "DOI" : "10.1016/j.envpol.2014.11.016", "ISSN" : "02697491", "author" : [ { "dropping-particle" : "", "family" : "Templer", "given" : "Pamela H.", "non-dropping-particle" : "", "parse-names" : false, "suffix" : "" }, { "dropping-particle" : "", "family" : "Toll", "given" : "Jonathan W.", "non-dropping-particle" : "", "parse-names" : false, "suffix" : "" }, { "dropping-particle" : "", "family" : "Hutyra", "given" : "Lucy R.", "non-dropping-particle" : "", "parse-names" : false, "suffix" : "" }, { "dropping-particle" : "", "family" : "Raciti", "given" : "Steve M.", "non-dropping-particle" : "", "parse-names" : false, "suffix" : "" } ], "container-title" : "Environmental Pollution", "id" : "ITEM-1", "issued" : { "date-parts" : [ [ "2015" ] ] }, "page" : "256-261", "publisher" : "Elsevier Ltd", "title" : "Nitrogen and carbon export from urban areas through removal and export of litterfall", "type" : "article-journal", "volume" : "197" }, "uris" : [ "http://www.mendeley.com/documents/?uuid=ea57bae6-1189-4691-a28e-617f557094ad" ] }, { "id" : "ITEM-2", "itemData" : { "DOI" : "10.1007/s10533-013-9861-1", "ISBN" : "0168-2563", "ISSN" : "01682563", "author" : [ { "dropping-particle" : "", "family" : "Rao", "given" : "Preeti", "non-dropping-particle" : "", "parse-names" : false, "suffix" : "" }, { "dropping-particle" : "", "family" : "Hutyra", "given" : "Lucy R.", "non-dropping-particle" : "", "parse-names" : false, "suffix" : "" }, { "dropping-particle" : "", "family" : "Raciti", "given" : "Steve M.", "non-dropping-particle" : "", "parse-names" : false, "suffix" : "" }, { "dropping-particle" : "", "family" : "Templer", "given" : "Pamela H.", "non-dropping-particle" : "", "parse-names" : false, "suffix" : "" } ], "container-title" : "Biogeochemistry", "id" : "ITEM-2", "issued" : { "date-parts" : [ [ "2014" ] ] }, "page" : "229\u2013245", "title" : "Atmospheric nitrogen inputs and losses along an urbanization gradient from Boston to Harvard Forest, MA", "type" : "article-journal", "volume" : "121" }, "uris" : [ "http://www.mendeley.com/documents/?uuid=e5f6a3a3-1364-4742-b83e-d02e3c1375fe" ] }, { "id" : "ITEM-3", "itemData" : { "DOI" : "10.1371/journal.pone.0136237", "ISSN" : "1932-6203", "author" : [ { "dropping-particle" : "", "family" : "Briber", "given" : "Brittain M.", "non-dropping-particle" : "", "parse-names" : false, "suffix" : "" }, { "dropping-particle" : "", "family" : "Hutyra", "given" : "Lucy R.", "non-dropping-particle" : "", "parse-names" : false, "suffix" : "" }, { "dropping-particle" : "", "family" : "Reinmann", "given" : "Andrew B.", "non-dropping-particle" : "", "parse-names" : false, "suffix" : "" }, { "dropping-particle" : "", "family" : "Raciti", "given" : "Steve M.", "non-dropping-particle" : "", "parse-names" : false, "suffix" : "" }, { "dropping-particle" : "", "family" : "Dearborn", "given" : "Victoria K.", "non-dropping-particle" : "", "parse-names" : false, "suffix" : "" }, { "dropping-particle" : "", "family" : "Holden", "given" : "Christopher E.", "non-dropping-particle" : "", "parse-names" : false, "suffix" : "" }, { "dropping-particle" : "", "family" : "Dunn", "given" : "Allison L.", "non-dropping-particle" : "", "parse-names" : false, "suffix" : "" } ], "container-title" : "Plos One", "id" : "ITEM-3", "issue" : "8", "issued" : { "date-parts" : [ [ "2015" ] ] }, "page" : "e0136237", "title" : "Tree Productivity Enhanced with Conversion from Forest to Urban Land Covers", "type" : "article-journal", "volume" : "10" }, "uris" : [ "http://www.mendeley.com/documents/?uuid=86115d03-2e91-4ebf-877b-04975096d6e9" ] } ], "mendeley" : { "formattedCitation" : "(Briber et al., 2015; Rao et al., 2014; Templer et al., 2015)", "plainTextFormattedCitation" : "(Briber et al., 2015; Rao et al., 2014; Templer et al., 2015)", "previouslyFormattedCitation" : "(Briber et al., 2015; Rao et al., 2014; Templer et al., 2015)" }, "properties" : { "noteIndex" : 0 }, "schema" : "https://github.com/citation-style-language/schema/raw/master/csl-citation.json" }</w:instrText>
      </w:r>
      <w:r w:rsidRPr="004845FE">
        <w:rPr>
          <w:rFonts w:ascii="Palatino Linotype" w:hAnsi="Palatino Linotype"/>
        </w:rPr>
        <w:fldChar w:fldCharType="separate"/>
      </w:r>
      <w:r w:rsidR="00BF6C71" w:rsidRPr="00BF6C71">
        <w:rPr>
          <w:rFonts w:ascii="Palatino Linotype" w:hAnsi="Palatino Linotype"/>
          <w:noProof/>
        </w:rPr>
        <w:t>(Briber et al., 2015; Rao et al., 2014; Templer et al., 2015)</w:t>
      </w:r>
      <w:r w:rsidRPr="004845FE">
        <w:rPr>
          <w:rFonts w:ascii="Palatino Linotype" w:hAnsi="Palatino Linotype"/>
        </w:rPr>
        <w:fldChar w:fldCharType="end"/>
      </w:r>
      <w:r w:rsidRPr="004845FE">
        <w:rPr>
          <w:rFonts w:ascii="Palatino Linotype" w:hAnsi="Palatino Linotype"/>
        </w:rPr>
        <w:t xml:space="preserve">. </w:t>
      </w:r>
      <w:r>
        <w:rPr>
          <w:rFonts w:ascii="Palatino Linotype" w:hAnsi="Palatino Linotype"/>
        </w:rPr>
        <w:t>L</w:t>
      </w:r>
      <w:r w:rsidRPr="004845FE">
        <w:rPr>
          <w:rFonts w:ascii="Palatino Linotype" w:hAnsi="Palatino Linotype"/>
        </w:rPr>
        <w:t xml:space="preserve">and owners seldom </w:t>
      </w:r>
      <w:r>
        <w:rPr>
          <w:rFonts w:ascii="Palatino Linotype" w:hAnsi="Palatino Linotype"/>
        </w:rPr>
        <w:t>allow</w:t>
      </w:r>
      <w:r w:rsidRPr="004845FE">
        <w:rPr>
          <w:rFonts w:ascii="Palatino Linotype" w:hAnsi="Palatino Linotype"/>
        </w:rPr>
        <w:t xml:space="preserve"> </w:t>
      </w:r>
      <w:r>
        <w:rPr>
          <w:rFonts w:ascii="Palatino Linotype" w:hAnsi="Palatino Linotype"/>
        </w:rPr>
        <w:t>u</w:t>
      </w:r>
      <w:r w:rsidRPr="004845FE">
        <w:rPr>
          <w:rFonts w:ascii="Palatino Linotype" w:hAnsi="Palatino Linotype"/>
        </w:rPr>
        <w:t xml:space="preserve">rban vegetation to accumulate large pools of woody debris and snags, a major slow-turnover C pool that contributes to long-term C storage in rural forests </w:t>
      </w:r>
      <w:r w:rsidR="00BF6C71">
        <w:rPr>
          <w:rFonts w:ascii="Palatino Linotype" w:hAnsi="Palatino Linotype"/>
        </w:rPr>
        <w:fldChar w:fldCharType="begin" w:fldLock="1"/>
      </w:r>
      <w:r w:rsidR="000C0119">
        <w:rPr>
          <w:rFonts w:ascii="Palatino Linotype" w:hAnsi="Palatino Linotype"/>
        </w:rPr>
        <w:instrText>ADDIN CSL_CITATION { "citationItems" : [ { "id" : "ITEM-1", "itemData" : { "DOI" : "10.1016/S0065-2504(08)60121-X", "ISBN" : "9780120139156", "ISSN" : "00652504", "PMID" : "3866", "abstract" : "Coarse woody debris (CWD) is an important component of temperate stream and forest ecosystems. This chapter reviews the rates at which CWD is added and removed from ecosystems, the biomass found in streams and forests, and many functions that CWD serves. CWD is added to ecosystems by numerous mechanisms, including wind, fire, insect attack, pathogens, competition, and geomorphic processes. Despite the many long-term studies on tree mortality, there are few published rates of CWD input on mass-area-1 time-1 basis. CWD is significantly transformed physically and chemically. Movement of CWD, especially in streams, is also an important but poorly documented mechanism whereby CWD is lost from ecosystems. Many factors control the rate at which CWD decomposes, including temperature, moisture, internal gas composition of CWD, substrate quality, size of CWD, and types of organisms involved. However, the importance of many of these factors has yet to be established in field experiments. CWD performs many functions in ecosystems, serving as autotrophic and heterotrophic habitat and strongly influencing geomorphic processes, especially in streams. It is also a major component of nutrient cycles in many ecosystems and is an important functional component of stream and forest ecosystems.", "author" : [ { "dropping-particle" : "", "family" : "Harmon", "given" : "M.E. ME", "non-dropping-particle" : "", "parse-names" : false, "suffix" : "" }, { "dropping-particle" : "", "family" : "Franklin", "given" : "J.F. JF", "non-dropping-particle" : "", "parse-names" : false, "suffix" : "" }, { "dropping-particle" : "", "family" : "Swanson", "given" : "F.J.", "non-dropping-particle" : "", "parse-names" : false, "suffix" : "" }, { "dropping-particle" : "", "family" : "Sollins", "given" : "P.", "non-dropping-particle" : "", "parse-names" : false, "suffix" : "" }, { "dropping-particle" : "", "family" : "Gregory", "given" : "S.V.", "non-dropping-particle" : "", "parse-names" : false, "suffix" : "" }, { "dropping-particle" : "", "family" : "Lattin", "given" : "J.D.", "non-dropping-particle" : "", "parse-names" : false, "suffix" : "" }, { "dropping-particle" : "", "family" : "Anderson", "given" : "N.H.", "non-dropping-particle" : "", "parse-names" : false, "suffix" : "" }, { "dropping-particle" : "", "family" : "Cline", "given" : "S.P.", "non-dropping-particle" : "", "parse-names" : false, "suffix" : "" }, { "dropping-particle" : "", "family" : "Aumen", "given" : "N.G.", "non-dropping-particle" : "", "parse-names" : false, "suffix" : "" }, { "dropping-particle" : "", "family" : "Sedell", "given" : "J.R.", "non-dropping-particle" : "", "parse-names" : false, "suffix" : "" }, { "dropping-particle" : "", "family" : "Lienkaemper", "given" : "G.W.", "non-dropping-particle" : "", "parse-names" : false, "suffix" : "" }, { "dropping-particle" : "", "family" : "Cromack", "given" : "K.", "non-dropping-particle" : "", "parse-names" : false, "suffix" : "" }, { "dropping-particle" : "", "family" : "Cummins", "given" : "K.W.", "non-dropping-particle" : "", "parse-names" : false, "suffix" : "" }, { "dropping-particle" : "", "family" : "Cromack Jr.", "given" : "K", "non-dropping-particle" : "", "parse-names" : false, "suffix" : "" }, { "dropping-particle" : "", "family" : "Cummins", "given" : "K.W.", "non-dropping-particle" : "", "parse-names" : false, "suffix" : "" } ], "container-title" : "Advances in Ecological Research", "id" : "ITEM-1", "issued" : { "date-parts" : [ [ "1986" ] ] }, "page" : "133-302", "title" : "Ecology of coarse woody debris in temperate ecosystems", "type" : "article", "volume" : "15" }, "uris" : [ "http://www.mendeley.com/documents/?uuid=083235f5-d667-46a9-86d8-902d69525822" ] }, { "id" : "ITEM-2", "itemData" : { "DOI" : "10.1016/j.foreco.2007.03.039", "ISBN" : "0378-1127", "ISSN" : "03781127", "abstract" : "Comprehensive estimates of forest carbon (C) mass and respiration require measurements of all C pools, including coarse woody debris (CWD). We used inventory and chamber-based methods to quantify C mass and the annual respiratory C loss from CWD and other major ecosystem components for a deciduous forest in the upper Great Lakes region. Coarse woody debris mass (MCWD, 2.2 Mg C ha(-1)) was less than that of soils (104.1 Mg C ha(-1)) and boles (71.7 Mg C ha(-1)), but similar to that of leaves (1.8 Mg C ha(-1)). Coarse woody debris respiration (RCWD) increased with temperature and water content, with differences in RCWD among decay classes due to variation in water content rather than to variable sensitivity to environmental conditions. Sensitivity of RCWD to changing temperature, evaluated as Q In, ranged from 2.20 to 2.57 and was variable among decay classes. Annual CWD respiration (F-CWD, 0.21 Mg C ha(-1) year(-1)) was 12% of bole respiration, 8% of leaf respiration, and 2% of soil respiration. The CWD decomposition rate-constant (F-CWD/M-CWD) in 2004 was 0.09 year(-1). When compared to the average annual ecosystem C storage of 1.53 Mg C ha(-1) year(-1), FCWD represents a small, but substantial flux that is expected to increase over the next several decades in this maturing forest. (c) 2007 Elsevier B.V. All rights reserved.", "author" : [ { "dropping-particle" : "", "family" : "Gough", "given" : "Christopher M", "non-dropping-particle" : "", "parse-names" : false, "suffix" : "" }, { "dropping-particle" : "", "family" : "Vogel", "given" : "Christoph S", "non-dropping-particle" : "", "parse-names" : false, "suffix" : "" }, { "dropping-particle" : "", "family" : "Kazanski", "given" : "Clare", "non-dropping-particle" : "", "parse-names" : false, "suffix" : "" }, { "dropping-particle" : "", "family" : "Nagel", "given" : "Laura", "non-dropping-particle" : "", "parse-names" : false, "suffix" : "" }, { "dropping-particle" : "", "family" : "Flower", "given" : "Charles E", "non-dropping-particle" : "", "parse-names" : false, "suffix" : "" }, { "dropping-particle" : "", "family" : "Curtis", "given" : "Peter S", "non-dropping-particle" : "", "parse-names" : false, "suffix" : "" } ], "container-title" : "Forest Ecology and Management", "id" : "ITEM-2", "issue" : "1-3", "issued" : { "date-parts" : [ [ "2007", "6" ] ] }, "note" : "From Duplicate 2 (Coarse woody debris and the carbon balance of a north temperate forest - Gough, Christopher M; Vogel, Christoph S; Kazanski, Clare; Nagel, Laura; Flower, Charles E; Curtis, Peter S)\n\nFrom Duplicate 1 (Coarse woody debris and the carbon balance of a north temperate forest - Gough, Christopher M; Vogel, Christoph S; Kazanski, Clare; Nagel, Laura; Flower, Charles E; Curtis, Peter S)\n\nFrom Duplicate 2 ( \n\n\nCoarse woody debris and the carbon balance of a north temperate forest\n\n\n- Gough, Christopher M; Vogel, Christoph S; Kazanski, Clare; Nagel, Laura; Flower, Charles E; Curtis, Peter S )\n\n\n\n\nFrom Duplicate 2 ( \n\n\nCoarse woody debris and the carbon balance of a north temperate forest\n\n\n- Gough, Christopher M; Vogel, Christoph S; Kazanski, Clare; Nagel, Laura; Flower, Charles E; Curtis, Peter S )\n\n\n\nFrom Duplicate 2 (Coarse woody debris and the carbon balance of a north temperate forest - Gough, Christopher M; Vogel, Christoph S; Kazanski, Clare; Nagel, Laura; Flower, Charles E; Curtis, Peter S)\n\nFrom Duplicate 1 ( \n\nCoarse woody debris and the carbon balance of a north temperate forest\n\n- Gough, Christopher M; Vogel, Christoph S; Kazanski, Clare; Nagel, Laura; Flower, Charles E; Curtis, Peter S )\n\n\n\n\nFrom Duplicate 2 ( \n\n\nCoarse woody debris and the carbon balance of a north temperate forest\n\n\n- Gough, Christopher M; Vogel, Christoph S; Kazanski, Clare; Nagel, Laura; Flower, Charles E; Curtis, Peter S )\n\n\n\n\nFrom Duplicate 2 ( \n\n\nCoarse woody debris and the carbon balance of a north temperate forest\n\n\n- Gough, Christopher M; Vogel, Christoph S; Kazanski, Clare; Nagel, Laura; Flower, Charles E; Curtis, Peter S )\n\n\n\n\n\n\n\n\n\n\n\n\n\n\n\n\nFrom Duplicate 2 ( \n\nCoarse woody debris and the carbon balance of a north temperate forest\n\n- Gough, Christopher M; Vogel, Christoph S; Kazanski, Clare; Nagel, Laura; Flower, Charles E; Curtis, Peter S )\n\n", "page" : "60-67", "publisher" : "Elsevier Science Bv", "title" : "Coarse woody debris and the carbon balance of a north temperate forest", "type" : "article-journal", "volume" : "244" }, "uris" : [ "http://www.mendeley.com/documents/?uuid=e4dc0626-ea03-419e-9eab-af599823f76d" ] }, { "id" : "ITEM-3", "itemData" : { "DOI" : "10.1002/ecs2.1375", "author" : [ { "dropping-particle" : "", "family" : "Gough", "given" : "Christopher M.", "non-dropping-particle" : "", "parse-names" : false, "suffix" : "" }, { "dropping-particle" : "", "family" : "Curtis", "given" : "Peter S.", "non-dropping-particle" : "", "parse-names" : false, "suffix" : "" }, { "dropping-particle" : "", "family" : "Hardiman", "given" : "Brady S.", "non-dropping-particle" : "", "parse-names" : false, "suffix" : "" }, { "dropping-particle" : "", "family" : "Scheuermann", "given" : "Cynthia", "non-dropping-particle" : "", "parse-names" : false, "suffix" : "" }, { "dropping-particle" : "", "family" : "Bond-Lamberty", "given" : "Ben", "non-dropping-particle" : "", "parse-names" : false, "suffix" : "" } ], "container-title" : "Ecosphere", "id" : "ITEM-3", "issue" : "6", "issued" : { "date-parts" : [ [ "2016" ] ] }, "title" : "INNOVATIVE VIEWPOINT: Disturbance, complexity, and succession of net ecosystem production in North America's temperate deciduous forests", "type" : "article-journal", "volume" : "7" }, "uris" : [ "http://www.mendeley.com/documents/?uuid=d3ae7e25-9f19-4a63-9a96-f32424ea90fd" ] } ], "mendeley" : { "formattedCitation" : "(Gough et al., 2016, 2007; Harmon et al., 1986)", "plainTextFormattedCitation" : "(Gough et al., 2016, 2007; Harmon et al., 1986)", "previouslyFormattedCitation" : "(Gough et al., 2016, 2007; Harmon et al., 1986)" }, "properties" : { "noteIndex" : 0 }, "schema" : "https://github.com/citation-style-language/schema/raw/master/csl-citation.json" }</w:instrText>
      </w:r>
      <w:r w:rsidR="00BF6C71">
        <w:rPr>
          <w:rFonts w:ascii="Palatino Linotype" w:hAnsi="Palatino Linotype"/>
        </w:rPr>
        <w:fldChar w:fldCharType="separate"/>
      </w:r>
      <w:r w:rsidR="00BF6C71" w:rsidRPr="00BF6C71">
        <w:rPr>
          <w:rFonts w:ascii="Palatino Linotype" w:hAnsi="Palatino Linotype"/>
          <w:noProof/>
        </w:rPr>
        <w:t>(Gough et al., 2016, 2007; Harmon et al., 1986)</w:t>
      </w:r>
      <w:r w:rsidR="00BF6C71">
        <w:rPr>
          <w:rFonts w:ascii="Palatino Linotype" w:hAnsi="Palatino Linotype"/>
        </w:rPr>
        <w:fldChar w:fldCharType="end"/>
      </w:r>
      <w:r w:rsidRPr="004845FE">
        <w:rPr>
          <w:rFonts w:ascii="Palatino Linotype" w:hAnsi="Palatino Linotype"/>
        </w:rPr>
        <w:t xml:space="preserve">. </w:t>
      </w:r>
      <w:r>
        <w:rPr>
          <w:rFonts w:ascii="Palatino Linotype" w:hAnsi="Palatino Linotype"/>
        </w:rPr>
        <w:t>Live u</w:t>
      </w:r>
      <w:r w:rsidRPr="004845FE">
        <w:rPr>
          <w:rFonts w:ascii="Palatino Linotype" w:hAnsi="Palatino Linotype"/>
        </w:rPr>
        <w:t xml:space="preserve">rban trees are often aggressively pruned and cut down, comprising AGB removals of unknown magnitude and frequency </w:t>
      </w:r>
      <w:r w:rsidRPr="004845FE">
        <w:rPr>
          <w:rFonts w:ascii="Palatino Linotype" w:hAnsi="Palatino Linotype"/>
        </w:rPr>
        <w:fldChar w:fldCharType="begin" w:fldLock="1"/>
      </w:r>
      <w:r w:rsidR="000C0119">
        <w:rPr>
          <w:rFonts w:ascii="Palatino Linotype" w:hAnsi="Palatino Linotype"/>
        </w:rPr>
        <w:instrText>ADDIN CSL_CITATION { "citationItems" : [ { "id" : "ITEM-1", "itemData" : { "DOI" : "10.1016/j.envpol.2014.11.016", "ISSN" : "02697491", "author" : [ { "dropping-particle" : "", "family" : "Templer", "given" : "Pamela H.", "non-dropping-particle" : "", "parse-names" : false, "suffix" : "" }, { "dropping-particle" : "", "family" : "Toll", "given" : "Jonathan W.", "non-dropping-particle" : "", "parse-names" : false, "suffix" : "" }, { "dropping-particle" : "", "family" : "Hutyra", "given" : "Lucy R.", "non-dropping-particle" : "", "parse-names" : false, "suffix" : "" }, { "dropping-particle" : "", "family" : "Raciti", "given" : "Steve M.", "non-dropping-particle" : "", "parse-names" : false, "suffix" : "" } ], "container-title" : "Environmental Pollution", "id" : "ITEM-1", "issued" : { "date-parts" : [ [ "2015" ] ] }, "page" : "256-261", "publisher" : "Elsevier Ltd", "title" : "Nitrogen and carbon export from urban areas through removal and export of litterfall", "type" : "article-journal", "volume" : "197" }, "uris" : [ "http://www.mendeley.com/documents/?uuid=ea57bae6-1189-4691-a28e-617f557094ad" ] } ], "mendeley" : { "formattedCitation" : "(Templer et al., 2015)", "plainTextFormattedCitation" : "(Templer et al., 2015)", "previouslyFormattedCitation" : "(Templer et al., 2015)" }, "properties" : { "noteIndex" : 0 }, "schema" : "https://github.com/citation-style-language/schema/raw/master/csl-citation.json" }</w:instrText>
      </w:r>
      <w:r w:rsidRPr="004845FE">
        <w:rPr>
          <w:rFonts w:ascii="Palatino Linotype" w:hAnsi="Palatino Linotype"/>
        </w:rPr>
        <w:fldChar w:fldCharType="separate"/>
      </w:r>
      <w:r w:rsidR="00BF6C71" w:rsidRPr="00BF6C71">
        <w:rPr>
          <w:rFonts w:ascii="Palatino Linotype" w:hAnsi="Palatino Linotype"/>
          <w:noProof/>
        </w:rPr>
        <w:t>(Templer et al., 2015)</w:t>
      </w:r>
      <w:r w:rsidRPr="004845FE">
        <w:rPr>
          <w:rFonts w:ascii="Palatino Linotype" w:hAnsi="Palatino Linotype"/>
        </w:rPr>
        <w:fldChar w:fldCharType="end"/>
      </w:r>
      <w:r w:rsidRPr="004845FE">
        <w:rPr>
          <w:rFonts w:ascii="Palatino Linotype" w:hAnsi="Palatino Linotype"/>
        </w:rPr>
        <w:t>. Much of this AGB is relocated away from the site of production for firewood or to municipal composting facilities or is chipped and applied as mulch, creating undocumented and poorly understood hotspots of biogenic C emissions. Further, management practices for urban vegetation also contribute to FFCO</w:t>
      </w:r>
      <w:r w:rsidRPr="004845FE">
        <w:rPr>
          <w:rFonts w:ascii="Palatino Linotype" w:hAnsi="Palatino Linotype"/>
          <w:vertAlign w:val="subscript"/>
        </w:rPr>
        <w:t>2</w:t>
      </w:r>
      <w:r w:rsidRPr="004845FE">
        <w:rPr>
          <w:rFonts w:ascii="Palatino Linotype" w:hAnsi="Palatino Linotype"/>
        </w:rPr>
        <w:t xml:space="preserve"> emissions through fuel use in mowing, pruning and transportation </w:t>
      </w:r>
      <w:r w:rsidRPr="004845FE">
        <w:rPr>
          <w:rFonts w:ascii="Palatino Linotype" w:hAnsi="Palatino Linotype"/>
        </w:rPr>
        <w:fldChar w:fldCharType="begin" w:fldLock="1"/>
      </w:r>
      <w:r w:rsidR="000C0119">
        <w:rPr>
          <w:rFonts w:ascii="Palatino Linotype" w:hAnsi="Palatino Linotype"/>
        </w:rPr>
        <w:instrText>ADDIN CSL_CITATION { "citationItems" : [ { "id" : "ITEM-1", "itemData" : { "ISBN" : "10928987 (ISSN)", "ISSN" : "10928987", "author" : [ { "dropping-particle" : "", "family" : "Ryan", "given" : "Michael G", "non-dropping-particle" : "", "parse-names" : false, "suffix" : "" }, { "dropping-particle" : "", "family" : "Harmon", "given" : "Mark E", "non-dropping-particle" : "", "parse-names" : false, "suffix" : "" }, { "dropping-particle" : "", "family" : "Birdsey", "given" : "Richard a", "non-dropping-particle" : "", "parse-names" : false, "suffix" : "" }, { "dropping-particle" : "", "family" : "Giardina", "given" : "Christian P", "non-dropping-particle" : "", "parse-names" : false, "suffix" : "" }, { "dropping-particle" : "", "family" : "Heath", "given" : "Linda S", "non-dropping-particle" : "", "parse-names" : false, "suffix" : "" }, { "dropping-particle" : "", "family" : "Houghton", "given" : "Richard a", "non-dropping-particle" : "", "parse-names" : false, "suffix" : "" }, { "dropping-particle" : "", "family" : "Jackson", "given" : "Robert B", "non-dropping-particle" : "", "parse-names" : false, "suffix" : "" }, { "dropping-particle" : "", "family" : "Mckinley", "given" : "Duncan C", "non-dropping-particle" : "", "parse-names" : false, "suffix" : "" }, { "dropping-particle" : "", "family" : "Morrison", "given" : "James F", "non-dropping-particle" : "", "parse-names" : false, "suffix" : "" }, { "dropping-particle" : "", "family" : "Murray", "given" : "Brian C", "non-dropping-particle" : "", "parse-names" : false, "suffix" : "" }, { "dropping-particle" : "", "family" : "Pataki", "given" : "Diane E", "non-dropping-particle" : "", "parse-names" : false, "suffix" : "" }, { "dropping-particle" : "", "family" : "Skog", "given" : "Kenneth E", "non-dropping-particle" : "", "parse-names" : false, "suffix" : "" } ], "container-title" : "Issues in Ecology", "id" : "ITEM-1", "issue" : "13", "issued" : { "date-parts" : [ [ "2010" ] ] }, "page" : "1-16", "title" : "A Synthesis of the Science on for U . S . Forests", "type" : "article-journal" }, "uris" : [ "http://www.mendeley.com/documents/?uuid=a8cd58c9-5120-4bb4-bce8-754f5c250712" ] }, { "id" : "ITEM-2", "itemData" : { "abstract" : "McPherson, E. Gregory; Simpson, James R. 1999 Carbon dioxide reduction through urban forestry: Guidelines for professional and volunteer tree planters. Gen. Tech. Rep. PSW-GTR-171. Albany, CA: Pacific Southwest Research Station, Forest Service, U.S. Depart-ment of Agriculture; 237 p. Carbon dioxide reduction through urban forestry Guidelines for professional and volunteer tree planters has been developed by the Pacific Southwest Research Station's Western Center for Urban Forest Research and Education as a tool for utilities, urban foresters and arborists, municipalities, consultants, non-profit organizations and others to determine the effects of urban forests on atmospheric carbon dioxide (CO 2) reduction. The calculation of CO 2 reduction that can be made with the use of these Guidelines enables decision makers to incorporate urban forestry into their efforts to protect our global climate. With these Guidelines, they can: report current and future CO 2 reductions through a standardized accounting process; evaluate the cost-effectiveness of urban forestry programs with CO 2 reduction measures; compare benefits and costs of alternative urban forestry program designs; and produce educational materials that assess potential CO 2 reduction benefits and provide information on tree selection, placement, planting, and stewardship.", "author" : [ { "dropping-particle" : "", "family" : "McPherson", "given" : "E Gregory", "non-dropping-particle" : "", "parse-names" : false, "suffix" : "" }, { "dropping-particle" : "", "family" : "Simpson", "given" : "James R", "non-dropping-particle" : "", "parse-names" : false, "suffix" : "" } ], "container-title" : "Gen. Tech. Rep. PSW-171, USDA For. Serv., Pacific Southwest Research Station, Albany, CA", "id" : "ITEM-2", "issued" : { "date-parts" : [ [ "1999" ] ] }, "title" : "Carbon dioxide reduction through urban forestry", "type" : "article-journal" }, "uris" : [ "http://www.mendeley.com/documents/?uuid=a89bcb80-9b79-48d8-babe-9ef3f910402b" ] }, { "id" : "ITEM-3", "itemData" : { "DOI" : "10.1006/jema.1995.0062", "ISBN" : "0301-4797", "ISSN" : "03014797", "PMID" : "478", "abstract" : "There is increasing concern about the predicted negative effects of the future doubling of carbon dioxide on the earth. This concern has evoked interest in the potential for urban greenspace to help reduce the levels of atmospheric carbon. This study quantifies greenspace-related carbon storage and annual carbon fluxes for urban residential landscapes. For detailed quantification, the scale of this study was limited to two residential blocks in northwest Chicago which had a significant difference in vegetation cover. Differences between the two blocks in the size of greenspace area and vegetation cover resulted in considerable differences in total carbon storage and annual carbon uptake. Total carbon storage in greenspace was about26\u00b715 kg/m2of greenspace in study block 1, and 23\u00b720 kg/m2of greenspace in block 2. Of the total, soil carbon accounted for approximately 78\u00b77% in block 1 and 88\u00b77% in block 2. Trees and shrubs in block 1 and block 2 accounted for 20\u00b78% and 10\u00b76%, respectively. The carbon storage in grass and other herbaceous plants was approximately 0\u00b75\u20130\u00b77% in both blocks. Total net annual carbon input to the study blocks by all the greenspace components was in the region of 0\u00b749 kg/m2of greenspace in block 1 and 0\u00b732 kg/m2of greenspace in block 2. The principal net carbon release from greenspaces of the two residential landscapes was from grass maintenance. Greenspace planning and management strategies were explored to minimize carbon release and maximize carbon uptake.", "author" : [ { "dropping-particle" : "", "family" : "Jo", "given" : "Hyun-Kil", "non-dropping-particle" : "", "parse-names" : false, "suffix" : "" }, { "dropping-particle" : "", "family" : "McPherson", "given" : "Gregory E.", "non-dropping-particle" : "", "parse-names" : false, "suffix" : "" } ], "container-title" : "Journal of Environmental Management", "id" : "ITEM-3", "issue" : "2", "issued" : { "date-parts" : [ [ "1995" ] ] }, "page" : "109-133", "title" : "Carbon Storage and Flux in Urban Residential Greenspace", "type" : "article-journal", "volume" : "45" }, "uris" : [ "http://www.mendeley.com/documents/?uuid=027cf211-3b25-4a89-aef1-1516523b7d27" ] } ], "mendeley" : { "formattedCitation" : "(Jo and McPherson, 1995; McPherson and Simpson, 1999; Ryan et al., 2010)", "plainTextFormattedCitation" : "(Jo and McPherson, 1995; McPherson and Simpson, 1999; Ryan et al., 2010)", "previouslyFormattedCitation" : "(Jo and McPherson, 1995; McPherson and Simpson, 1999; Ryan et al., 2010)" }, "properties" : { "noteIndex" : 0 }, "schema" : "https://github.com/citation-style-language/schema/raw/master/csl-citation.json" }</w:instrText>
      </w:r>
      <w:r w:rsidRPr="004845FE">
        <w:rPr>
          <w:rFonts w:ascii="Palatino Linotype" w:hAnsi="Palatino Linotype"/>
        </w:rPr>
        <w:fldChar w:fldCharType="separate"/>
      </w:r>
      <w:r w:rsidR="00BF6C71" w:rsidRPr="00BF6C71">
        <w:rPr>
          <w:rFonts w:ascii="Palatino Linotype" w:hAnsi="Palatino Linotype"/>
          <w:noProof/>
        </w:rPr>
        <w:t>(Jo and McPherson, 1995; McPherson and Simpson, 1999; Ryan et al., 2010)</w:t>
      </w:r>
      <w:r w:rsidRPr="004845FE">
        <w:rPr>
          <w:rFonts w:ascii="Palatino Linotype" w:hAnsi="Palatino Linotype"/>
        </w:rPr>
        <w:fldChar w:fldCharType="end"/>
      </w:r>
      <w:r w:rsidRPr="004845FE">
        <w:rPr>
          <w:rFonts w:ascii="Palatino Linotype" w:hAnsi="Palatino Linotype"/>
        </w:rPr>
        <w:t xml:space="preserve">. Thus, management practices that remove both live and dead AGB limit the size of total AGB pools in urban ecosystems. </w:t>
      </w:r>
    </w:p>
    <w:p w14:paraId="37731F02" w14:textId="77777777" w:rsidR="002F3103" w:rsidRPr="0086350F" w:rsidRDefault="002F3103">
      <w:pPr>
        <w:pStyle w:val="SMHeading"/>
        <w:spacing w:line="360" w:lineRule="auto"/>
        <w:rPr>
          <w:rFonts w:ascii="Palatino Linotype" w:hAnsi="Palatino Linotype"/>
        </w:rPr>
      </w:pPr>
    </w:p>
    <w:p w14:paraId="2DEA7D46" w14:textId="77777777" w:rsidR="00CF37BD" w:rsidRPr="0086350F" w:rsidRDefault="00CF37BD">
      <w:pPr>
        <w:pStyle w:val="SMcaption"/>
        <w:spacing w:line="360" w:lineRule="auto"/>
        <w:rPr>
          <w:rFonts w:ascii="Palatino Linotype" w:hAnsi="Palatino Linotype"/>
          <w:b/>
          <w:szCs w:val="24"/>
        </w:rPr>
      </w:pPr>
      <w:r w:rsidRPr="0086350F">
        <w:rPr>
          <w:rFonts w:ascii="Palatino Linotype" w:hAnsi="Palatino Linotype"/>
          <w:b/>
          <w:szCs w:val="24"/>
        </w:rPr>
        <w:br w:type="page"/>
      </w:r>
      <w:r w:rsidRPr="0086350F">
        <w:rPr>
          <w:rFonts w:ascii="Palatino Linotype" w:hAnsi="Palatino Linotype"/>
          <w:b/>
          <w:szCs w:val="24"/>
        </w:rPr>
        <w:lastRenderedPageBreak/>
        <w:t>References</w:t>
      </w:r>
    </w:p>
    <w:p w14:paraId="1028E82E" w14:textId="1702F1F3" w:rsidR="00B64FB7" w:rsidRPr="00B64FB7" w:rsidRDefault="001B3508" w:rsidP="00B64FB7">
      <w:pPr>
        <w:widowControl w:val="0"/>
        <w:autoSpaceDE w:val="0"/>
        <w:autoSpaceDN w:val="0"/>
        <w:adjustRightInd w:val="0"/>
        <w:spacing w:after="140" w:line="360" w:lineRule="auto"/>
        <w:ind w:left="480" w:hanging="480"/>
        <w:rPr>
          <w:rFonts w:ascii="Palatino Linotype" w:hAnsi="Palatino Linotype"/>
          <w:noProof/>
        </w:rPr>
      </w:pPr>
      <w:r w:rsidRPr="0086350F">
        <w:rPr>
          <w:rFonts w:ascii="Palatino Linotype" w:hAnsi="Palatino Linotype"/>
          <w:b/>
          <w:szCs w:val="24"/>
        </w:rPr>
        <w:fldChar w:fldCharType="begin" w:fldLock="1"/>
      </w:r>
      <w:r w:rsidR="00CF37BD" w:rsidRPr="0086350F">
        <w:rPr>
          <w:rFonts w:ascii="Palatino Linotype" w:hAnsi="Palatino Linotype"/>
          <w:b/>
          <w:szCs w:val="24"/>
        </w:rPr>
        <w:instrText xml:space="preserve">ADDIN Mendeley Bibliography CSL_BIBLIOGRAPHY </w:instrText>
      </w:r>
      <w:r w:rsidRPr="0086350F">
        <w:rPr>
          <w:rFonts w:ascii="Palatino Linotype" w:hAnsi="Palatino Linotype"/>
          <w:b/>
          <w:szCs w:val="24"/>
        </w:rPr>
        <w:fldChar w:fldCharType="separate"/>
      </w:r>
      <w:r w:rsidR="00B64FB7" w:rsidRPr="00B64FB7">
        <w:rPr>
          <w:rFonts w:ascii="Palatino Linotype" w:hAnsi="Palatino Linotype"/>
          <w:noProof/>
        </w:rPr>
        <w:t>Birdsey, R., Pregitzer, K., Lucier, A., 2006. Forest carbon management in the United States: 1600-2100. J. Environ. Qual. 35, 1461–1469. doi:10.2134/jeq2005.0162</w:t>
      </w:r>
    </w:p>
    <w:p w14:paraId="0C5FEB21"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Briber, B.M., Hutyra, L.R., Reinmann, A.B., Raciti, S.M., Dearborn, V.K., Holden, C.E., Dunn, A.L., 2015. Tree Productivity Enhanced with Conversion from Forest to Urban Land Covers. PLoS One 10, e0136237. doi:10.1371/journal.pone.0136237</w:t>
      </w:r>
    </w:p>
    <w:p w14:paraId="56CC103A"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Clemants, S., Moore, G., 2003. Patterns of Species Richness in Eight Northeastern United States Cities. Urban Habitats 1, 4–16.</w:t>
      </w:r>
    </w:p>
    <w:p w14:paraId="6D976698"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Decina, S.M., Hutyra, L.R., Gately, C.K., Getson, J.M., Reinmann, A.B., Short Gianotti, A.G., Templer, P.H., 2016. Soil respiration contributes substantially to urban carbon fluxes in the greater Boston area. Environ. Pollut. 212, 433–439. doi:10.1016/j.envpol.2016.01.012</w:t>
      </w:r>
    </w:p>
    <w:p w14:paraId="6447DA24"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Friedl, M.A., Sulla-Menashe, D., Tan, B., Schneider, A., Ramankutty, N., Sibley, A., Huang, X., 2010. MODIS Collection 5 global land cover: Algorithm refinements and characterization of new datasets. Remote Sens. Environ. 114, 168–182. doi:10.1016/j.rse.2009.08.016</w:t>
      </w:r>
    </w:p>
    <w:p w14:paraId="338879E9"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Gately, C.K., Hutyra, L.R., Sue Wing, I., 2015. Cities, traffic, and CO2: A multidecadal assessment of trends, drivers, and scaling relationships. Proc. Natl. Acad. Sci. 112, 201421723. doi:10.1073/pnas.1421723112</w:t>
      </w:r>
    </w:p>
    <w:p w14:paraId="15B9A987"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Gaudinski, J., Trumbore, S., Davidson, E., 2000. Soil carbon cycling in a temperate forest: radiocarbon-based estimates of residence times,  …. Biogeochemistry 33–69. doi:10.1023/A:1006301010014</w:t>
      </w:r>
    </w:p>
    <w:p w14:paraId="0EA95745"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lastRenderedPageBreak/>
        <w:t>Georgescu, M., Morefield, P.E., Bierwagen, B.G., Weaver, C.P., 2014. Urban adaptation can roll back warming of emerging megapolitan regions. Proc. Natl. Acad. Sci. U. S. A. 111, 2909–14. doi:10.1073/pnas.1322280111</w:t>
      </w:r>
    </w:p>
    <w:p w14:paraId="1185A086"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Gough, C.M., Curtis, P.S., Hardiman, B.S., Scheuermann, C., Bond-Lamberty, B., 2016. INNOVATIVE VIEWPOINT: Disturbance, complexity, and succession of net ecosystem production in North America’s temperate deciduous forests. Ecosphere 7. doi:10.1002/ecs2.1375</w:t>
      </w:r>
    </w:p>
    <w:p w14:paraId="4E6BFFD5"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Gough, C.M., Vogel, C.S., Kazanski, C., Nagel, L., Flower, C.E., Curtis, P.S., 2007. Coarse woody debris and the carbon balance of a north temperate forest. For. Ecol. Manage. 244, 60–67. doi:10.1016/j.foreco.2007.03.039</w:t>
      </w:r>
    </w:p>
    <w:p w14:paraId="20426F57"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Gurney, K.R., Mendoza, D., Geethakumar, S., Zhou, Y., Sahni, N., Seib, B., Ansley, W., 2010. Vulcan Science Methods Documentation , Version 2.0 1–38.</w:t>
      </w:r>
    </w:p>
    <w:p w14:paraId="2FB611BB"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Harmon, M.E.M., Franklin, J.F.J., Swanson, F.J., Sollins, P., Gregory, S.V., Lattin, J.D., Anderson, N.H., Cline, S.P., Aumen, N.G., Sedell, J.R., Lienkaemper, G.W., Cromack, K., Cummins, K.W., Cromack Jr., K., Cummins, K.W., 1986. Ecology of coarse woody debris in temperate ecosystems. Adv. Ecol. Res. doi:10.1016/S0065-2504(08)60121-X</w:t>
      </w:r>
    </w:p>
    <w:p w14:paraId="76D30474"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Homer, C.G., Dewitz, J.A., Yang, L., Jin, S., Danielson, P., Xian, G., Coulston, J., Herold, N.D., Wickham, J.D., Megown, K., 2015. Completion of the 2011 National Land Cover Database for the conterminous United States-Representing a decade of land cover change information. Photogramm. Eng. Remote Sensing 81, 345–354.</w:t>
      </w:r>
    </w:p>
    <w:p w14:paraId="185EC7F6"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Hope, D., Gries, C., Zhu, W., Fagan, W.F., Redman, C.L., Grimm, N.B., Nelson, A.L., Martin, C., Kinzig, A., 2003. Socioeconomics drive urban plant diversity 100, 8788–8792. doi:10.1007/978-0-387-73412-5_21</w:t>
      </w:r>
    </w:p>
    <w:p w14:paraId="0729D88D"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lastRenderedPageBreak/>
        <w:t>Huang, W., Swatantran, A., Johnson, K., Duncanson, L., Tang, H., O’Neil Dunne, J., Hurtt, G., Dubayah, R., 2015. Local discrepancies in continental scale biomass maps: a case study over forested and non-forested landscapes in Maryland, USA. Carbon Balance Manag. 10, 19. doi:10.1186/s13021-015-0030-9</w:t>
      </w:r>
    </w:p>
    <w:p w14:paraId="6B6544D4"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Huete, A., Didan, K., Miura, T., Rodriguez, E.P., Gao, X., Ferreira, L.G., 2002. Overview of the radiometric and biophysical performance of the MODIS vegetation indices. Remote Sens. Environ. 83, 195–213. doi:10.1016/S0034-4257(02)00096-2</w:t>
      </w:r>
    </w:p>
    <w:p w14:paraId="270E6E48"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Hutyra, L.R., Yoon, B., Alberti, M., 2011. Terrestrial carbon stocks across a gradient of urbanization: a study of the Seattle, WA region. Glob. Chang. Biol. 783–797. doi:10.1111/j.1365-2486.2010.02238.x</w:t>
      </w:r>
    </w:p>
    <w:p w14:paraId="6FA97DF8"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Jo, H.-K., McPherson, G.E., 1995. Carbon Storage and Flux in Urban Residential Greenspace. J. Environ. Manage. 45, 109–133. doi:10.1006/jema.1995.0062</w:t>
      </w:r>
    </w:p>
    <w:p w14:paraId="54528DAD"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Kaye, J.P., McCulley, R.L., Burke, I.C., 2005. Carbon fluxes, nitrogen cycling, and soil microbial communities in adjacent urban, native and agricultural ecosystems. Glob. Chang. Biol. 11, 575–587. doi:10.1111/j.1365-2486.2005.00921.x</w:t>
      </w:r>
    </w:p>
    <w:p w14:paraId="7E1205FA"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Kellndorfer, J., Walker, W., Kirsch, K., Fiske, G., Bishop, J., LaPoint, L., Hoppus, M., Westfall, J., 2013. NACP Aboveground Biomass and Carbon Baseline Data, V. 2 (NBCD 2000). doi:10.3334/ORNLDAAC/1161</w:t>
      </w:r>
    </w:p>
    <w:p w14:paraId="147C49C0"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Lorenz, K., Lal, R., 2009. Biogeochemical C and N cycles in urban soils. Environ. Int. 35, 1–8. doi:10.1016/j.envint.2008.05.006</w:t>
      </w:r>
    </w:p>
    <w:p w14:paraId="7F25FD06"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 xml:space="preserve">Mahadevan, P., Wofsy, S.C., Matross, D.M., Xiao, X., Dunn, A.L., Lin, J.C., </w:t>
      </w:r>
      <w:r w:rsidRPr="00B64FB7">
        <w:rPr>
          <w:rFonts w:ascii="Palatino Linotype" w:hAnsi="Palatino Linotype"/>
          <w:noProof/>
        </w:rPr>
        <w:lastRenderedPageBreak/>
        <w:t>Gerbig, C., Munger, J.W., Chow, V.Y., Gottlieb, E.W., 2008. A satellite-based biosphere parameterization for net ecosystem CO2 exchange: Vegetation Photosynthesis and Respiration Model (VPRM). Global Biogeochem. Cycles 22. doi:10.1029/2006GB002735</w:t>
      </w:r>
    </w:p>
    <w:p w14:paraId="6F68CACF"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McPherson, E.G., Simpson, J.R., 1999. Carbon dioxide reduction through urban forestry. Gen. Tech. Rep. PSW-171, USDA For. Serv., Pacific Southwest Res. Station. Albany, CA.</w:t>
      </w:r>
    </w:p>
    <w:p w14:paraId="22395C50"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Milesi, C., Running, S.W., Elvidge, C.D., Dietz, J.B., Tuttle, B.T., Nemani, R.R., 2005. Mapping and modeling the biogeochemical cycling of turf grasses in the United States. Environ. Manage. 36, 426–438. doi:10.1007/s00267-004-0316-2</w:t>
      </w:r>
    </w:p>
    <w:p w14:paraId="0D973F4F"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Nehls, T., Jozefaciuk, G., Sokołowska, Z., Hajnos, M., Wessolek, G., 2006. Pore-system characteristics of pavement seam materials of urban sites. J. Plant Nutr. Soil Sci. 169, 16–24. doi:10.1002/jpln.200521724</w:t>
      </w:r>
    </w:p>
    <w:p w14:paraId="7E646FCB"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Ng, B.J.L., Hutyra, L.R., Nguyen, H., Cobb,  a. R., Kai, F.M., Harvey, C., Gandois, L., 2014. Carbon fluxes from an urban tropical grassland. Environ. Pollut. 203, 227–234. doi:10.1016/j.envpol.2014.06.009</w:t>
      </w:r>
    </w:p>
    <w:p w14:paraId="6E21C47E"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Nowak, D., Noble, M., Sissini, S., Dwyer, J., 2001. Assessing the US Urban Forest Resource. J. For. 37–42.</w:t>
      </w:r>
    </w:p>
    <w:p w14:paraId="207BF875"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Nowak, D.J., Crane, D.E., 2002. Carbon storage and sequestration by urban trees in the USA. Environ. Pollut. 116, 381–389.</w:t>
      </w:r>
    </w:p>
    <w:p w14:paraId="4EF75C85"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Nowak, D.J., Kuroda, M., Crane, D.E., 2004. Tree mortality rates and tree population projections in Baltimore, Maryland, USA. Urban For. Urban Green. 2, 139–147. doi:10.1078/1618-8667-00030</w:t>
      </w:r>
    </w:p>
    <w:p w14:paraId="02A5471E"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lastRenderedPageBreak/>
        <w:t>Oke, T.R., 1982. The energetic basis of the urban heat island. Q. J. R. Meteorol. Soc. 108, 1–24. doi:10.1002/qj.49710845502</w:t>
      </w:r>
    </w:p>
    <w:p w14:paraId="19A5F37C"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ORNL, 2014. LandScan 2013 [WWW Document]. Oak Ridge Natl. Lab. URL http://web.ornl.gov/sci/landscan/</w:t>
      </w:r>
    </w:p>
    <w:p w14:paraId="0E7AAEA0"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Pincetl, S., Gillespie, T., Pataki, D.E., Saatchi, S., Saphores, J.D., 2013. Urban tree planting programs, function or fashion? Los Angeles and urban tree planting campaigns. GeoJournal 78, 475–493. doi:10.1007/s10708-012-9446-x</w:t>
      </w:r>
    </w:p>
    <w:p w14:paraId="1389DAB0"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Prairie, Y.T., Duarte, C.M., 2007. Direct and indirect metabolic CO2 release by humanity. Biogeosciences 4, 215–217. doi:10.5194/bg-4-215-2007</w:t>
      </w:r>
    </w:p>
    <w:p w14:paraId="2A974C02"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Raciti, S.M., Hutyra, L.R., Finzi, A.C., 2012a. Depleted soil carbon and nitrogen pools beneath impervious surfaces. Environ. Pollut. 164, 248–251. doi:10.1016/j.envpol.2012.01.046</w:t>
      </w:r>
    </w:p>
    <w:p w14:paraId="094BB9CD"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Raciti, S.M., Hutyra, L.R., Newell, J.D., 2014. Mapping carbon storage in urban trees with multi-source remote sensing data: Relationships between biomass, land use, and demographics in Boston neighborhoods. Sci. Total Environ. 500–501, 72–83. doi:10.1016/j.scitotenv.2014.08.070</w:t>
      </w:r>
    </w:p>
    <w:p w14:paraId="3923B57B"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Raciti, S.M., Hutyra, L.R., Rao, P., Finzi, A.C., 2012b. Inconsistent definitions of “urban” result in different conclusions about the size of urban carbon and nitrogen stocks. Ecol. Appl. 22, 1015–1035. doi:10.1890/11-1250.1</w:t>
      </w:r>
    </w:p>
    <w:p w14:paraId="29F5F884"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Raich, J.W., Rastetter, E.B., Melillo, J.M., Kicklighter, D.W., Steudler, P.A., Peterson, B.J., Grace, A.L., Moore III, B., Vörösmarty, C.J., 1991. Potential net primary productivity in South America: application of a global model. Ecol. Appl. 1, 399–429.</w:t>
      </w:r>
    </w:p>
    <w:p w14:paraId="5C4BA8B5"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 xml:space="preserve">Ramalho, C.E., Hobbs, R.J., 2012. Time for a change: Dynamic urban ecology. </w:t>
      </w:r>
      <w:r w:rsidRPr="00B64FB7">
        <w:rPr>
          <w:rFonts w:ascii="Palatino Linotype" w:hAnsi="Palatino Linotype"/>
          <w:noProof/>
        </w:rPr>
        <w:lastRenderedPageBreak/>
        <w:t>Trends Ecol. Evol. 27, 179–188. doi:10.1016/j.tree.2011.10.008</w:t>
      </w:r>
    </w:p>
    <w:p w14:paraId="5D940FE7"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Rao, P., Hutyra, L.R., Raciti, S.M., Templer, P.H., 2014. Atmospheric nitrogen inputs and losses along an urbanization gradient from Boston to Harvard Forest, MA. Biogeochemistry 121, 229–245. doi:10.1007/s10533-013-9861-1</w:t>
      </w:r>
    </w:p>
    <w:p w14:paraId="1432FD31"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Reinmann, A.B., Hutyra, L.R., n.d. Edge effects enhance carbon uptake and its vulnerability to climate change in temperate broadleaf forests. Proc. Natl. Acad. Sci.</w:t>
      </w:r>
    </w:p>
    <w:p w14:paraId="03280657"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Reinmann, A.B., Hutyra, L.R., Trlica, A., Olofsson, P., 2016. Assessing the global warming potential of human settlement expansion in a mesic temperate landscape from 2005 to 2050. Sci. Total Environ. 545–546, 512–524. doi:10.1016/j.scitotenv.2015.12.033</w:t>
      </w:r>
    </w:p>
    <w:p w14:paraId="3187DA4C"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Roman, L. a., Battles, J.J., McBride, J.R., 2014. The balance of planting and mortality in a street tree population. Urban Ecosyst. 17, 387–404. doi:10.1007/s11252-013-0320-5</w:t>
      </w:r>
    </w:p>
    <w:p w14:paraId="43CE7346"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Ryan, M.G., Harmon, M.E., Birdsey, R. a, Giardina, C.P., Heath, L.S., Houghton, R. a, Jackson, R.B., Mckinley, D.C., Morrison, J.F., Murray, B.C., Pataki, D.E., Skog, K.E., 2010. A Synthesis of the Science on for U . S . Forests. Issues Ecol. 1–16.</w:t>
      </w:r>
    </w:p>
    <w:p w14:paraId="622910DB"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Scalenghe, R., Marsan, F.A., 2009. The anthropogenic sealing of soils in urban areas. Landsc. Urban Plan. 90, 1–10. doi:10.1016/j.landurbplan.2008.10.011</w:t>
      </w:r>
    </w:p>
    <w:p w14:paraId="5C7885E3"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Schaaf, C., Wang, Z., 2015. MCD43A4 MODIS/Terra+Aqua BRDF/Albedo Nadir BRDF Adjusted RefDaily L3 Global - 500m V006. NASA EOSDIS L. Process. DAAC. doi:http://doi.org/10.5067/MODIS/MCD43A4.006</w:t>
      </w:r>
    </w:p>
    <w:p w14:paraId="16B537A0"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 xml:space="preserve">Schreyer, J., Tigges, J., Lakes, T., Churkina, G., 2014. Using Airborne LiDAR and </w:t>
      </w:r>
      <w:r w:rsidRPr="00B64FB7">
        <w:rPr>
          <w:rFonts w:ascii="Palatino Linotype" w:hAnsi="Palatino Linotype"/>
          <w:noProof/>
        </w:rPr>
        <w:lastRenderedPageBreak/>
        <w:t>QuickBird Data for Modelling Urban Tree Carbon Storage and Its Distribution—A Case Study of Berlin. Remote Sens. 10636–10655. doi:10.3390/rs61110636</w:t>
      </w:r>
    </w:p>
    <w:p w14:paraId="4123A6A7"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Seto, K.C., Guneralp, B., Hutyra, L.R., 2012. Global forecasts of urban expansion to 2030 and direct impacts on biodiversity and carbon pools. Proc. Natl. Acad. Sci. 109, 16083–16088. doi:10.1073/pnas.1211658109</w:t>
      </w:r>
    </w:p>
    <w:p w14:paraId="0FBD30FC"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Stewart, I.D., Oke, T.R., 2012. Local climate zones for urban temperature studies. Bull. Am. Meteorol. Soc. 93, 1879–1900. doi:10.1175/BAMS-D-11-00019.1</w:t>
      </w:r>
    </w:p>
    <w:p w14:paraId="680CDEA1"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Templer, P.H., Toll, J.W., Hutyra, L.R., Raciti, S.M., 2015. Nitrogen and carbon export from urban areas through removal and export of litterfall. Environ. Pollut. 197, 256–261. doi:10.1016/j.envpol.2014.11.016</w:t>
      </w:r>
    </w:p>
    <w:p w14:paraId="50C5B156"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Troxel, B., Piana, M., Ashton, M.S., Murphy-Dunning, C., 2013. Relationships between bole and crown size for young urban trees in the northeastern USA. Urban For. Urban Green. 12, 144–153. doi:10.1016/j.ufug.2013.02.006</w:t>
      </w:r>
    </w:p>
    <w:p w14:paraId="4B310AD5"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U.S. Environmental Protection Agency, 2014a. 2011 National Emissions Inventory [WWW Document]. URL http://www.epa.gov/ttnchie1/net/2011inventory.html</w:t>
      </w:r>
    </w:p>
    <w:p w14:paraId="33795802"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U.S. Environmental Protection Agency, 2014b. Greenhouse gas reporting program, 2013 Data [WWW Document]. URL http://www2.epa.gov/ghgreporting/ghg-reporting-program-data-sets</w:t>
      </w:r>
    </w:p>
    <w:p w14:paraId="51321B45"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US EPA, 2009. Emission Factors for Locomotives. Off. Transp. Air Qual. EPA-420-F-09-025, Tables 1,2,3.</w:t>
      </w:r>
    </w:p>
    <w:p w14:paraId="0A4CF80B"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 xml:space="preserve">Wang, J.A., Hutyra, L.R., Li, D., Friedl, M.A., 2016. Gradients of atmospheric temperature and humidity controlled by local urban land use intensity in </w:t>
      </w:r>
      <w:r w:rsidRPr="00B64FB7">
        <w:rPr>
          <w:rFonts w:ascii="Palatino Linotype" w:hAnsi="Palatino Linotype"/>
          <w:noProof/>
        </w:rPr>
        <w:lastRenderedPageBreak/>
        <w:t>Boston. J. Appl. Meteorol. Climatol. doi:10.1175/JAMC-D-16-0325.1</w:t>
      </w:r>
    </w:p>
    <w:p w14:paraId="45D46688"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Xiao, X., Zhang, Q., Braswell, B., Urbanski, S., Boles, S., Wofsy, S., Moore, B., Ojima, D., 2004. Modeling gross primary production of temperate deciduous broadleaf forest using satellite images and climate data. Remote Sens. Environ. 91, 256–270. doi:10.1016/j.rse.2004.03.010</w:t>
      </w:r>
    </w:p>
    <w:p w14:paraId="006E5384"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Yuan, F., Bauer, M.E., 2007. Comparison of impervious surface area and normalized difference vegetation index as indicators of surface urban heat island effects in Landsat imagery. Remote Sens. Environ. 106, 375–386. doi:10.1016/j.rse.2006.09.003</w:t>
      </w:r>
    </w:p>
    <w:p w14:paraId="238695D8"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Zhang, X., Friedl, M. a., Schaaf, C.B., 2006. Global vegetation phenology from Moderate Resolution Imaging Spectroradiometer (MODIS): Evaluation of global patterns and comparison with in situ measurements. J. Geophys. Res. Biogeosciences 111, 1–14. doi:10.1029/2006JG000217</w:t>
      </w:r>
    </w:p>
    <w:p w14:paraId="7D2F3D5B"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Zhang, X., Friedl, M. a., Schaaf, C.B., Strahler, A.H., Schneider, A., 2004. The footprint of urban climates on vegetation phenology. Geophys. Res. Lett. 31, 10–13. doi:10.1029/2004GL020137</w:t>
      </w:r>
    </w:p>
    <w:p w14:paraId="1851D91D" w14:textId="77777777" w:rsidR="00B64FB7" w:rsidRPr="00B64FB7" w:rsidRDefault="00B64FB7" w:rsidP="00B64FB7">
      <w:pPr>
        <w:widowControl w:val="0"/>
        <w:autoSpaceDE w:val="0"/>
        <w:autoSpaceDN w:val="0"/>
        <w:adjustRightInd w:val="0"/>
        <w:spacing w:after="140" w:line="360" w:lineRule="auto"/>
        <w:ind w:left="480" w:hanging="480"/>
        <w:rPr>
          <w:rFonts w:ascii="Palatino Linotype" w:hAnsi="Palatino Linotype"/>
          <w:noProof/>
        </w:rPr>
      </w:pPr>
      <w:r w:rsidRPr="00B64FB7">
        <w:rPr>
          <w:rFonts w:ascii="Palatino Linotype" w:hAnsi="Palatino Linotype"/>
          <w:noProof/>
        </w:rPr>
        <w:t>Zhao, S., Liu, S., Zhou, D., 2016. Prevalent vegetation growth enhancement in urban environment. Proc. Natl. Acad. Sci. 201602312. doi:10.1073/pnas.1602312113</w:t>
      </w:r>
    </w:p>
    <w:p w14:paraId="46437FEE" w14:textId="00B32511" w:rsidR="00CF37BD" w:rsidRPr="0086350F" w:rsidRDefault="001B3508" w:rsidP="00B64FB7">
      <w:pPr>
        <w:widowControl w:val="0"/>
        <w:autoSpaceDE w:val="0"/>
        <w:autoSpaceDN w:val="0"/>
        <w:adjustRightInd w:val="0"/>
        <w:spacing w:after="140" w:line="360" w:lineRule="auto"/>
        <w:ind w:left="480" w:hanging="480"/>
        <w:rPr>
          <w:rFonts w:ascii="Palatino Linotype" w:hAnsi="Palatino Linotype"/>
          <w:b/>
          <w:szCs w:val="24"/>
        </w:rPr>
      </w:pPr>
      <w:r w:rsidRPr="0086350F">
        <w:rPr>
          <w:rFonts w:ascii="Palatino Linotype" w:hAnsi="Palatino Linotype"/>
          <w:b/>
          <w:szCs w:val="24"/>
        </w:rPr>
        <w:fldChar w:fldCharType="end"/>
      </w:r>
    </w:p>
    <w:p w14:paraId="268FA3DB" w14:textId="77777777" w:rsidR="001A3481" w:rsidRDefault="001A3481">
      <w:pPr>
        <w:spacing w:line="360" w:lineRule="auto"/>
      </w:pPr>
    </w:p>
    <w:sectPr w:rsidR="001A3481" w:rsidSect="00B93317">
      <w:headerReference w:type="default" r:id="rId17"/>
      <w:footerReference w:type="default" r:id="rId18"/>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3A481E" w14:textId="77777777" w:rsidR="00D7627E" w:rsidRDefault="00D7627E" w:rsidP="00881786">
      <w:r>
        <w:separator/>
      </w:r>
    </w:p>
  </w:endnote>
  <w:endnote w:type="continuationSeparator" w:id="0">
    <w:p w14:paraId="502DD944" w14:textId="77777777" w:rsidR="00D7627E" w:rsidRDefault="00D7627E" w:rsidP="00881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Palatino Linotype">
    <w:panose1 w:val="02040502050505030304"/>
    <w:charset w:val="00"/>
    <w:family w:val="auto"/>
    <w:pitch w:val="variable"/>
    <w:sig w:usb0="E0000287" w:usb1="40000013" w:usb2="00000000"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9A258" w14:textId="77777777" w:rsidR="00727900" w:rsidRDefault="00727900">
    <w:pPr>
      <w:pStyle w:val="Footer"/>
      <w:jc w:val="right"/>
    </w:pPr>
    <w:r>
      <w:fldChar w:fldCharType="begin"/>
    </w:r>
    <w:r>
      <w:instrText xml:space="preserve"> PAGE   \* MERGEFORMAT </w:instrText>
    </w:r>
    <w:r>
      <w:fldChar w:fldCharType="separate"/>
    </w:r>
    <w:r w:rsidR="00E0089D">
      <w:rPr>
        <w:noProof/>
      </w:rPr>
      <w:t>1</w:t>
    </w:r>
    <w:r>
      <w:fldChar w:fldCharType="end"/>
    </w:r>
  </w:p>
  <w:p w14:paraId="0C15C1F2" w14:textId="77777777" w:rsidR="00727900" w:rsidRDefault="0072790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36F39F" w14:textId="77777777" w:rsidR="00D7627E" w:rsidRDefault="00D7627E" w:rsidP="00881786">
      <w:r>
        <w:separator/>
      </w:r>
    </w:p>
  </w:footnote>
  <w:footnote w:type="continuationSeparator" w:id="0">
    <w:p w14:paraId="22C451B2" w14:textId="77777777" w:rsidR="00D7627E" w:rsidRDefault="00D7627E" w:rsidP="008817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0C67E" w14:textId="3929F256" w:rsidR="00727900" w:rsidRPr="00C65249" w:rsidRDefault="00727900" w:rsidP="008208CE">
    <w:pPr>
      <w:rPr>
        <w:szCs w:val="24"/>
      </w:rPr>
    </w:pPr>
    <w:r w:rsidRPr="00C65249">
      <w:rPr>
        <w:rFonts w:ascii="Palatino Linotype" w:hAnsi="Palatino Linotype"/>
        <w:sz w:val="22"/>
        <w:szCs w:val="22"/>
      </w:rPr>
      <w:t xml:space="preserve">Hardiman et al. </w:t>
    </w:r>
    <w:r>
      <w:rPr>
        <w:rFonts w:ascii="Palatino Linotype" w:hAnsi="Palatino Linotype"/>
        <w:sz w:val="22"/>
        <w:szCs w:val="22"/>
      </w:rPr>
      <w:t xml:space="preserve">                                                                         SI</w:t>
    </w:r>
    <w:r w:rsidRPr="00C65249">
      <w:rPr>
        <w:rFonts w:ascii="Palatino Linotype" w:hAnsi="Palatino Linotype"/>
        <w:sz w:val="22"/>
        <w:szCs w:val="22"/>
      </w:rPr>
      <w:t xml:space="preserve"> </w:t>
    </w:r>
    <w:r w:rsidRPr="00C65249">
      <w:rPr>
        <w:rFonts w:ascii="Palatino Linotype" w:hAnsi="Palatino Linotype"/>
        <w:bCs/>
      </w:rPr>
      <w:t>for U</w:t>
    </w:r>
    <w:r>
      <w:rPr>
        <w:rFonts w:ascii="Palatino Linotype" w:hAnsi="Palatino Linotype"/>
        <w:bCs/>
      </w:rPr>
      <w:t>rban B</w:t>
    </w:r>
    <w:r w:rsidRPr="00C65249">
      <w:rPr>
        <w:rFonts w:ascii="Palatino Linotype" w:hAnsi="Palatino Linotype"/>
        <w:bCs/>
      </w:rPr>
      <w:t xml:space="preserve">iogenic </w:t>
    </w:r>
    <w:r>
      <w:rPr>
        <w:rFonts w:ascii="Palatino Linotype" w:hAnsi="Palatino Linotype"/>
        <w:bCs/>
      </w:rPr>
      <w:t>F</w:t>
    </w:r>
    <w:r w:rsidRPr="00C65249">
      <w:rPr>
        <w:rFonts w:ascii="Palatino Linotype" w:hAnsi="Palatino Linotype"/>
        <w:bCs/>
      </w:rPr>
      <w:t>luxes</w:t>
    </w:r>
  </w:p>
  <w:p w14:paraId="339247FC" w14:textId="77777777" w:rsidR="00727900" w:rsidRPr="00C65249" w:rsidRDefault="00727900" w:rsidP="001A3481">
    <w:pPr>
      <w:jc w:val="right"/>
      <w:rPr>
        <w:sz w:val="20"/>
      </w:rPr>
    </w:pPr>
  </w:p>
  <w:p w14:paraId="0DE06F48" w14:textId="77777777" w:rsidR="00727900" w:rsidRPr="00C65249" w:rsidRDefault="0072790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4E7F27"/>
    <w:multiLevelType w:val="hybridMultilevel"/>
    <w:tmpl w:val="92C4DAB8"/>
    <w:lvl w:ilvl="0" w:tplc="86329E8E">
      <w:start w:val="1"/>
      <w:numFmt w:val="bullet"/>
      <w:lvlText w:val="•"/>
      <w:lvlJc w:val="left"/>
      <w:pPr>
        <w:tabs>
          <w:tab w:val="num" w:pos="720"/>
        </w:tabs>
        <w:ind w:left="720" w:hanging="360"/>
      </w:pPr>
      <w:rPr>
        <w:rFonts w:ascii="Arial" w:hAnsi="Arial" w:hint="default"/>
      </w:rPr>
    </w:lvl>
    <w:lvl w:ilvl="1" w:tplc="42F07142" w:tentative="1">
      <w:start w:val="1"/>
      <w:numFmt w:val="bullet"/>
      <w:lvlText w:val="•"/>
      <w:lvlJc w:val="left"/>
      <w:pPr>
        <w:tabs>
          <w:tab w:val="num" w:pos="1440"/>
        </w:tabs>
        <w:ind w:left="1440" w:hanging="360"/>
      </w:pPr>
      <w:rPr>
        <w:rFonts w:ascii="Arial" w:hAnsi="Arial" w:hint="default"/>
      </w:rPr>
    </w:lvl>
    <w:lvl w:ilvl="2" w:tplc="861ED628" w:tentative="1">
      <w:start w:val="1"/>
      <w:numFmt w:val="bullet"/>
      <w:lvlText w:val="•"/>
      <w:lvlJc w:val="left"/>
      <w:pPr>
        <w:tabs>
          <w:tab w:val="num" w:pos="2160"/>
        </w:tabs>
        <w:ind w:left="2160" w:hanging="360"/>
      </w:pPr>
      <w:rPr>
        <w:rFonts w:ascii="Arial" w:hAnsi="Arial" w:hint="default"/>
      </w:rPr>
    </w:lvl>
    <w:lvl w:ilvl="3" w:tplc="724EA282" w:tentative="1">
      <w:start w:val="1"/>
      <w:numFmt w:val="bullet"/>
      <w:lvlText w:val="•"/>
      <w:lvlJc w:val="left"/>
      <w:pPr>
        <w:tabs>
          <w:tab w:val="num" w:pos="2880"/>
        </w:tabs>
        <w:ind w:left="2880" w:hanging="360"/>
      </w:pPr>
      <w:rPr>
        <w:rFonts w:ascii="Arial" w:hAnsi="Arial" w:hint="default"/>
      </w:rPr>
    </w:lvl>
    <w:lvl w:ilvl="4" w:tplc="BF3E25EC" w:tentative="1">
      <w:start w:val="1"/>
      <w:numFmt w:val="bullet"/>
      <w:lvlText w:val="•"/>
      <w:lvlJc w:val="left"/>
      <w:pPr>
        <w:tabs>
          <w:tab w:val="num" w:pos="3600"/>
        </w:tabs>
        <w:ind w:left="3600" w:hanging="360"/>
      </w:pPr>
      <w:rPr>
        <w:rFonts w:ascii="Arial" w:hAnsi="Arial" w:hint="default"/>
      </w:rPr>
    </w:lvl>
    <w:lvl w:ilvl="5" w:tplc="2BC6B602" w:tentative="1">
      <w:start w:val="1"/>
      <w:numFmt w:val="bullet"/>
      <w:lvlText w:val="•"/>
      <w:lvlJc w:val="left"/>
      <w:pPr>
        <w:tabs>
          <w:tab w:val="num" w:pos="4320"/>
        </w:tabs>
        <w:ind w:left="4320" w:hanging="360"/>
      </w:pPr>
      <w:rPr>
        <w:rFonts w:ascii="Arial" w:hAnsi="Arial" w:hint="default"/>
      </w:rPr>
    </w:lvl>
    <w:lvl w:ilvl="6" w:tplc="0EF2C2C0" w:tentative="1">
      <w:start w:val="1"/>
      <w:numFmt w:val="bullet"/>
      <w:lvlText w:val="•"/>
      <w:lvlJc w:val="left"/>
      <w:pPr>
        <w:tabs>
          <w:tab w:val="num" w:pos="5040"/>
        </w:tabs>
        <w:ind w:left="5040" w:hanging="360"/>
      </w:pPr>
      <w:rPr>
        <w:rFonts w:ascii="Arial" w:hAnsi="Arial" w:hint="default"/>
      </w:rPr>
    </w:lvl>
    <w:lvl w:ilvl="7" w:tplc="F7B0B6F4" w:tentative="1">
      <w:start w:val="1"/>
      <w:numFmt w:val="bullet"/>
      <w:lvlText w:val="•"/>
      <w:lvlJc w:val="left"/>
      <w:pPr>
        <w:tabs>
          <w:tab w:val="num" w:pos="5760"/>
        </w:tabs>
        <w:ind w:left="5760" w:hanging="360"/>
      </w:pPr>
      <w:rPr>
        <w:rFonts w:ascii="Arial" w:hAnsi="Arial" w:hint="default"/>
      </w:rPr>
    </w:lvl>
    <w:lvl w:ilvl="8" w:tplc="282EC82E" w:tentative="1">
      <w:start w:val="1"/>
      <w:numFmt w:val="bullet"/>
      <w:lvlText w:val="•"/>
      <w:lvlJc w:val="left"/>
      <w:pPr>
        <w:tabs>
          <w:tab w:val="num" w:pos="6480"/>
        </w:tabs>
        <w:ind w:left="6480" w:hanging="360"/>
      </w:pPr>
      <w:rPr>
        <w:rFonts w:ascii="Arial" w:hAnsi="Arial" w:hint="default"/>
      </w:rPr>
    </w:lvl>
  </w:abstractNum>
  <w:abstractNum w:abstractNumId="1">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EB0941"/>
    <w:multiLevelType w:val="hybridMultilevel"/>
    <w:tmpl w:val="46E4EDEA"/>
    <w:lvl w:ilvl="0" w:tplc="BB9AB642">
      <w:start w:val="1"/>
      <w:numFmt w:val="bullet"/>
      <w:lvlText w:val="•"/>
      <w:lvlJc w:val="left"/>
      <w:pPr>
        <w:tabs>
          <w:tab w:val="num" w:pos="720"/>
        </w:tabs>
        <w:ind w:left="720" w:hanging="360"/>
      </w:pPr>
      <w:rPr>
        <w:rFonts w:ascii="Arial" w:hAnsi="Arial" w:hint="default"/>
      </w:rPr>
    </w:lvl>
    <w:lvl w:ilvl="1" w:tplc="9178312A" w:tentative="1">
      <w:start w:val="1"/>
      <w:numFmt w:val="bullet"/>
      <w:lvlText w:val="•"/>
      <w:lvlJc w:val="left"/>
      <w:pPr>
        <w:tabs>
          <w:tab w:val="num" w:pos="1440"/>
        </w:tabs>
        <w:ind w:left="1440" w:hanging="360"/>
      </w:pPr>
      <w:rPr>
        <w:rFonts w:ascii="Arial" w:hAnsi="Arial" w:hint="default"/>
      </w:rPr>
    </w:lvl>
    <w:lvl w:ilvl="2" w:tplc="781C3EF4" w:tentative="1">
      <w:start w:val="1"/>
      <w:numFmt w:val="bullet"/>
      <w:lvlText w:val="•"/>
      <w:lvlJc w:val="left"/>
      <w:pPr>
        <w:tabs>
          <w:tab w:val="num" w:pos="2160"/>
        </w:tabs>
        <w:ind w:left="2160" w:hanging="360"/>
      </w:pPr>
      <w:rPr>
        <w:rFonts w:ascii="Arial" w:hAnsi="Arial" w:hint="default"/>
      </w:rPr>
    </w:lvl>
    <w:lvl w:ilvl="3" w:tplc="8EA010AA" w:tentative="1">
      <w:start w:val="1"/>
      <w:numFmt w:val="bullet"/>
      <w:lvlText w:val="•"/>
      <w:lvlJc w:val="left"/>
      <w:pPr>
        <w:tabs>
          <w:tab w:val="num" w:pos="2880"/>
        </w:tabs>
        <w:ind w:left="2880" w:hanging="360"/>
      </w:pPr>
      <w:rPr>
        <w:rFonts w:ascii="Arial" w:hAnsi="Arial" w:hint="default"/>
      </w:rPr>
    </w:lvl>
    <w:lvl w:ilvl="4" w:tplc="B8FE81A8" w:tentative="1">
      <w:start w:val="1"/>
      <w:numFmt w:val="bullet"/>
      <w:lvlText w:val="•"/>
      <w:lvlJc w:val="left"/>
      <w:pPr>
        <w:tabs>
          <w:tab w:val="num" w:pos="3600"/>
        </w:tabs>
        <w:ind w:left="3600" w:hanging="360"/>
      </w:pPr>
      <w:rPr>
        <w:rFonts w:ascii="Arial" w:hAnsi="Arial" w:hint="default"/>
      </w:rPr>
    </w:lvl>
    <w:lvl w:ilvl="5" w:tplc="90BCF3B0" w:tentative="1">
      <w:start w:val="1"/>
      <w:numFmt w:val="bullet"/>
      <w:lvlText w:val="•"/>
      <w:lvlJc w:val="left"/>
      <w:pPr>
        <w:tabs>
          <w:tab w:val="num" w:pos="4320"/>
        </w:tabs>
        <w:ind w:left="4320" w:hanging="360"/>
      </w:pPr>
      <w:rPr>
        <w:rFonts w:ascii="Arial" w:hAnsi="Arial" w:hint="default"/>
      </w:rPr>
    </w:lvl>
    <w:lvl w:ilvl="6" w:tplc="5D90F958" w:tentative="1">
      <w:start w:val="1"/>
      <w:numFmt w:val="bullet"/>
      <w:lvlText w:val="•"/>
      <w:lvlJc w:val="left"/>
      <w:pPr>
        <w:tabs>
          <w:tab w:val="num" w:pos="5040"/>
        </w:tabs>
        <w:ind w:left="5040" w:hanging="360"/>
      </w:pPr>
      <w:rPr>
        <w:rFonts w:ascii="Arial" w:hAnsi="Arial" w:hint="default"/>
      </w:rPr>
    </w:lvl>
    <w:lvl w:ilvl="7" w:tplc="4252B1D6" w:tentative="1">
      <w:start w:val="1"/>
      <w:numFmt w:val="bullet"/>
      <w:lvlText w:val="•"/>
      <w:lvlJc w:val="left"/>
      <w:pPr>
        <w:tabs>
          <w:tab w:val="num" w:pos="5760"/>
        </w:tabs>
        <w:ind w:left="5760" w:hanging="360"/>
      </w:pPr>
      <w:rPr>
        <w:rFonts w:ascii="Arial" w:hAnsi="Arial" w:hint="default"/>
      </w:rPr>
    </w:lvl>
    <w:lvl w:ilvl="8" w:tplc="CC848DB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7BD"/>
    <w:rsid w:val="00050D34"/>
    <w:rsid w:val="00062EAA"/>
    <w:rsid w:val="00064F89"/>
    <w:rsid w:val="000847C8"/>
    <w:rsid w:val="000B7F57"/>
    <w:rsid w:val="000C0119"/>
    <w:rsid w:val="000C51D8"/>
    <w:rsid w:val="000D7ECA"/>
    <w:rsid w:val="000E2D43"/>
    <w:rsid w:val="000F28A4"/>
    <w:rsid w:val="00136A60"/>
    <w:rsid w:val="0015009E"/>
    <w:rsid w:val="00160E05"/>
    <w:rsid w:val="001664A6"/>
    <w:rsid w:val="001A3481"/>
    <w:rsid w:val="001B3508"/>
    <w:rsid w:val="001C58A2"/>
    <w:rsid w:val="001D275A"/>
    <w:rsid w:val="0022140F"/>
    <w:rsid w:val="002220B4"/>
    <w:rsid w:val="00234AFC"/>
    <w:rsid w:val="0024106E"/>
    <w:rsid w:val="00285CDF"/>
    <w:rsid w:val="002D1AC8"/>
    <w:rsid w:val="002F3103"/>
    <w:rsid w:val="002F6F83"/>
    <w:rsid w:val="00307F30"/>
    <w:rsid w:val="00314F96"/>
    <w:rsid w:val="00325F2B"/>
    <w:rsid w:val="003303AC"/>
    <w:rsid w:val="003308D3"/>
    <w:rsid w:val="00332322"/>
    <w:rsid w:val="003A3C52"/>
    <w:rsid w:val="003C0496"/>
    <w:rsid w:val="003D4E4D"/>
    <w:rsid w:val="003F68C2"/>
    <w:rsid w:val="00422B45"/>
    <w:rsid w:val="00443ECE"/>
    <w:rsid w:val="00444D44"/>
    <w:rsid w:val="0048565C"/>
    <w:rsid w:val="00487F35"/>
    <w:rsid w:val="00496FB4"/>
    <w:rsid w:val="004977DB"/>
    <w:rsid w:val="004D479E"/>
    <w:rsid w:val="004D5ADE"/>
    <w:rsid w:val="00520D66"/>
    <w:rsid w:val="00521E9D"/>
    <w:rsid w:val="00530CF2"/>
    <w:rsid w:val="00552CAD"/>
    <w:rsid w:val="00553610"/>
    <w:rsid w:val="00566AE7"/>
    <w:rsid w:val="00593AF1"/>
    <w:rsid w:val="005B0E82"/>
    <w:rsid w:val="005C3669"/>
    <w:rsid w:val="005C4D48"/>
    <w:rsid w:val="005C6211"/>
    <w:rsid w:val="005D1846"/>
    <w:rsid w:val="00625E08"/>
    <w:rsid w:val="006334D9"/>
    <w:rsid w:val="00635E33"/>
    <w:rsid w:val="00646CEB"/>
    <w:rsid w:val="00660F06"/>
    <w:rsid w:val="00665684"/>
    <w:rsid w:val="00672B51"/>
    <w:rsid w:val="00676D6B"/>
    <w:rsid w:val="00681EB8"/>
    <w:rsid w:val="00686AFF"/>
    <w:rsid w:val="006C5895"/>
    <w:rsid w:val="006D39ED"/>
    <w:rsid w:val="006E2A80"/>
    <w:rsid w:val="00700AAC"/>
    <w:rsid w:val="00705CC2"/>
    <w:rsid w:val="0072579F"/>
    <w:rsid w:val="00727900"/>
    <w:rsid w:val="00730242"/>
    <w:rsid w:val="007508A2"/>
    <w:rsid w:val="007627BF"/>
    <w:rsid w:val="007802A1"/>
    <w:rsid w:val="007A4957"/>
    <w:rsid w:val="007B7EA4"/>
    <w:rsid w:val="00803EA3"/>
    <w:rsid w:val="008208CE"/>
    <w:rsid w:val="00841EC1"/>
    <w:rsid w:val="00881786"/>
    <w:rsid w:val="008A1DAF"/>
    <w:rsid w:val="008A28E5"/>
    <w:rsid w:val="008D7573"/>
    <w:rsid w:val="008F0609"/>
    <w:rsid w:val="008F5975"/>
    <w:rsid w:val="00901F6D"/>
    <w:rsid w:val="00913871"/>
    <w:rsid w:val="009162FF"/>
    <w:rsid w:val="009212C6"/>
    <w:rsid w:val="009355E7"/>
    <w:rsid w:val="00943A5D"/>
    <w:rsid w:val="00946260"/>
    <w:rsid w:val="009554DE"/>
    <w:rsid w:val="0095605C"/>
    <w:rsid w:val="00962286"/>
    <w:rsid w:val="0097367F"/>
    <w:rsid w:val="009752E1"/>
    <w:rsid w:val="0097666E"/>
    <w:rsid w:val="00980F4F"/>
    <w:rsid w:val="009A5781"/>
    <w:rsid w:val="009C37EC"/>
    <w:rsid w:val="009C7A7D"/>
    <w:rsid w:val="009D234B"/>
    <w:rsid w:val="009E457F"/>
    <w:rsid w:val="009E7A28"/>
    <w:rsid w:val="009F10C2"/>
    <w:rsid w:val="00A41E5E"/>
    <w:rsid w:val="00A429C3"/>
    <w:rsid w:val="00A77D0D"/>
    <w:rsid w:val="00AC2974"/>
    <w:rsid w:val="00AE04D6"/>
    <w:rsid w:val="00AF68EE"/>
    <w:rsid w:val="00B02207"/>
    <w:rsid w:val="00B106F3"/>
    <w:rsid w:val="00B30CD7"/>
    <w:rsid w:val="00B36913"/>
    <w:rsid w:val="00B64FB7"/>
    <w:rsid w:val="00B93317"/>
    <w:rsid w:val="00BB5FFE"/>
    <w:rsid w:val="00BF1BDE"/>
    <w:rsid w:val="00BF6A24"/>
    <w:rsid w:val="00BF6C71"/>
    <w:rsid w:val="00C40479"/>
    <w:rsid w:val="00C616B8"/>
    <w:rsid w:val="00C65249"/>
    <w:rsid w:val="00C70BE3"/>
    <w:rsid w:val="00C90D8E"/>
    <w:rsid w:val="00CE1429"/>
    <w:rsid w:val="00CF37BD"/>
    <w:rsid w:val="00CF7696"/>
    <w:rsid w:val="00D07751"/>
    <w:rsid w:val="00D24C8A"/>
    <w:rsid w:val="00D45B7D"/>
    <w:rsid w:val="00D66021"/>
    <w:rsid w:val="00D7627E"/>
    <w:rsid w:val="00D82FA0"/>
    <w:rsid w:val="00D91DB1"/>
    <w:rsid w:val="00DA515C"/>
    <w:rsid w:val="00DB0AFB"/>
    <w:rsid w:val="00DC72CD"/>
    <w:rsid w:val="00DE03B4"/>
    <w:rsid w:val="00DF2F25"/>
    <w:rsid w:val="00DF6C60"/>
    <w:rsid w:val="00E0089D"/>
    <w:rsid w:val="00E0161D"/>
    <w:rsid w:val="00E06525"/>
    <w:rsid w:val="00E244C8"/>
    <w:rsid w:val="00E247E6"/>
    <w:rsid w:val="00E34398"/>
    <w:rsid w:val="00E521FA"/>
    <w:rsid w:val="00E54952"/>
    <w:rsid w:val="00E8528B"/>
    <w:rsid w:val="00E92D4C"/>
    <w:rsid w:val="00EA34E0"/>
    <w:rsid w:val="00EA51D6"/>
    <w:rsid w:val="00EA648F"/>
    <w:rsid w:val="00F65CDD"/>
    <w:rsid w:val="00F70E66"/>
    <w:rsid w:val="00FB69F9"/>
    <w:rsid w:val="00FC58B4"/>
    <w:rsid w:val="00FC7A9D"/>
    <w:rsid w:val="00FF54A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F6F4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F37BD"/>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F37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Heading">
    <w:name w:val="SM Heading"/>
    <w:basedOn w:val="Heading1"/>
    <w:qFormat/>
    <w:rsid w:val="00CF37BD"/>
    <w:pPr>
      <w:keepLines w:val="0"/>
      <w:spacing w:before="240" w:after="60"/>
    </w:pPr>
    <w:rPr>
      <w:rFonts w:ascii="Times New Roman" w:eastAsia="Times New Roman" w:hAnsi="Times New Roman" w:cs="Times New Roman"/>
      <w:color w:val="auto"/>
      <w:kern w:val="32"/>
      <w:sz w:val="24"/>
      <w:szCs w:val="24"/>
    </w:rPr>
  </w:style>
  <w:style w:type="paragraph" w:customStyle="1" w:styleId="SMcaption">
    <w:name w:val="SM caption"/>
    <w:basedOn w:val="Normal"/>
    <w:qFormat/>
    <w:rsid w:val="00CF37BD"/>
  </w:style>
  <w:style w:type="paragraph" w:styleId="Footer">
    <w:name w:val="footer"/>
    <w:basedOn w:val="Normal"/>
    <w:link w:val="FooterChar"/>
    <w:semiHidden/>
    <w:rsid w:val="00CF37BD"/>
    <w:pPr>
      <w:tabs>
        <w:tab w:val="center" w:pos="4680"/>
        <w:tab w:val="right" w:pos="9360"/>
      </w:tabs>
    </w:pPr>
  </w:style>
  <w:style w:type="character" w:customStyle="1" w:styleId="FooterChar">
    <w:name w:val="Footer Char"/>
    <w:basedOn w:val="DefaultParagraphFont"/>
    <w:link w:val="Footer"/>
    <w:semiHidden/>
    <w:rsid w:val="00CF37BD"/>
    <w:rPr>
      <w:rFonts w:ascii="Times New Roman" w:eastAsia="Times New Roman" w:hAnsi="Times New Roman" w:cs="Times New Roman"/>
      <w:sz w:val="24"/>
      <w:szCs w:val="20"/>
    </w:rPr>
  </w:style>
  <w:style w:type="paragraph" w:styleId="Header">
    <w:name w:val="header"/>
    <w:basedOn w:val="Normal"/>
    <w:link w:val="HeaderChar"/>
    <w:semiHidden/>
    <w:rsid w:val="00CF37BD"/>
    <w:pPr>
      <w:tabs>
        <w:tab w:val="center" w:pos="4680"/>
        <w:tab w:val="right" w:pos="9360"/>
      </w:tabs>
    </w:pPr>
  </w:style>
  <w:style w:type="character" w:customStyle="1" w:styleId="HeaderChar">
    <w:name w:val="Header Char"/>
    <w:basedOn w:val="DefaultParagraphFont"/>
    <w:link w:val="Header"/>
    <w:semiHidden/>
    <w:rsid w:val="00CF37BD"/>
    <w:rPr>
      <w:rFonts w:ascii="Times New Roman" w:eastAsia="Times New Roman" w:hAnsi="Times New Roman" w:cs="Times New Roman"/>
      <w:sz w:val="24"/>
      <w:szCs w:val="20"/>
    </w:rPr>
  </w:style>
  <w:style w:type="character" w:styleId="Hyperlink">
    <w:name w:val="Hyperlink"/>
    <w:semiHidden/>
    <w:rsid w:val="00CF37BD"/>
    <w:rPr>
      <w:color w:val="0000FF"/>
      <w:u w:val="single"/>
    </w:rPr>
  </w:style>
  <w:style w:type="character" w:customStyle="1" w:styleId="Heading1Char">
    <w:name w:val="Heading 1 Char"/>
    <w:basedOn w:val="DefaultParagraphFont"/>
    <w:link w:val="Heading1"/>
    <w:uiPriority w:val="9"/>
    <w:rsid w:val="00CF37B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2579F"/>
    <w:rPr>
      <w:rFonts w:ascii="Tahoma" w:hAnsi="Tahoma" w:cs="Tahoma"/>
      <w:sz w:val="16"/>
      <w:szCs w:val="16"/>
    </w:rPr>
  </w:style>
  <w:style w:type="character" w:customStyle="1" w:styleId="BalloonTextChar">
    <w:name w:val="Balloon Text Char"/>
    <w:basedOn w:val="DefaultParagraphFont"/>
    <w:link w:val="BalloonText"/>
    <w:uiPriority w:val="99"/>
    <w:semiHidden/>
    <w:rsid w:val="0072579F"/>
    <w:rPr>
      <w:rFonts w:ascii="Tahoma" w:eastAsia="Times New Roman" w:hAnsi="Tahoma" w:cs="Tahoma"/>
      <w:sz w:val="16"/>
      <w:szCs w:val="16"/>
    </w:rPr>
  </w:style>
  <w:style w:type="paragraph" w:customStyle="1" w:styleId="Default">
    <w:name w:val="Default"/>
    <w:rsid w:val="009E7A28"/>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0C51D8"/>
    <w:rPr>
      <w:sz w:val="16"/>
      <w:szCs w:val="16"/>
    </w:rPr>
  </w:style>
  <w:style w:type="paragraph" w:styleId="CommentText">
    <w:name w:val="annotation text"/>
    <w:basedOn w:val="Normal"/>
    <w:link w:val="CommentTextChar"/>
    <w:uiPriority w:val="99"/>
    <w:unhideWhenUsed/>
    <w:rsid w:val="000C51D8"/>
    <w:rPr>
      <w:sz w:val="20"/>
    </w:rPr>
  </w:style>
  <w:style w:type="character" w:customStyle="1" w:styleId="CommentTextChar">
    <w:name w:val="Comment Text Char"/>
    <w:basedOn w:val="DefaultParagraphFont"/>
    <w:link w:val="CommentText"/>
    <w:uiPriority w:val="99"/>
    <w:rsid w:val="000C51D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51D8"/>
    <w:rPr>
      <w:b/>
      <w:bCs/>
    </w:rPr>
  </w:style>
  <w:style w:type="character" w:customStyle="1" w:styleId="CommentSubjectChar">
    <w:name w:val="Comment Subject Char"/>
    <w:basedOn w:val="CommentTextChar"/>
    <w:link w:val="CommentSubject"/>
    <w:uiPriority w:val="99"/>
    <w:semiHidden/>
    <w:rsid w:val="000C51D8"/>
    <w:rPr>
      <w:rFonts w:ascii="Times New Roman" w:eastAsia="Times New Roman" w:hAnsi="Times New Roman" w:cs="Times New Roman"/>
      <w:b/>
      <w:bCs/>
      <w:sz w:val="20"/>
      <w:szCs w:val="20"/>
    </w:rPr>
  </w:style>
  <w:style w:type="paragraph" w:styleId="ListParagraph">
    <w:name w:val="List Paragraph"/>
    <w:basedOn w:val="Normal"/>
    <w:uiPriority w:val="34"/>
    <w:qFormat/>
    <w:rsid w:val="00E34398"/>
    <w:pPr>
      <w:ind w:left="720"/>
      <w:contextualSpacing/>
    </w:pPr>
    <w:rPr>
      <w:rFonts w:asciiTheme="minorHAnsi" w:eastAsiaTheme="minorEastAsia" w:hAnsiTheme="minorHAnsi" w:cstheme="minorBidi"/>
      <w:szCs w:val="24"/>
    </w:rPr>
  </w:style>
  <w:style w:type="character" w:styleId="LineNumber">
    <w:name w:val="line number"/>
    <w:basedOn w:val="DefaultParagraphFont"/>
    <w:uiPriority w:val="99"/>
    <w:semiHidden/>
    <w:unhideWhenUsed/>
    <w:rsid w:val="004D479E"/>
  </w:style>
  <w:style w:type="table" w:styleId="TableGrid">
    <w:name w:val="Table Grid"/>
    <w:basedOn w:val="TableNormal"/>
    <w:uiPriority w:val="59"/>
    <w:rsid w:val="003A3C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3A3C5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3A3C52"/>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2F6F83"/>
    <w:rPr>
      <w:color w:val="800080" w:themeColor="followedHyperlink"/>
      <w:u w:val="single"/>
    </w:rPr>
  </w:style>
  <w:style w:type="character" w:styleId="Emphasis">
    <w:name w:val="Emphasis"/>
    <w:basedOn w:val="DefaultParagraphFont"/>
    <w:uiPriority w:val="20"/>
    <w:qFormat/>
    <w:rsid w:val="007B7E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771193">
      <w:bodyDiv w:val="1"/>
      <w:marLeft w:val="0"/>
      <w:marRight w:val="0"/>
      <w:marTop w:val="0"/>
      <w:marBottom w:val="0"/>
      <w:divBdr>
        <w:top w:val="none" w:sz="0" w:space="0" w:color="auto"/>
        <w:left w:val="none" w:sz="0" w:space="0" w:color="auto"/>
        <w:bottom w:val="none" w:sz="0" w:space="0" w:color="auto"/>
        <w:right w:val="none" w:sz="0" w:space="0" w:color="auto"/>
      </w:divBdr>
    </w:div>
    <w:div w:id="461970712">
      <w:bodyDiv w:val="1"/>
      <w:marLeft w:val="0"/>
      <w:marRight w:val="0"/>
      <w:marTop w:val="0"/>
      <w:marBottom w:val="0"/>
      <w:divBdr>
        <w:top w:val="none" w:sz="0" w:space="0" w:color="auto"/>
        <w:left w:val="none" w:sz="0" w:space="0" w:color="auto"/>
        <w:bottom w:val="none" w:sz="0" w:space="0" w:color="auto"/>
        <w:right w:val="none" w:sz="0" w:space="0" w:color="auto"/>
      </w:divBdr>
    </w:div>
    <w:div w:id="525482392">
      <w:bodyDiv w:val="1"/>
      <w:marLeft w:val="0"/>
      <w:marRight w:val="0"/>
      <w:marTop w:val="0"/>
      <w:marBottom w:val="0"/>
      <w:divBdr>
        <w:top w:val="none" w:sz="0" w:space="0" w:color="auto"/>
        <w:left w:val="none" w:sz="0" w:space="0" w:color="auto"/>
        <w:bottom w:val="none" w:sz="0" w:space="0" w:color="auto"/>
        <w:right w:val="none" w:sz="0" w:space="0" w:color="auto"/>
      </w:divBdr>
    </w:div>
    <w:div w:id="608663399">
      <w:bodyDiv w:val="1"/>
      <w:marLeft w:val="0"/>
      <w:marRight w:val="0"/>
      <w:marTop w:val="0"/>
      <w:marBottom w:val="0"/>
      <w:divBdr>
        <w:top w:val="none" w:sz="0" w:space="0" w:color="auto"/>
        <w:left w:val="none" w:sz="0" w:space="0" w:color="auto"/>
        <w:bottom w:val="none" w:sz="0" w:space="0" w:color="auto"/>
        <w:right w:val="none" w:sz="0" w:space="0" w:color="auto"/>
      </w:divBdr>
      <w:divsChild>
        <w:div w:id="1920403738">
          <w:marLeft w:val="360"/>
          <w:marRight w:val="0"/>
          <w:marTop w:val="200"/>
          <w:marBottom w:val="0"/>
          <w:divBdr>
            <w:top w:val="none" w:sz="0" w:space="0" w:color="auto"/>
            <w:left w:val="none" w:sz="0" w:space="0" w:color="auto"/>
            <w:bottom w:val="none" w:sz="0" w:space="0" w:color="auto"/>
            <w:right w:val="none" w:sz="0" w:space="0" w:color="auto"/>
          </w:divBdr>
        </w:div>
      </w:divsChild>
    </w:div>
    <w:div w:id="768113444">
      <w:bodyDiv w:val="1"/>
      <w:marLeft w:val="0"/>
      <w:marRight w:val="0"/>
      <w:marTop w:val="0"/>
      <w:marBottom w:val="0"/>
      <w:divBdr>
        <w:top w:val="none" w:sz="0" w:space="0" w:color="auto"/>
        <w:left w:val="none" w:sz="0" w:space="0" w:color="auto"/>
        <w:bottom w:val="none" w:sz="0" w:space="0" w:color="auto"/>
        <w:right w:val="none" w:sz="0" w:space="0" w:color="auto"/>
      </w:divBdr>
    </w:div>
    <w:div w:id="1656254242">
      <w:bodyDiv w:val="1"/>
      <w:marLeft w:val="0"/>
      <w:marRight w:val="0"/>
      <w:marTop w:val="0"/>
      <w:marBottom w:val="0"/>
      <w:divBdr>
        <w:top w:val="none" w:sz="0" w:space="0" w:color="auto"/>
        <w:left w:val="none" w:sz="0" w:space="0" w:color="auto"/>
        <w:bottom w:val="none" w:sz="0" w:space="0" w:color="auto"/>
        <w:right w:val="none" w:sz="0" w:space="0" w:color="auto"/>
      </w:divBdr>
      <w:divsChild>
        <w:div w:id="1404451576">
          <w:marLeft w:val="360"/>
          <w:marRight w:val="0"/>
          <w:marTop w:val="200"/>
          <w:marBottom w:val="0"/>
          <w:divBdr>
            <w:top w:val="none" w:sz="0" w:space="0" w:color="auto"/>
            <w:left w:val="none" w:sz="0" w:space="0" w:color="auto"/>
            <w:bottom w:val="none" w:sz="0" w:space="0" w:color="auto"/>
            <w:right w:val="none" w:sz="0" w:space="0" w:color="auto"/>
          </w:divBdr>
        </w:div>
      </w:divsChild>
    </w:div>
    <w:div w:id="1806199823">
      <w:bodyDiv w:val="1"/>
      <w:marLeft w:val="0"/>
      <w:marRight w:val="0"/>
      <w:marTop w:val="0"/>
      <w:marBottom w:val="0"/>
      <w:divBdr>
        <w:top w:val="none" w:sz="0" w:space="0" w:color="auto"/>
        <w:left w:val="none" w:sz="0" w:space="0" w:color="auto"/>
        <w:bottom w:val="none" w:sz="0" w:space="0" w:color="auto"/>
        <w:right w:val="none" w:sz="0" w:space="0" w:color="auto"/>
      </w:divBdr>
      <w:divsChild>
        <w:div w:id="213675091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theme" Target="theme/theme1.xml"/><Relationship Id="rId10" Type="http://schemas.openxmlformats.org/officeDocument/2006/relationships/hyperlink" Target="http://www.esrl.noaa.gov/psd/" TargetMode="External"/><Relationship Id="rId11" Type="http://schemas.openxmlformats.org/officeDocument/2006/relationships/hyperlink" Target="http://aspm.faa.gov/opsnet/sys/Main.asp" TargetMode="External"/><Relationship Id="rId12" Type="http://schemas.openxmlformats.org/officeDocument/2006/relationships/hyperlink" Target="http://www.epa.gov/ttnchie1/net/2011inventory.html" TargetMode="External"/><Relationship Id="rId13" Type="http://schemas.openxmlformats.org/officeDocument/2006/relationships/hyperlink" Target="http://www.epa.gov/otaq/nonrdmdl.htm" TargetMode="External"/><Relationship Id="rId14" Type="http://schemas.openxmlformats.org/officeDocument/2006/relationships/hyperlink" Target="http://cfpub.epa.gov/webfire/" TargetMode="External"/><Relationship Id="rId15" Type="http://schemas.openxmlformats.org/officeDocument/2006/relationships/hyperlink" Target="http://ampd.epa.gov/ampd/" TargetMode="External"/><Relationship Id="rId16" Type="http://schemas.openxmlformats.org/officeDocument/2006/relationships/hyperlink" Target="http://www.eia.gov/state/seds"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74010F-2C4B-6F4A-8B54-1A6838D24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33379</Words>
  <Characters>190263</Characters>
  <Application>Microsoft Macintosh Word</Application>
  <DocSecurity>0</DocSecurity>
  <Lines>1585</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Brady S Hardiman</dc:creator>
  <cp:keywords/>
  <dc:description/>
  <cp:lastModifiedBy>Brady S Hardiman</cp:lastModifiedBy>
  <cp:revision>5</cp:revision>
  <dcterms:created xsi:type="dcterms:W3CDTF">2017-03-01T16:51:00Z</dcterms:created>
  <dcterms:modified xsi:type="dcterms:W3CDTF">2017-03-02T21:50:00Z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http://www.zotero.org/styles/science-of-the-total-environment</vt:lpwstr>
  </property>
  <property fmtid="{D5CDD505-2E9C-101B-9397-08002B2CF9AE}" pid="4" name="Mendeley Recent Style Id 0_1">
    <vt:lpwstr>http://www.zotero.org/styles/american-geophysical-union</vt:lpwstr>
  </property>
  <property fmtid="{D5CDD505-2E9C-101B-9397-08002B2CF9AE}" pid="5" name="Mendeley Recent Style Name 0_1">
    <vt:lpwstr>American Geophysical Union</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http://www.zotero.org/styles/apa</vt:lpwstr>
  </property>
  <property fmtid="{D5CDD505-2E9C-101B-9397-08002B2CF9AE}" pid="11" name="Mendeley Recent Style Name 3_1">
    <vt:lpwstr>American Psychological Association 6th edition</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16th edition (author-date)</vt:lpwstr>
  </property>
  <property fmtid="{D5CDD505-2E9C-101B-9397-08002B2CF9AE}" pid="16" name="Mendeley Recent Style Id 6_1">
    <vt:lpwstr>http://www.zotero.org/styles/ecology</vt:lpwstr>
  </property>
  <property fmtid="{D5CDD505-2E9C-101B-9397-08002B2CF9AE}" pid="17" name="Mendeley Recent Style Name 6_1">
    <vt:lpwstr>Ecology</vt:lpwstr>
  </property>
  <property fmtid="{D5CDD505-2E9C-101B-9397-08002B2CF9AE}" pid="18" name="Mendeley Recent Style Id 7_1">
    <vt:lpwstr>http://www.zotero.org/styles/environmental-pollution</vt:lpwstr>
  </property>
  <property fmtid="{D5CDD505-2E9C-101B-9397-08002B2CF9AE}" pid="19" name="Mendeley Recent Style Name 7_1">
    <vt:lpwstr>Environmental Pollution</vt:lpwstr>
  </property>
  <property fmtid="{D5CDD505-2E9C-101B-9397-08002B2CF9AE}" pid="20" name="Mendeley Recent Style Id 8_1">
    <vt:lpwstr>http://www.zotero.org/styles/forest-ecology-and-management</vt:lpwstr>
  </property>
  <property fmtid="{D5CDD505-2E9C-101B-9397-08002B2CF9AE}" pid="21" name="Mendeley Recent Style Name 8_1">
    <vt:lpwstr>Forest Ecology and Management</vt:lpwstr>
  </property>
  <property fmtid="{D5CDD505-2E9C-101B-9397-08002B2CF9AE}" pid="22" name="Mendeley Recent Style Id 9_1">
    <vt:lpwstr>http://www.zotero.org/styles/ieee</vt:lpwstr>
  </property>
  <property fmtid="{D5CDD505-2E9C-101B-9397-08002B2CF9AE}" pid="23" name="Mendeley Recent Style Name 9_1">
    <vt:lpwstr>IEEE</vt:lpwstr>
  </property>
  <property fmtid="{D5CDD505-2E9C-101B-9397-08002B2CF9AE}" pid="24" name="Mendeley Unique User Id_1">
    <vt:lpwstr>b4878965-8d84-33b2-93a7-40016be5bada</vt:lpwstr>
  </property>
</Properties>
</file>