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87B" w:rsidRDefault="00C3087B" w:rsidP="00C3087B">
      <w:pPr>
        <w:autoSpaceDE w:val="0"/>
        <w:autoSpaceDN w:val="0"/>
        <w:adjustRightInd w:val="0"/>
        <w:spacing w:before="0" w:line="480" w:lineRule="auto"/>
        <w:rPr>
          <w:szCs w:val="24"/>
        </w:rPr>
      </w:pPr>
      <w:r>
        <w:rPr>
          <w:szCs w:val="24"/>
        </w:rPr>
        <w:t>SUPPORTING INFORMATION</w:t>
      </w:r>
    </w:p>
    <w:p w:rsidR="00C3087B" w:rsidRDefault="000B0DBF" w:rsidP="00C3087B">
      <w:pPr>
        <w:autoSpaceDE w:val="0"/>
        <w:autoSpaceDN w:val="0"/>
        <w:adjustRightInd w:val="0"/>
        <w:spacing w:before="0" w:line="480" w:lineRule="auto"/>
        <w:rPr>
          <w:szCs w:val="24"/>
        </w:rPr>
      </w:pPr>
      <w:r>
        <w:rPr>
          <w:noProof/>
          <w:szCs w:val="24"/>
        </w:rPr>
        <w:drawing>
          <wp:inline distT="0" distB="0" distL="0" distR="0">
            <wp:extent cx="5943600" cy="4478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_bayescan.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478655"/>
                    </a:xfrm>
                    <a:prstGeom prst="rect">
                      <a:avLst/>
                    </a:prstGeom>
                  </pic:spPr>
                </pic:pic>
              </a:graphicData>
            </a:graphic>
          </wp:inline>
        </w:drawing>
      </w:r>
    </w:p>
    <w:p w:rsidR="00AD2787" w:rsidRDefault="00C3087B" w:rsidP="000B0DBF">
      <w:pPr>
        <w:spacing w:line="480" w:lineRule="auto"/>
        <w:rPr>
          <w:szCs w:val="24"/>
        </w:rPr>
      </w:pPr>
      <w:r>
        <w:rPr>
          <w:szCs w:val="24"/>
        </w:rPr>
        <w:t xml:space="preserve">Supplemental Figure 1. </w:t>
      </w:r>
      <w:proofErr w:type="spellStart"/>
      <w:r>
        <w:rPr>
          <w:szCs w:val="24"/>
        </w:rPr>
        <w:t>BayeScan</w:t>
      </w:r>
      <w:proofErr w:type="spellEnd"/>
      <w:r>
        <w:rPr>
          <w:szCs w:val="24"/>
        </w:rPr>
        <w:t xml:space="preserve"> simulations to identify loci possibly under selection. Simulations had 50,000 burn-in steps with an additional 100,000 intervals with priors set at A) 1,000 with all loci, B) 10,000 with all loci, C) 1,000 with loci under possible selection removed and D) 10,000 with loci under possible selection removed.</w:t>
      </w:r>
    </w:p>
    <w:p w:rsidR="00AD2787" w:rsidRDefault="00AD2787">
      <w:pPr>
        <w:spacing w:before="0" w:after="160" w:line="259" w:lineRule="auto"/>
        <w:rPr>
          <w:szCs w:val="24"/>
        </w:rPr>
      </w:pPr>
      <w:r>
        <w:rPr>
          <w:szCs w:val="24"/>
        </w:rPr>
        <w:br w:type="page"/>
      </w:r>
    </w:p>
    <w:p w:rsidR="00AD2787" w:rsidRDefault="00AD2787" w:rsidP="000B0DBF">
      <w:pPr>
        <w:spacing w:line="480" w:lineRule="auto"/>
      </w:pPr>
    </w:p>
    <w:tbl>
      <w:tblPr>
        <w:tblStyle w:val="TableGrid"/>
        <w:tblW w:w="0" w:type="auto"/>
        <w:tblLook w:val="04A0" w:firstRow="1" w:lastRow="0" w:firstColumn="1" w:lastColumn="0" w:noHBand="0" w:noVBand="1"/>
      </w:tblPr>
      <w:tblGrid>
        <w:gridCol w:w="1885"/>
        <w:gridCol w:w="1530"/>
        <w:gridCol w:w="1440"/>
        <w:gridCol w:w="1350"/>
        <w:gridCol w:w="1530"/>
        <w:gridCol w:w="1615"/>
      </w:tblGrid>
      <w:tr w:rsidR="00AD2787" w:rsidTr="00A74AE4">
        <w:tc>
          <w:tcPr>
            <w:tcW w:w="1885" w:type="dxa"/>
            <w:tcBorders>
              <w:bottom w:val="single" w:sz="4" w:space="0" w:color="auto"/>
            </w:tcBorders>
            <w:vAlign w:val="center"/>
          </w:tcPr>
          <w:p w:rsidR="00AD2787" w:rsidRDefault="00AD2787" w:rsidP="00AD2787">
            <w:pPr>
              <w:spacing w:line="480" w:lineRule="auto"/>
              <w:jc w:val="center"/>
            </w:pPr>
          </w:p>
        </w:tc>
        <w:tc>
          <w:tcPr>
            <w:tcW w:w="1530" w:type="dxa"/>
            <w:tcBorders>
              <w:bottom w:val="single" w:sz="4" w:space="0" w:color="auto"/>
            </w:tcBorders>
            <w:vAlign w:val="center"/>
          </w:tcPr>
          <w:p w:rsidR="00AD2787" w:rsidRPr="00AD2787" w:rsidRDefault="00AD2787" w:rsidP="00AD2787">
            <w:pPr>
              <w:spacing w:line="480" w:lineRule="auto"/>
              <w:jc w:val="center"/>
            </w:pPr>
            <w:r>
              <w:rPr>
                <w:i/>
              </w:rPr>
              <w:t>K</w:t>
            </w:r>
            <w:r>
              <w:t>=1</w:t>
            </w:r>
          </w:p>
        </w:tc>
        <w:tc>
          <w:tcPr>
            <w:tcW w:w="1440" w:type="dxa"/>
            <w:tcBorders>
              <w:bottom w:val="single" w:sz="4" w:space="0" w:color="auto"/>
            </w:tcBorders>
            <w:vAlign w:val="center"/>
          </w:tcPr>
          <w:p w:rsidR="00AD2787" w:rsidRDefault="00AD2787" w:rsidP="00AD2787">
            <w:pPr>
              <w:spacing w:line="480" w:lineRule="auto"/>
              <w:jc w:val="center"/>
            </w:pPr>
            <w:r>
              <w:rPr>
                <w:i/>
              </w:rPr>
              <w:t>K</w:t>
            </w:r>
            <w:r>
              <w:t>=</w:t>
            </w:r>
            <w:r>
              <w:t>2</w:t>
            </w:r>
          </w:p>
        </w:tc>
        <w:tc>
          <w:tcPr>
            <w:tcW w:w="1350" w:type="dxa"/>
            <w:tcBorders>
              <w:bottom w:val="single" w:sz="4" w:space="0" w:color="auto"/>
            </w:tcBorders>
            <w:vAlign w:val="center"/>
          </w:tcPr>
          <w:p w:rsidR="00AD2787" w:rsidRDefault="00AD2787" w:rsidP="00AD2787">
            <w:pPr>
              <w:spacing w:line="480" w:lineRule="auto"/>
              <w:jc w:val="center"/>
            </w:pPr>
            <w:r>
              <w:rPr>
                <w:i/>
              </w:rPr>
              <w:t>K</w:t>
            </w:r>
            <w:r>
              <w:t>=</w:t>
            </w:r>
            <w:r>
              <w:t>3</w:t>
            </w:r>
          </w:p>
        </w:tc>
        <w:tc>
          <w:tcPr>
            <w:tcW w:w="1530" w:type="dxa"/>
            <w:tcBorders>
              <w:bottom w:val="single" w:sz="4" w:space="0" w:color="auto"/>
            </w:tcBorders>
            <w:vAlign w:val="center"/>
          </w:tcPr>
          <w:p w:rsidR="00AD2787" w:rsidRDefault="00AD2787" w:rsidP="00AD2787">
            <w:pPr>
              <w:spacing w:line="480" w:lineRule="auto"/>
              <w:jc w:val="center"/>
            </w:pPr>
            <w:r>
              <w:rPr>
                <w:i/>
              </w:rPr>
              <w:t>K</w:t>
            </w:r>
            <w:r>
              <w:t>=</w:t>
            </w:r>
            <w:r>
              <w:t>4</w:t>
            </w:r>
          </w:p>
        </w:tc>
        <w:tc>
          <w:tcPr>
            <w:tcW w:w="1615" w:type="dxa"/>
            <w:tcBorders>
              <w:bottom w:val="single" w:sz="4" w:space="0" w:color="auto"/>
            </w:tcBorders>
            <w:vAlign w:val="center"/>
          </w:tcPr>
          <w:p w:rsidR="00AD2787" w:rsidRDefault="00AD2787" w:rsidP="00AD2787">
            <w:pPr>
              <w:spacing w:line="480" w:lineRule="auto"/>
              <w:jc w:val="center"/>
            </w:pPr>
            <w:r>
              <w:rPr>
                <w:i/>
              </w:rPr>
              <w:t>K</w:t>
            </w:r>
            <w:r>
              <w:t>=</w:t>
            </w:r>
            <w:r>
              <w:t>5</w:t>
            </w:r>
          </w:p>
        </w:tc>
      </w:tr>
      <w:tr w:rsidR="00AD2787" w:rsidTr="00A74AE4">
        <w:tc>
          <w:tcPr>
            <w:tcW w:w="1885" w:type="dxa"/>
            <w:tcBorders>
              <w:bottom w:val="nil"/>
              <w:right w:val="nil"/>
            </w:tcBorders>
            <w:vAlign w:val="center"/>
          </w:tcPr>
          <w:p w:rsidR="00AD2787" w:rsidRDefault="00AD2787" w:rsidP="00AD2787">
            <w:pPr>
              <w:spacing w:line="480" w:lineRule="auto"/>
              <w:jc w:val="center"/>
            </w:pPr>
            <w:r>
              <w:t>DAPC</w:t>
            </w:r>
            <w:r w:rsidR="00A74AE4">
              <w:t xml:space="preserve"> (BIC)</w:t>
            </w:r>
          </w:p>
        </w:tc>
        <w:tc>
          <w:tcPr>
            <w:tcW w:w="1530" w:type="dxa"/>
            <w:tcBorders>
              <w:left w:val="nil"/>
              <w:bottom w:val="nil"/>
              <w:right w:val="nil"/>
            </w:tcBorders>
            <w:vAlign w:val="center"/>
          </w:tcPr>
          <w:p w:rsidR="00AD2787" w:rsidRDefault="00A74AE4" w:rsidP="00AD2787">
            <w:pPr>
              <w:spacing w:line="480" w:lineRule="auto"/>
              <w:jc w:val="center"/>
            </w:pPr>
            <w:r w:rsidRPr="00A74AE4">
              <w:t>1314.9</w:t>
            </w:r>
          </w:p>
        </w:tc>
        <w:tc>
          <w:tcPr>
            <w:tcW w:w="1440" w:type="dxa"/>
            <w:tcBorders>
              <w:left w:val="nil"/>
              <w:bottom w:val="nil"/>
              <w:right w:val="nil"/>
            </w:tcBorders>
            <w:vAlign w:val="center"/>
          </w:tcPr>
          <w:p w:rsidR="00AD2787" w:rsidRDefault="00A74AE4" w:rsidP="00AD2787">
            <w:pPr>
              <w:spacing w:line="480" w:lineRule="auto"/>
              <w:jc w:val="center"/>
            </w:pPr>
            <w:r w:rsidRPr="00A74AE4">
              <w:t>1315.9</w:t>
            </w:r>
          </w:p>
        </w:tc>
        <w:tc>
          <w:tcPr>
            <w:tcW w:w="1350" w:type="dxa"/>
            <w:tcBorders>
              <w:left w:val="nil"/>
              <w:bottom w:val="nil"/>
              <w:right w:val="nil"/>
            </w:tcBorders>
            <w:vAlign w:val="center"/>
          </w:tcPr>
          <w:p w:rsidR="00AD2787" w:rsidRDefault="00A74AE4" w:rsidP="00AD2787">
            <w:pPr>
              <w:spacing w:line="480" w:lineRule="auto"/>
              <w:jc w:val="center"/>
            </w:pPr>
            <w:r w:rsidRPr="00A74AE4">
              <w:t>1318.7</w:t>
            </w:r>
          </w:p>
        </w:tc>
        <w:tc>
          <w:tcPr>
            <w:tcW w:w="1530" w:type="dxa"/>
            <w:tcBorders>
              <w:left w:val="nil"/>
              <w:bottom w:val="nil"/>
              <w:right w:val="nil"/>
            </w:tcBorders>
            <w:vAlign w:val="center"/>
          </w:tcPr>
          <w:p w:rsidR="00AD2787" w:rsidRDefault="00A74AE4" w:rsidP="00AD2787">
            <w:pPr>
              <w:spacing w:line="480" w:lineRule="auto"/>
              <w:jc w:val="center"/>
            </w:pPr>
            <w:r w:rsidRPr="00A74AE4">
              <w:t>1322.1</w:t>
            </w:r>
          </w:p>
        </w:tc>
        <w:tc>
          <w:tcPr>
            <w:tcW w:w="1615" w:type="dxa"/>
            <w:tcBorders>
              <w:left w:val="nil"/>
              <w:bottom w:val="nil"/>
            </w:tcBorders>
            <w:vAlign w:val="center"/>
          </w:tcPr>
          <w:p w:rsidR="00AD2787" w:rsidRDefault="00A74AE4" w:rsidP="00AD2787">
            <w:pPr>
              <w:spacing w:line="480" w:lineRule="auto"/>
              <w:jc w:val="center"/>
            </w:pPr>
            <w:r w:rsidRPr="00A74AE4">
              <w:t>1325.1</w:t>
            </w:r>
          </w:p>
        </w:tc>
      </w:tr>
      <w:tr w:rsidR="00AD2787" w:rsidTr="00A74AE4">
        <w:tc>
          <w:tcPr>
            <w:tcW w:w="1885" w:type="dxa"/>
            <w:tcBorders>
              <w:top w:val="nil"/>
              <w:right w:val="nil"/>
            </w:tcBorders>
            <w:vAlign w:val="center"/>
          </w:tcPr>
          <w:p w:rsidR="00AD2787" w:rsidRDefault="00AD2787" w:rsidP="00AD2787">
            <w:pPr>
              <w:spacing w:line="480" w:lineRule="auto"/>
              <w:jc w:val="center"/>
            </w:pPr>
            <w:r>
              <w:t>Admixture</w:t>
            </w:r>
            <w:r w:rsidR="00A74AE4">
              <w:t xml:space="preserve"> (CV)</w:t>
            </w:r>
          </w:p>
        </w:tc>
        <w:tc>
          <w:tcPr>
            <w:tcW w:w="1530" w:type="dxa"/>
            <w:tcBorders>
              <w:top w:val="nil"/>
              <w:left w:val="nil"/>
              <w:right w:val="nil"/>
            </w:tcBorders>
            <w:vAlign w:val="center"/>
          </w:tcPr>
          <w:p w:rsidR="00AD2787" w:rsidRDefault="00AD2787" w:rsidP="00AD2787">
            <w:pPr>
              <w:spacing w:line="480" w:lineRule="auto"/>
              <w:jc w:val="center"/>
            </w:pPr>
            <w:r w:rsidRPr="00AD2787">
              <w:t>0.5416</w:t>
            </w:r>
          </w:p>
        </w:tc>
        <w:tc>
          <w:tcPr>
            <w:tcW w:w="1440" w:type="dxa"/>
            <w:tcBorders>
              <w:top w:val="nil"/>
              <w:left w:val="nil"/>
              <w:right w:val="nil"/>
            </w:tcBorders>
            <w:vAlign w:val="center"/>
          </w:tcPr>
          <w:p w:rsidR="00AD2787" w:rsidRDefault="00AD2787" w:rsidP="00AD2787">
            <w:pPr>
              <w:spacing w:line="480" w:lineRule="auto"/>
              <w:jc w:val="center"/>
            </w:pPr>
            <w:r w:rsidRPr="00AD2787">
              <w:t>0.5445</w:t>
            </w:r>
          </w:p>
        </w:tc>
        <w:tc>
          <w:tcPr>
            <w:tcW w:w="1350" w:type="dxa"/>
            <w:tcBorders>
              <w:top w:val="nil"/>
              <w:left w:val="nil"/>
              <w:right w:val="nil"/>
            </w:tcBorders>
            <w:vAlign w:val="center"/>
          </w:tcPr>
          <w:p w:rsidR="00AD2787" w:rsidRDefault="00AD2787" w:rsidP="00AD2787">
            <w:pPr>
              <w:spacing w:line="480" w:lineRule="auto"/>
              <w:jc w:val="center"/>
            </w:pPr>
            <w:r w:rsidRPr="00AD2787">
              <w:t>0.5444</w:t>
            </w:r>
          </w:p>
        </w:tc>
        <w:tc>
          <w:tcPr>
            <w:tcW w:w="1530" w:type="dxa"/>
            <w:tcBorders>
              <w:top w:val="nil"/>
              <w:left w:val="nil"/>
              <w:right w:val="nil"/>
            </w:tcBorders>
            <w:vAlign w:val="center"/>
          </w:tcPr>
          <w:p w:rsidR="00AD2787" w:rsidRDefault="00AD2787" w:rsidP="00AD2787">
            <w:pPr>
              <w:spacing w:line="480" w:lineRule="auto"/>
              <w:jc w:val="center"/>
            </w:pPr>
            <w:r w:rsidRPr="00AD2787">
              <w:t>0.5479</w:t>
            </w:r>
          </w:p>
        </w:tc>
        <w:tc>
          <w:tcPr>
            <w:tcW w:w="1615" w:type="dxa"/>
            <w:tcBorders>
              <w:top w:val="nil"/>
              <w:left w:val="nil"/>
            </w:tcBorders>
            <w:vAlign w:val="center"/>
          </w:tcPr>
          <w:p w:rsidR="00AD2787" w:rsidRDefault="00A74AE4" w:rsidP="00AD2787">
            <w:pPr>
              <w:spacing w:line="480" w:lineRule="auto"/>
              <w:jc w:val="center"/>
            </w:pPr>
            <w:r w:rsidRPr="00A74AE4">
              <w:t>0.5489</w:t>
            </w:r>
          </w:p>
        </w:tc>
      </w:tr>
    </w:tbl>
    <w:p w:rsidR="00AD2787" w:rsidRDefault="00AD2787" w:rsidP="000B0DBF">
      <w:pPr>
        <w:spacing w:line="480" w:lineRule="auto"/>
      </w:pPr>
    </w:p>
    <w:p w:rsidR="001579DB" w:rsidRPr="00AD2787" w:rsidRDefault="00AD2787" w:rsidP="000B0DBF">
      <w:pPr>
        <w:spacing w:line="480" w:lineRule="auto"/>
      </w:pPr>
      <w:r>
        <w:t xml:space="preserve">Supplemental Table 1. Selection of </w:t>
      </w:r>
      <w:r>
        <w:rPr>
          <w:i/>
        </w:rPr>
        <w:t xml:space="preserve">K </w:t>
      </w:r>
      <w:r>
        <w:t xml:space="preserve">statistics from DAPC (Bayesian Information Criterion values) and Admixture (Cross-validation values).  For both analyses, a lower number indicates higher statistical support for the number of populations. The table presents the final simulations which are representative of the majority of iterations where </w:t>
      </w:r>
      <w:r>
        <w:rPr>
          <w:i/>
        </w:rPr>
        <w:t>K</w:t>
      </w:r>
      <w:r>
        <w:t xml:space="preserve">=1. Due to the high number of simulations repeated, a small fraction found </w:t>
      </w:r>
      <w:r>
        <w:rPr>
          <w:i/>
        </w:rPr>
        <w:t>K</w:t>
      </w:r>
      <w:r>
        <w:t xml:space="preserve">=2 with the highest probability. Discussed in the main manuscript, </w:t>
      </w:r>
      <w:proofErr w:type="spellStart"/>
      <w:r>
        <w:t>Arcachon’s</w:t>
      </w:r>
      <w:proofErr w:type="spellEnd"/>
      <w:r>
        <w:t xml:space="preserve"> genetic differentiation appears to drive this variability</w:t>
      </w:r>
      <w:bookmarkStart w:id="0" w:name="_GoBack"/>
      <w:bookmarkEnd w:id="0"/>
      <w:r>
        <w:t>.</w:t>
      </w:r>
    </w:p>
    <w:sectPr w:rsidR="001579DB" w:rsidRPr="00AD2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7B"/>
    <w:rsid w:val="000B0DBF"/>
    <w:rsid w:val="001579DB"/>
    <w:rsid w:val="0080517B"/>
    <w:rsid w:val="00A74AE4"/>
    <w:rsid w:val="00AD2787"/>
    <w:rsid w:val="00C3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318E"/>
  <w15:chartTrackingRefBased/>
  <w15:docId w15:val="{84CFEB5E-9115-4738-8865-3B384D89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87B"/>
    <w:pPr>
      <w:spacing w:before="120"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NOAA PMEL</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Galaska</dc:creator>
  <cp:keywords/>
  <dc:description/>
  <cp:lastModifiedBy>Matt Galaska</cp:lastModifiedBy>
  <cp:revision>4</cp:revision>
  <dcterms:created xsi:type="dcterms:W3CDTF">2020-08-21T21:22:00Z</dcterms:created>
  <dcterms:modified xsi:type="dcterms:W3CDTF">2020-12-24T18:33:00Z</dcterms:modified>
</cp:coreProperties>
</file>