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E29AD" w14:textId="6E3B3E45" w:rsidR="00DA1D43" w:rsidRDefault="00B5089E" w:rsidP="00DA1D43">
      <w:pPr>
        <w:rPr>
          <w:b/>
          <w:bCs/>
        </w:rPr>
      </w:pPr>
      <w:r>
        <w:rPr>
          <w:b/>
          <w:bCs/>
        </w:rPr>
        <w:t>Supplemental</w:t>
      </w:r>
      <w:r w:rsidR="00DA1D43">
        <w:rPr>
          <w:b/>
          <w:bCs/>
        </w:rPr>
        <w:t xml:space="preserve"> 1: Derivation of total and relative predation</w:t>
      </w:r>
    </w:p>
    <w:p w14:paraId="7C01B99F" w14:textId="77777777" w:rsidR="00DA1D43" w:rsidRDefault="00DA1D43" w:rsidP="00DA1D43">
      <w:r>
        <w:t xml:space="preserve">The total biomass of juvenile pollock consumed </w:t>
      </w:r>
      <m:oMath>
        <m:sSub>
          <m:sSubPr>
            <m:ctrlPr>
              <w:rPr>
                <w:rFonts w:ascii="Cambria Math" w:hAnsi="Cambria Math"/>
                <w:i/>
              </w:rPr>
            </m:ctrlPr>
          </m:sSubPr>
          <m:e>
            <m:r>
              <w:rPr>
                <w:rFonts w:ascii="Cambria Math" w:hAnsi="Cambria Math"/>
              </w:rPr>
              <m:t>P</m:t>
            </m:r>
          </m:e>
          <m:sub>
            <m:r>
              <m:rPr>
                <m:nor/>
              </m:rPr>
              <w:rPr>
                <w:rFonts w:ascii="Cambria Math" w:hAnsi="Cambria Math"/>
              </w:rPr>
              <m:t xml:space="preserve">total, </m:t>
            </m:r>
            <m:r>
              <w:rPr>
                <w:rFonts w:ascii="Cambria Math" w:hAnsi="Cambria Math"/>
              </w:rPr>
              <m:t>i</m:t>
            </m:r>
          </m:sub>
        </m:sSub>
      </m:oMath>
      <w:r>
        <w:t xml:space="preserve"> (“total predation”, kg) by a given species of predator in year </w:t>
      </w:r>
      <m:oMath>
        <m:r>
          <w:rPr>
            <w:rFonts w:ascii="Cambria Math" w:hAnsi="Cambria Math"/>
          </w:rPr>
          <m:t>i</m:t>
        </m:r>
      </m:oMath>
      <w:r>
        <w:rPr>
          <w:rFonts w:eastAsiaTheme="minorEastAsia"/>
        </w:rPr>
        <w:t xml:space="preserve"> is calculated as the sum of estimated predation </w:t>
      </w:r>
      <m:oMath>
        <m:sSub>
          <m:sSubPr>
            <m:ctrlPr>
              <w:rPr>
                <w:rFonts w:ascii="Cambria Math" w:hAnsi="Cambria Math"/>
                <w:i/>
              </w:rPr>
            </m:ctrlPr>
          </m:sSubPr>
          <m:e>
            <m:r>
              <w:rPr>
                <w:rFonts w:ascii="Cambria Math" w:hAnsi="Cambria Math"/>
              </w:rPr>
              <m:t>P</m:t>
            </m:r>
          </m:e>
          <m:sub>
            <m:r>
              <w:rPr>
                <w:rFonts w:ascii="Cambria Math" w:hAnsi="Cambria Math"/>
              </w:rPr>
              <m:t>ij</m:t>
            </m:r>
          </m:sub>
        </m:sSub>
      </m:oMath>
      <w:r>
        <w:rPr>
          <w:rFonts w:eastAsiaTheme="minorEastAsia"/>
        </w:rPr>
        <w:t xml:space="preserve"> (kg km</w:t>
      </w:r>
      <w:r w:rsidRPr="006A5B42">
        <w:rPr>
          <w:rFonts w:eastAsiaTheme="minorEastAsia"/>
          <w:vertAlign w:val="superscript"/>
        </w:rPr>
        <w:t>-</w:t>
      </w:r>
      <w:r>
        <w:rPr>
          <w:rFonts w:eastAsiaTheme="minorEastAsia"/>
          <w:vertAlign w:val="superscript"/>
        </w:rPr>
        <w:t>2</w:t>
      </w:r>
      <w:r>
        <w:rPr>
          <w:rFonts w:eastAsiaTheme="minorEastAsia"/>
        </w:rPr>
        <w:t xml:space="preserve">) in each grid cell </w:t>
      </w:r>
      <m:oMath>
        <m:r>
          <w:rPr>
            <w:rFonts w:ascii="Cambria Math" w:hAnsi="Cambria Math"/>
          </w:rPr>
          <m:t>j</m:t>
        </m:r>
      </m:oMath>
      <w:r>
        <w:rPr>
          <w:rFonts w:eastAsiaTheme="minorEastAsia"/>
        </w:rPr>
        <w:t xml:space="preserve"> and year </w:t>
      </w:r>
      <m:oMath>
        <m:r>
          <w:rPr>
            <w:rFonts w:ascii="Cambria Math" w:eastAsiaTheme="minorEastAsia" w:hAnsi="Cambria Math"/>
          </w:rPr>
          <m:t>i</m:t>
        </m:r>
      </m:oMath>
      <w:r>
        <w:rPr>
          <w:rFonts w:eastAsiaTheme="minorEastAsia"/>
        </w:rPr>
        <w:t xml:space="preserve">, multiplied by the area of each grid cell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t xml:space="preserve">. In turn, </w:t>
      </w:r>
      <m:oMath>
        <m:sSub>
          <m:sSubPr>
            <m:ctrlPr>
              <w:rPr>
                <w:rFonts w:ascii="Cambria Math" w:hAnsi="Cambria Math"/>
                <w:i/>
              </w:rPr>
            </m:ctrlPr>
          </m:sSubPr>
          <m:e>
            <m:r>
              <w:rPr>
                <w:rFonts w:ascii="Cambria Math" w:hAnsi="Cambria Math"/>
              </w:rPr>
              <m:t>P</m:t>
            </m:r>
          </m:e>
          <m:sub>
            <m:r>
              <w:rPr>
                <w:rFonts w:ascii="Cambria Math" w:hAnsi="Cambria Math"/>
              </w:rPr>
              <m:t>ij</m:t>
            </m:r>
          </m:sub>
        </m:sSub>
      </m:oMath>
      <w:r>
        <w:rPr>
          <w:rFonts w:eastAsiaTheme="minorEastAsia"/>
        </w:rPr>
        <w:t xml:space="preserve"> is the product of the ratio of prey mass consumed per predator biomass (kg prey per kg predator)</w:t>
      </w:r>
      <w:r>
        <w:t xml:space="preserv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Pr>
          <w:rFonts w:eastAsiaTheme="minorEastAsia"/>
        </w:rPr>
        <w:t xml:space="preserve"> and the estimated biomass-density of the predator species </w:t>
      </w:r>
      <m:oMath>
        <m:sSub>
          <m:sSubPr>
            <m:ctrlPr>
              <w:rPr>
                <w:rFonts w:ascii="Cambria Math" w:hAnsi="Cambria Math"/>
                <w:i/>
              </w:rPr>
            </m:ctrlPr>
          </m:sSubPr>
          <m:e>
            <m:r>
              <w:rPr>
                <w:rFonts w:ascii="Cambria Math" w:hAnsi="Cambria Math"/>
              </w:rPr>
              <m:t>B</m:t>
            </m:r>
          </m:e>
          <m:sub>
            <m:r>
              <w:rPr>
                <w:rFonts w:ascii="Cambria Math" w:hAnsi="Cambria Math"/>
              </w:rPr>
              <m:t>ij</m:t>
            </m:r>
          </m:sub>
        </m:sSub>
      </m:oMath>
      <w:r>
        <w:rPr>
          <w:rFonts w:eastAsiaTheme="minorEastAsia"/>
        </w:rPr>
        <w:t xml:space="preserve"> (kg km</w:t>
      </w:r>
      <w:r w:rsidRPr="009A28A0">
        <w:rPr>
          <w:rFonts w:eastAsiaTheme="minorEastAsia"/>
          <w:vertAlign w:val="superscript"/>
        </w:rPr>
        <w:t>-2</w:t>
      </w:r>
      <w:r>
        <w:rPr>
          <w:rFonts w:eastAsiaTheme="minorEastAsia"/>
        </w:rPr>
        <w:t>):</w:t>
      </w:r>
    </w:p>
    <w:p w14:paraId="693AF8A1" w14:textId="77777777" w:rsidR="00DA1D43" w:rsidRPr="00027915" w:rsidRDefault="00431609" w:rsidP="00DA1D43">
      <w:pPr>
        <w:rPr>
          <w:rFonts w:eastAsiaTheme="minorEastAsia"/>
        </w:rPr>
      </w:pPr>
      <m:oMathPara>
        <m:oMath>
          <m:sSub>
            <m:sSubPr>
              <m:ctrlPr>
                <w:rPr>
                  <w:rFonts w:ascii="Cambria Math" w:hAnsi="Cambria Math"/>
                  <w:i/>
                </w:rPr>
              </m:ctrlPr>
            </m:sSubPr>
            <m:e>
              <m:r>
                <w:rPr>
                  <w:rFonts w:ascii="Cambria Math" w:hAnsi="Cambria Math"/>
                </w:rPr>
                <m:t>P</m:t>
              </m:r>
            </m:e>
            <m:sub>
              <m:r>
                <m:rPr>
                  <m:nor/>
                </m:rPr>
                <w:rPr>
                  <w:rFonts w:ascii="Cambria Math" w:hAnsi="Cambria Math"/>
                </w:rPr>
                <m:t xml:space="preserve">total, </m:t>
              </m:r>
              <m:r>
                <w:rPr>
                  <w:rFonts w:ascii="Cambria Math" w:hAnsi="Cambria Math"/>
                </w:rPr>
                <m:t>i</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j</m:t>
                  </m:r>
                </m:sub>
              </m:sSub>
            </m:e>
          </m:nary>
          <m:r>
            <w:rPr>
              <w:rFonts w:ascii="Cambria Math" w:hAnsi="Cambria Math"/>
            </w:rPr>
            <m:t xml:space="preserve">= </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D</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nary>
        </m:oMath>
      </m:oMathPara>
    </w:p>
    <w:p w14:paraId="166119AC" w14:textId="77777777" w:rsidR="00DA1D43" w:rsidRDefault="00DA1D43" w:rsidP="00DA1D43">
      <w:r>
        <w:t xml:space="preserve">“Relative predation,” </w:t>
      </w:r>
      <m:oMath>
        <m:sSub>
          <m:sSubPr>
            <m:ctrlPr>
              <w:rPr>
                <w:rFonts w:ascii="Cambria Math" w:hAnsi="Cambria Math"/>
                <w:i/>
              </w:rPr>
            </m:ctrlPr>
          </m:sSubPr>
          <m:e>
            <m:r>
              <w:rPr>
                <w:rFonts w:ascii="Cambria Math" w:hAnsi="Cambria Math"/>
              </w:rPr>
              <m:t>P</m:t>
            </m:r>
          </m:e>
          <m:sub>
            <m:r>
              <m:rPr>
                <m:nor/>
              </m:rPr>
              <w:rPr>
                <w:rFonts w:ascii="Cambria Math" w:hAnsi="Cambria Math"/>
              </w:rPr>
              <m:t xml:space="preserve">relative, </m:t>
            </m:r>
            <m:r>
              <w:rPr>
                <w:rFonts w:ascii="Cambria Math" w:hAnsi="Cambria Math"/>
              </w:rPr>
              <m:t>i</m:t>
            </m:r>
          </m:sub>
        </m:sSub>
      </m:oMath>
      <w:r>
        <w:rPr>
          <w:rFonts w:eastAsiaTheme="minorEastAsia"/>
        </w:rPr>
        <w:t xml:space="preserve"> (in kg prey per kg predator)</w:t>
      </w:r>
      <w:r>
        <w:t>, is the rate of prey biomass consumption by a species of predator, normalized by the estimated predator biomass, and represents a weighted average of the average prey mass per predator biomass</w:t>
      </w:r>
      <m:oMath>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ij</m:t>
            </m:r>
          </m:sub>
        </m:sSub>
      </m:oMath>
      <w:r>
        <w:t xml:space="preserve"> in each grid cell </w:t>
      </w:r>
      <m:oMath>
        <m:r>
          <w:rPr>
            <w:rFonts w:ascii="Cambria Math" w:hAnsi="Cambria Math"/>
          </w:rPr>
          <m:t>j</m:t>
        </m:r>
      </m:oMath>
      <w:r>
        <w:t xml:space="preserve">, weighted by the estimated predator biomass in grid cell </w:t>
      </w:r>
      <m:oMath>
        <m:r>
          <w:rPr>
            <w:rFonts w:ascii="Cambria Math" w:hAnsi="Cambria Math"/>
          </w:rPr>
          <m:t>j</m:t>
        </m:r>
      </m:oMath>
      <w:r>
        <w:t>:</w:t>
      </w:r>
    </w:p>
    <w:p w14:paraId="2622A584" w14:textId="77777777" w:rsidR="00DA1D43" w:rsidRPr="00776FC8" w:rsidRDefault="00431609" w:rsidP="00DA1D43">
      <m:oMathPara>
        <m:oMath>
          <m:sSub>
            <m:sSubPr>
              <m:ctrlPr>
                <w:rPr>
                  <w:rFonts w:ascii="Cambria Math" w:hAnsi="Cambria Math"/>
                  <w:i/>
                </w:rPr>
              </m:ctrlPr>
            </m:sSubPr>
            <m:e>
              <m:r>
                <w:rPr>
                  <w:rFonts w:ascii="Cambria Math" w:hAnsi="Cambria Math"/>
                </w:rPr>
                <m:t>P</m:t>
              </m:r>
            </m:e>
            <m:sub>
              <m:r>
                <m:rPr>
                  <m:nor/>
                </m:rPr>
                <w:rPr>
                  <w:rFonts w:ascii="Cambria Math" w:hAnsi="Cambria Math"/>
                </w:rPr>
                <m:t>relative,</m:t>
              </m:r>
              <m:r>
                <w:rPr>
                  <w:rFonts w:ascii="Cambria Math" w:hAnsi="Cambria Math"/>
                </w:rPr>
                <m:t xml:space="preserve"> i</m:t>
              </m:r>
            </m:sub>
          </m:sSub>
          <m:r>
            <w:rPr>
              <w:rFonts w:ascii="Cambria Math" w:hAnsi="Cambria Math"/>
            </w:rPr>
            <m:t xml:space="preserve">= </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D</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nary>
            </m:num>
            <m:den>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B</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nary>
            </m:den>
          </m:f>
        </m:oMath>
      </m:oMathPara>
    </w:p>
    <w:p w14:paraId="1A347E1D" w14:textId="77777777" w:rsidR="00DA1D43" w:rsidRDefault="00DA1D43" w:rsidP="00DA1D43">
      <w:r>
        <w:t xml:space="preserve">Thus, the total predation for year </w:t>
      </w:r>
      <m:oMath>
        <m:r>
          <w:rPr>
            <w:rFonts w:ascii="Cambria Math" w:hAnsi="Cambria Math"/>
          </w:rPr>
          <m:t>i</m:t>
        </m:r>
      </m:oMath>
      <w:r>
        <w:rPr>
          <w:rFonts w:eastAsiaTheme="minorEastAsia"/>
        </w:rPr>
        <w:t xml:space="preserve"> is the product of the relative predation multiplied by the total biomass of the predator across the EBS survey region:</w:t>
      </w:r>
    </w:p>
    <w:p w14:paraId="6AD6EB1C" w14:textId="77777777" w:rsidR="00DA1D43" w:rsidRPr="00D56AFD" w:rsidRDefault="00431609" w:rsidP="00DA1D43">
      <w:pPr>
        <w:rPr>
          <w:rFonts w:eastAsiaTheme="minorEastAsia"/>
        </w:rPr>
      </w:pPr>
      <m:oMathPara>
        <m:oMath>
          <m:sSub>
            <m:sSubPr>
              <m:ctrlPr>
                <w:rPr>
                  <w:rFonts w:ascii="Cambria Math" w:hAnsi="Cambria Math"/>
                  <w:i/>
                </w:rPr>
              </m:ctrlPr>
            </m:sSubPr>
            <m:e>
              <m:r>
                <w:rPr>
                  <w:rFonts w:ascii="Cambria Math" w:hAnsi="Cambria Math"/>
                </w:rPr>
                <m:t>P</m:t>
              </m:r>
            </m:e>
            <m:sub>
              <m:r>
                <m:rPr>
                  <m:nor/>
                </m:rPr>
                <w:rPr>
                  <w:rFonts w:ascii="Cambria Math" w:hAnsi="Cambria Math"/>
                </w:rPr>
                <m:t>total,</m:t>
              </m:r>
              <m:r>
                <w:rPr>
                  <w:rFonts w:ascii="Cambria Math" w:hAnsi="Cambria Math"/>
                </w:rPr>
                <m:t xml:space="preserve"> i</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m:rPr>
                  <m:nor/>
                </m:rPr>
                <w:rPr>
                  <w:rFonts w:ascii="Cambria Math" w:hAnsi="Cambria Math"/>
                </w:rPr>
                <m:t>relative,</m:t>
              </m:r>
              <m:r>
                <w:rPr>
                  <w:rFonts w:ascii="Cambria Math" w:hAnsi="Cambria Math"/>
                </w:rPr>
                <m:t xml:space="preserve"> 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B</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nary>
        </m:oMath>
      </m:oMathPara>
    </w:p>
    <w:p w14:paraId="52068370" w14:textId="77777777" w:rsidR="00DA1D43" w:rsidRPr="00597374" w:rsidRDefault="00DA1D43" w:rsidP="00DA1D43">
      <w:r>
        <w:t>The years for which sufficient stomach contents data existed for analyses were: 1986-1987, 1989, 1991-2003, and 2006-2015 for arrowtooth flounder; 1984-2003 and 2005-2015 for Pacific cod; 1984-1985, 1989-1995, 1997-1999, 2002-2003, 2006-2008, and 2010-2015 for Pacific halibut; and 1987-2015 for adult walleye pollock.</w:t>
      </w:r>
    </w:p>
    <w:p w14:paraId="5EED39AD" w14:textId="45899CB2" w:rsidR="00897645" w:rsidRDefault="00897645" w:rsidP="00DA1D43">
      <w:pPr>
        <w:rPr>
          <w:b/>
          <w:bCs/>
        </w:rPr>
      </w:pPr>
      <w:r>
        <w:rPr>
          <w:b/>
          <w:bCs/>
        </w:rPr>
        <w:br w:type="page"/>
      </w:r>
    </w:p>
    <w:p w14:paraId="4DCA8175" w14:textId="3F550E98" w:rsidR="00DA1D43" w:rsidRPr="00FB1CAC" w:rsidRDefault="006519B6" w:rsidP="00DA1D43">
      <w:r>
        <w:rPr>
          <w:b/>
          <w:bCs/>
        </w:rPr>
        <w:lastRenderedPageBreak/>
        <w:t>Supplemental</w:t>
      </w:r>
      <w:r w:rsidR="00DA1D43">
        <w:rPr>
          <w:b/>
          <w:bCs/>
        </w:rPr>
        <w:t xml:space="preserve"> 2: Overlap metrics used in this study</w:t>
      </w:r>
    </w:p>
    <w:p w14:paraId="6CD536A6" w14:textId="77777777" w:rsidR="00DA1D43" w:rsidRDefault="00DA1D43" w:rsidP="00DA1D43">
      <w:pPr>
        <w:ind w:firstLine="720"/>
        <w:rPr>
          <w:bCs/>
        </w:rPr>
      </w:pPr>
      <w:r>
        <w:rPr>
          <w:bCs/>
        </w:rPr>
        <w:t xml:space="preserve">We quantify the extent of spatial overlap between juvenile pollock and predators using three metrics: area overlap, the global index of collocation, and the local index of collocation. Area overlap is a simple and intuitive metric which assesses the proportion of a set of locations for which both a predator and prey co-occur </w:t>
      </w:r>
      <w:r>
        <w:rPr>
          <w:bCs/>
        </w:rPr>
        <w:fldChar w:fldCharType="begin" w:fldLock="1"/>
      </w:r>
      <w:r>
        <w:rPr>
          <w:bCs/>
        </w:rPr>
        <w:instrText>ADDIN CSL_CITATION {"citationItems":[{"id":"ITEM-1","itemData":{"DOI":"10.1371/journal.pone.0111211","ISSN":"19326203","PMID":"25375656","abstract":"Understanding the ecological and anthropogenic drivers of population dynamics requires detailed studies on habitat selection and spatial distribution. Although small pelagic fish aggregate in large shoals and usually exhibit important spatial structure, their dynamics in time and space remain unpredictable and challenging. In the Gulf of Lions (north-western Mediterranean), sardine and anchovy biomasses have declined over the past 5 years causing an important fishery crisis while sprat abundance rose. Applying geostatistical tools on scientific acoustic surveys conducted in the Gulf of Lions, we investigated anchovy, sardine and sprat spatial distributions and structures over 10 years. Our results show that sardines and sprats were more coastal than anchovies. The spatial structure of the three species was fairly stable over time according to variogram outputs, while year-to-year variations in kriged maps highlighted substantial changes in their location. Support for the McCall's basin hypothesis (covariation of both population density and presence area with biomass) was found only in sprats, the most variable of the three species. An innovative method to investigate species collocation at different scales revealed that globally the three species strongly overlap. Although species often co-occurred in terms of presence/absence, their biomass density differed at local scale, suggesting potential interspecific avoidance or different sensitivity to local environmental characteristics. Persistent favourable areas were finally detected, but their environmental characteristics remain to be determined.","author":[{"dropping-particle":"","family":"Saraux","given":"Claire","non-dropping-particle":"","parse-names":false,"suffix":""},{"dropping-particle":"","family":"Fromentin","given":"Jean Marc","non-dropping-particle":"","parse-names":false,"suffix":""},{"dropping-particle":"","family":"Bigot","given":"Jean Louis","non-dropping-particle":"","parse-names":false,"suffix":""},{"dropping-particle":"","family":"Bourdeix","given":"Jean Hervé","non-dropping-particle":"","parse-names":false,"suffix":""},{"dropping-particle":"","family":"Morfin","given":"Marie","non-dropping-particle":"","parse-names":false,"suffix":""},{"dropping-particle":"","family":"Roos","given":"David","non-dropping-particle":"","parse-names":false,"suffix":""},{"dropping-particle":"","family":"Beveren","given":"Elisabeth","non-dropping-particle":"Van","parse-names":false,"suffix":""},{"dropping-particle":"","family":"Bez","given":"Nicolas","non-dropping-particle":"","parse-names":false,"suffix":""}],"container-title":"PLoS ONE","id":"ITEM-1","issue":"11","issued":{"date-parts":[["2014"]]},"title":"Spatial structure and distribution of small pelagic fish in the northwestern mediterranean sea","type":"article-journal","volume":"9"},"uris":["http://www.mendeley.com/documents/?uuid=93cc713b-c1da-4cf9-bd5d-de6e86b458e2"]}],"mendeley":{"formattedCitation":"(Saraux et al. 2014)","plainTextFormattedCitation":"(Saraux et al. 2014)","previouslyFormattedCitation":"(Saraux et al. 2014)"},"properties":{"noteIndex":0},"schema":"https://github.com/citation-style-language/schema/raw/master/csl-citation.json"}</w:instrText>
      </w:r>
      <w:r>
        <w:rPr>
          <w:bCs/>
        </w:rPr>
        <w:fldChar w:fldCharType="separate"/>
      </w:r>
      <w:r w:rsidRPr="00FE1521">
        <w:rPr>
          <w:bCs/>
          <w:noProof/>
        </w:rPr>
        <w:t>(Saraux et al. 2014)</w:t>
      </w:r>
      <w:r>
        <w:rPr>
          <w:bCs/>
        </w:rPr>
        <w:fldChar w:fldCharType="end"/>
      </w:r>
      <w:r>
        <w:rPr>
          <w:bCs/>
        </w:rPr>
        <w:t>. We calculated area overlap between juvenile pollock and each respective predator as the proportion of grid cells for which both species were predicted to occur:</w:t>
      </w:r>
    </w:p>
    <w:p w14:paraId="4A9E73A4" w14:textId="77777777" w:rsidR="00DA1D43" w:rsidRDefault="00431609" w:rsidP="00DA1D43">
      <w:pPr>
        <w:rPr>
          <w:bCs/>
        </w:rPr>
      </w:pPr>
      <m:oMathPara>
        <m:oMath>
          <m:f>
            <m:fPr>
              <m:ctrlPr>
                <w:rPr>
                  <w:rFonts w:ascii="Cambria Math" w:hAnsi="Cambria Math"/>
                  <w:bCs/>
                </w:rPr>
              </m:ctrlPr>
            </m:fPr>
            <m:num>
              <m:nary>
                <m:naryPr>
                  <m:chr m:val="∑"/>
                  <m:ctrlPr>
                    <w:rPr>
                      <w:rFonts w:ascii="Cambria Math" w:hAnsi="Cambria Math"/>
                      <w:bCs/>
                    </w:rPr>
                  </m:ctrlPr>
                </m:naryPr>
                <m:sub>
                  <m:r>
                    <m:rPr>
                      <m:sty m:val="p"/>
                    </m:rPr>
                    <w:rPr>
                      <w:rFonts w:ascii="Cambria Math" w:hAnsi="Cambria Math"/>
                    </w:rPr>
                    <m:t>i</m:t>
                  </m:r>
                  <m:ctrlPr>
                    <w:rPr>
                      <w:rFonts w:ascii="Cambria Math" w:hAnsi="Cambria Math"/>
                      <w:bCs/>
                      <w:i/>
                    </w:rPr>
                  </m:ctrlPr>
                </m:sub>
                <m:sup>
                  <m:r>
                    <m:rPr>
                      <m:sty m:val="p"/>
                    </m:rPr>
                    <w:rPr>
                      <w:rFonts w:ascii="Cambria Math" w:hAnsi="Cambria Math"/>
                    </w:rPr>
                    <m:t>n</m:t>
                  </m:r>
                  <m:ctrlPr>
                    <w:rPr>
                      <w:rFonts w:ascii="Cambria Math" w:hAnsi="Cambria Math"/>
                      <w:bCs/>
                      <w:i/>
                    </w:rPr>
                  </m:ctrlPr>
                </m:sup>
                <m:e>
                  <m:r>
                    <m:rPr>
                      <m:sty m:val="p"/>
                    </m:rPr>
                    <w:rPr>
                      <w:rFonts w:ascii="Cambria Math" w:hAnsi="Cambria Math"/>
                    </w:rPr>
                    <m:t> </m:t>
                  </m:r>
                  <m:sSub>
                    <m:sSubPr>
                      <m:ctrlPr>
                        <w:rPr>
                          <w:rFonts w:ascii="Cambria Math" w:hAnsi="Cambria Math"/>
                          <w:bCs/>
                        </w:rPr>
                      </m:ctrlPr>
                    </m:sSubPr>
                    <m:e>
                      <m:r>
                        <m:rPr>
                          <m:sty m:val="p"/>
                        </m:rPr>
                        <w:rPr>
                          <w:rFonts w:ascii="Cambria Math" w:hAnsi="Cambria Math"/>
                        </w:rPr>
                        <m:t>A</m:t>
                      </m:r>
                    </m:e>
                    <m:sub>
                      <m:r>
                        <m:rPr>
                          <m:sty m:val="p"/>
                        </m:rPr>
                        <w:rPr>
                          <w:rFonts w:ascii="Cambria Math" w:hAnsi="Cambria Math"/>
                        </w:rPr>
                        <m:t>i</m:t>
                      </m:r>
                    </m:sub>
                  </m:sSub>
                  <m:r>
                    <m:rPr>
                      <m:sty m:val="p"/>
                    </m:rPr>
                    <w:rPr>
                      <w:rFonts w:ascii="Cambria Math" w:hAnsi="Cambria Math"/>
                    </w:rPr>
                    <m:t> 1</m:t>
                  </m:r>
                  <m:d>
                    <m:dPr>
                      <m:ctrlPr>
                        <w:rPr>
                          <w:rFonts w:ascii="Cambria Math" w:hAnsi="Cambria Math"/>
                          <w:bCs/>
                        </w:rPr>
                      </m:ctrlPr>
                    </m:dPr>
                    <m:e>
                      <m:r>
                        <m:rPr>
                          <m:sty m:val="p"/>
                        </m:rPr>
                        <w:rPr>
                          <w:rFonts w:ascii="Cambria Math" w:hAnsi="Cambria Math"/>
                        </w:rPr>
                        <m:t> </m:t>
                      </m:r>
                      <m:sSub>
                        <m:sSubPr>
                          <m:ctrlPr>
                            <w:rPr>
                              <w:rFonts w:ascii="Cambria Math" w:hAnsi="Cambria Math"/>
                              <w:bCs/>
                            </w:rPr>
                          </m:ctrlPr>
                        </m:sSubPr>
                        <m:e>
                          <m:r>
                            <m:rPr>
                              <m:sty m:val="p"/>
                            </m:rPr>
                            <w:rPr>
                              <w:rFonts w:ascii="Cambria Math" w:hAnsi="Cambria Math"/>
                            </w:rPr>
                            <m:t>p</m:t>
                          </m:r>
                        </m:e>
                        <m:sub>
                          <m:r>
                            <m:rPr>
                              <m:nor/>
                            </m:rPr>
                            <w:rPr>
                              <w:rFonts w:ascii="Cambria Math" w:hAnsi="Cambria Math"/>
                              <w:bCs/>
                            </w:rPr>
                            <m:t>prey, i</m:t>
                          </m:r>
                        </m:sub>
                      </m:sSub>
                      <m:r>
                        <w:rPr>
                          <w:rFonts w:ascii="Cambria Math" w:hAnsi="Cambria Math"/>
                        </w:rPr>
                        <m:t xml:space="preserve">&gt; </m:t>
                      </m:r>
                      <m:sSub>
                        <m:sSubPr>
                          <m:ctrlPr>
                            <w:rPr>
                              <w:rFonts w:ascii="Cambria Math" w:hAnsi="Cambria Math"/>
                              <w:i/>
                            </w:rPr>
                          </m:ctrlPr>
                        </m:sSubPr>
                        <m:e>
                          <m:r>
                            <w:rPr>
                              <w:rFonts w:ascii="Cambria Math" w:hAnsi="Cambria Math"/>
                            </w:rPr>
                            <m:t>δ</m:t>
                          </m:r>
                        </m:e>
                        <m:sub>
                          <m:r>
                            <m:rPr>
                              <m:nor/>
                            </m:rPr>
                            <w:rPr>
                              <w:rFonts w:ascii="Cambria Math" w:hAnsi="Cambria Math"/>
                              <w:bCs/>
                            </w:rPr>
                            <m:t>prey</m:t>
                          </m:r>
                        </m:sub>
                      </m:sSub>
                      <m:r>
                        <w:rPr>
                          <w:rFonts w:ascii="Cambria Math" w:hAnsi="Cambria Math"/>
                        </w:rPr>
                        <m:t xml:space="preserve"> </m:t>
                      </m:r>
                      <m:r>
                        <m:rPr>
                          <m:sty m:val="p"/>
                        </m:rPr>
                        <w:rPr>
                          <w:rFonts w:ascii="Cambria Math" w:hAnsi="Cambria Math"/>
                        </w:rPr>
                        <m:t xml:space="preserve">,  </m:t>
                      </m:r>
                      <m:sSub>
                        <m:sSubPr>
                          <m:ctrlPr>
                            <w:rPr>
                              <w:rFonts w:ascii="Cambria Math" w:hAnsi="Cambria Math"/>
                              <w:bCs/>
                            </w:rPr>
                          </m:ctrlPr>
                        </m:sSubPr>
                        <m:e>
                          <m:r>
                            <m:rPr>
                              <m:sty m:val="p"/>
                            </m:rPr>
                            <w:rPr>
                              <w:rFonts w:ascii="Cambria Math" w:hAnsi="Cambria Math"/>
                            </w:rPr>
                            <m:t>p</m:t>
                          </m:r>
                        </m:e>
                        <m:sub>
                          <m:r>
                            <m:rPr>
                              <m:nor/>
                            </m:rPr>
                            <w:rPr>
                              <w:rFonts w:ascii="Cambria Math" w:hAnsi="Cambria Math"/>
                              <w:bCs/>
                            </w:rPr>
                            <m:t>pred,i</m:t>
                          </m:r>
                        </m:sub>
                      </m:sSub>
                      <m:r>
                        <m:rPr>
                          <m:sty m:val="p"/>
                        </m:rPr>
                        <w:rPr>
                          <w:rFonts w:ascii="Cambria Math" w:hAnsi="Cambria Math"/>
                        </w:rPr>
                        <m:t xml:space="preserve"> &gt; </m:t>
                      </m:r>
                      <m:sSub>
                        <m:sSubPr>
                          <m:ctrlPr>
                            <w:rPr>
                              <w:rFonts w:ascii="Cambria Math" w:hAnsi="Cambria Math"/>
                            </w:rPr>
                          </m:ctrlPr>
                        </m:sSubPr>
                        <m:e>
                          <m:r>
                            <w:rPr>
                              <w:rFonts w:ascii="Cambria Math" w:hAnsi="Cambria Math"/>
                            </w:rPr>
                            <m:t>δ</m:t>
                          </m:r>
                        </m:e>
                        <m:sub>
                          <m:r>
                            <m:rPr>
                              <m:nor/>
                            </m:rPr>
                            <w:rPr>
                              <w:rFonts w:ascii="Cambria Math" w:hAnsi="Cambria Math"/>
                              <w:bCs/>
                            </w:rPr>
                            <m:t>pred</m:t>
                          </m:r>
                        </m:sub>
                      </m:sSub>
                    </m:e>
                  </m:d>
                </m:e>
              </m:nary>
              <m:ctrlPr>
                <w:rPr>
                  <w:rFonts w:ascii="Cambria Math" w:hAnsi="Cambria Math"/>
                  <w:bCs/>
                  <w:i/>
                </w:rPr>
              </m:ctrlPr>
            </m:num>
            <m:den>
              <m:nary>
                <m:naryPr>
                  <m:chr m:val="∑"/>
                  <m:ctrlPr>
                    <w:rPr>
                      <w:rFonts w:ascii="Cambria Math" w:hAnsi="Cambria Math"/>
                      <w:bCs/>
                    </w:rPr>
                  </m:ctrlPr>
                </m:naryPr>
                <m:sub>
                  <m:r>
                    <m:rPr>
                      <m:sty m:val="p"/>
                    </m:rPr>
                    <w:rPr>
                      <w:rFonts w:ascii="Cambria Math" w:hAnsi="Cambria Math"/>
                    </w:rPr>
                    <m:t>i</m:t>
                  </m:r>
                  <m:ctrlPr>
                    <w:rPr>
                      <w:rFonts w:ascii="Cambria Math" w:hAnsi="Cambria Math"/>
                      <w:bCs/>
                      <w:i/>
                    </w:rPr>
                  </m:ctrlPr>
                </m:sub>
                <m:sup>
                  <m:r>
                    <m:rPr>
                      <m:sty m:val="p"/>
                    </m:rPr>
                    <w:rPr>
                      <w:rFonts w:ascii="Cambria Math" w:hAnsi="Cambria Math"/>
                    </w:rPr>
                    <m:t>n</m:t>
                  </m:r>
                  <m:ctrlPr>
                    <w:rPr>
                      <w:rFonts w:ascii="Cambria Math" w:hAnsi="Cambria Math"/>
                      <w:bCs/>
                      <w:i/>
                    </w:rPr>
                  </m:ctrlPr>
                </m:sup>
                <m:e>
                  <m:r>
                    <w:rPr>
                      <w:rFonts w:ascii="Cambria Math" w:hAnsi="Cambria Math"/>
                    </w:rPr>
                    <m:t> </m:t>
                  </m:r>
                  <m:sSub>
                    <m:sSubPr>
                      <m:ctrlPr>
                        <w:rPr>
                          <w:rFonts w:ascii="Cambria Math" w:hAnsi="Cambria Math"/>
                          <w:bCs/>
                          <w:i/>
                        </w:rPr>
                      </m:ctrlPr>
                    </m:sSubPr>
                    <m:e>
                      <m:r>
                        <m:rPr>
                          <m:sty m:val="p"/>
                        </m:rPr>
                        <w:rPr>
                          <w:rFonts w:ascii="Cambria Math" w:hAnsi="Cambria Math"/>
                        </w:rPr>
                        <m:t>A</m:t>
                      </m:r>
                    </m:e>
                    <m:sub>
                      <m:r>
                        <m:rPr>
                          <m:sty m:val="p"/>
                        </m:rPr>
                        <w:rPr>
                          <w:rFonts w:ascii="Cambria Math" w:hAnsi="Cambria Math"/>
                        </w:rPr>
                        <m:t>i</m:t>
                      </m:r>
                    </m:sub>
                  </m:sSub>
                </m:e>
              </m:nary>
              <m:ctrlPr>
                <w:rPr>
                  <w:rFonts w:ascii="Cambria Math" w:hAnsi="Cambria Math"/>
                  <w:bCs/>
                  <w:i/>
                </w:rPr>
              </m:ctrlPr>
            </m:den>
          </m:f>
        </m:oMath>
      </m:oMathPara>
    </w:p>
    <w:p w14:paraId="3BC745CD" w14:textId="77777777" w:rsidR="00DA1D43" w:rsidRDefault="00DA1D43" w:rsidP="00DA1D43">
      <w:pPr>
        <w:rPr>
          <w:rFonts w:eastAsiaTheme="minorEastAsia"/>
          <w:bCs/>
        </w:rPr>
      </w:pPr>
      <w:r>
        <w:rPr>
          <w:bCs/>
        </w:rPr>
        <w:t xml:space="preserve">Where </w:t>
      </w:r>
      <m:oMath>
        <m:sSub>
          <m:sSubPr>
            <m:ctrlPr>
              <w:rPr>
                <w:rFonts w:ascii="Cambria Math" w:hAnsi="Cambria Math"/>
                <w:bCs/>
                <w:i/>
              </w:rPr>
            </m:ctrlPr>
          </m:sSubPr>
          <m:e>
            <m:r>
              <w:rPr>
                <w:rFonts w:ascii="Cambria Math" w:hAnsi="Cambria Math"/>
              </w:rPr>
              <m:t>A</m:t>
            </m:r>
          </m:e>
          <m:sub>
            <m:r>
              <w:rPr>
                <w:rFonts w:ascii="Cambria Math" w:hAnsi="Cambria Math"/>
              </w:rPr>
              <m:t>i</m:t>
            </m:r>
          </m:sub>
        </m:sSub>
      </m:oMath>
      <w:r>
        <w:rPr>
          <w:bCs/>
        </w:rPr>
        <w:t xml:space="preserve"> is the area at grid cell </w:t>
      </w:r>
      <m:oMath>
        <m:r>
          <w:rPr>
            <w:rFonts w:ascii="Cambria Math" w:hAnsi="Cambria Math"/>
          </w:rPr>
          <m:t>i</m:t>
        </m:r>
      </m:oMath>
      <w:r>
        <w:rPr>
          <w:rFonts w:eastAsiaTheme="minorEastAsia"/>
          <w:bCs/>
        </w:rPr>
        <w:t xml:space="preserve">, </w:t>
      </w:r>
      <m:oMath>
        <m:r>
          <w:rPr>
            <w:rFonts w:ascii="Cambria Math" w:eastAsiaTheme="minorEastAsia" w:hAnsi="Cambria Math"/>
          </w:rPr>
          <m:t>p</m:t>
        </m:r>
      </m:oMath>
      <w:r>
        <w:rPr>
          <w:rFonts w:eastAsiaTheme="minorEastAsia"/>
          <w:bCs/>
        </w:rPr>
        <w:t xml:space="preserve"> is the predicted probability of encounter, and </w:t>
      </w:r>
      <m:oMath>
        <m:r>
          <m:rPr>
            <m:sty m:val="p"/>
          </m:rPr>
          <w:rPr>
            <w:rFonts w:ascii="Cambria Math" w:hAnsi="Cambria Math"/>
          </w:rPr>
          <m:t>1</m:t>
        </m:r>
        <m:d>
          <m:dPr>
            <m:ctrlPr>
              <w:rPr>
                <w:rFonts w:ascii="Cambria Math" w:hAnsi="Cambria Math"/>
                <w:bCs/>
              </w:rPr>
            </m:ctrlPr>
          </m:dPr>
          <m:e>
            <m:r>
              <m:rPr>
                <m:sty m:val="p"/>
              </m:rPr>
              <w:rPr>
                <w:rFonts w:ascii="Cambria Math" w:hAnsi="Cambria Math"/>
              </w:rPr>
              <m:t> </m:t>
            </m:r>
            <m:sSub>
              <m:sSubPr>
                <m:ctrlPr>
                  <w:rPr>
                    <w:rFonts w:ascii="Cambria Math" w:hAnsi="Cambria Math"/>
                    <w:bCs/>
                  </w:rPr>
                </m:ctrlPr>
              </m:sSubPr>
              <m:e>
                <m:r>
                  <m:rPr>
                    <m:sty m:val="p"/>
                  </m:rPr>
                  <w:rPr>
                    <w:rFonts w:ascii="Cambria Math" w:hAnsi="Cambria Math"/>
                  </w:rPr>
                  <m:t>p</m:t>
                </m:r>
              </m:e>
              <m:sub>
                <m:r>
                  <m:rPr>
                    <m:nor/>
                  </m:rPr>
                  <w:rPr>
                    <w:rFonts w:ascii="Cambria Math" w:hAnsi="Cambria Math"/>
                    <w:bCs/>
                  </w:rPr>
                  <m:t>prey, i</m:t>
                </m:r>
              </m:sub>
            </m:sSub>
            <m:r>
              <m:rPr>
                <m:sty m:val="p"/>
              </m:rPr>
              <w:rPr>
                <w:rFonts w:ascii="Cambria Math" w:hAnsi="Cambria Math"/>
              </w:rPr>
              <m:t> </m:t>
            </m:r>
            <m:sSub>
              <m:sSubPr>
                <m:ctrlPr>
                  <w:rPr>
                    <w:rFonts w:ascii="Cambria Math" w:hAnsi="Cambria Math"/>
                    <w:bCs/>
                  </w:rPr>
                </m:ctrlPr>
              </m:sSubPr>
              <m:e>
                <m:r>
                  <m:rPr>
                    <m:sty m:val="p"/>
                  </m:rPr>
                  <w:rPr>
                    <w:rFonts w:ascii="Cambria Math" w:hAnsi="Cambria Math"/>
                  </w:rPr>
                  <m:t>p</m:t>
                </m:r>
              </m:e>
              <m:sub>
                <m:r>
                  <m:rPr>
                    <m:nor/>
                  </m:rPr>
                  <w:rPr>
                    <w:rFonts w:ascii="Cambria Math" w:hAnsi="Cambria Math"/>
                    <w:bCs/>
                  </w:rPr>
                  <m:t>pred,i</m:t>
                </m:r>
              </m:sub>
            </m:sSub>
            <m:r>
              <m:rPr>
                <m:sty m:val="p"/>
              </m:rPr>
              <w:rPr>
                <w:rFonts w:ascii="Cambria Math" w:hAnsi="Cambria Math"/>
              </w:rPr>
              <m:t> </m:t>
            </m:r>
          </m:e>
        </m:d>
      </m:oMath>
      <w:r>
        <w:rPr>
          <w:rFonts w:eastAsiaTheme="minorEastAsia"/>
          <w:bCs/>
        </w:rPr>
        <w:t xml:space="preserve"> is an indicator which is 1 if both the predator and prey had a predicted probability of encounter above the species-specific prediction threshold </w:t>
      </w:r>
      <m:oMath>
        <m:sSub>
          <m:sSubPr>
            <m:ctrlPr>
              <w:rPr>
                <w:rFonts w:ascii="Cambria Math" w:hAnsi="Cambria Math"/>
                <w:i/>
              </w:rPr>
            </m:ctrlPr>
          </m:sSubPr>
          <m:e>
            <m:r>
              <w:rPr>
                <w:rFonts w:ascii="Cambria Math" w:hAnsi="Cambria Math"/>
              </w:rPr>
              <m:t>δ</m:t>
            </m:r>
          </m:e>
          <m:sub>
            <m:r>
              <m:rPr>
                <m:nor/>
              </m:rPr>
              <w:rPr>
                <w:rFonts w:ascii="Cambria Math" w:hAnsi="Cambria Math"/>
                <w:bCs/>
              </w:rPr>
              <m:t>prey</m:t>
            </m:r>
          </m:sub>
        </m:sSub>
      </m:oMath>
      <w:r>
        <w:rPr>
          <w:rFonts w:eastAsiaTheme="minorEastAsia"/>
        </w:rPr>
        <w:t xml:space="preserve"> / </w:t>
      </w:r>
      <m:oMath>
        <m:sSub>
          <m:sSubPr>
            <m:ctrlPr>
              <w:rPr>
                <w:rFonts w:ascii="Cambria Math" w:hAnsi="Cambria Math"/>
                <w:i/>
              </w:rPr>
            </m:ctrlPr>
          </m:sSubPr>
          <m:e>
            <m:r>
              <w:rPr>
                <w:rFonts w:ascii="Cambria Math" w:hAnsi="Cambria Math"/>
              </w:rPr>
              <m:t>δ</m:t>
            </m:r>
          </m:e>
          <m:sub>
            <m:r>
              <m:rPr>
                <m:nor/>
              </m:rPr>
              <w:rPr>
                <w:rFonts w:ascii="Cambria Math" w:hAnsi="Cambria Math"/>
                <w:bCs/>
              </w:rPr>
              <m:t>pred</m:t>
            </m:r>
          </m:sub>
        </m:sSub>
      </m:oMath>
      <w:r>
        <w:rPr>
          <w:rFonts w:eastAsiaTheme="minorEastAsia"/>
          <w:bCs/>
        </w:rPr>
        <w:t xml:space="preserve"> at grid cell </w:t>
      </w:r>
      <m:oMath>
        <m:r>
          <w:rPr>
            <w:rFonts w:ascii="Cambria Math" w:hAnsi="Cambria Math"/>
          </w:rPr>
          <m:t>i</m:t>
        </m:r>
      </m:oMath>
      <w:r>
        <w:rPr>
          <w:rFonts w:eastAsiaTheme="minorEastAsia"/>
          <w:bCs/>
        </w:rPr>
        <w:t xml:space="preserve">, and 0 otherwise. Prediction thresholds were chosen for each species by maximizing the sum of sensitivity and specificity across grid cell estimates </w:t>
      </w:r>
      <w:r>
        <w:rPr>
          <w:rFonts w:eastAsiaTheme="minorEastAsia"/>
          <w:bCs/>
        </w:rPr>
        <w:fldChar w:fldCharType="begin" w:fldLock="1"/>
      </w:r>
      <w:r>
        <w:rPr>
          <w:rFonts w:eastAsiaTheme="minorEastAsia"/>
          <w:bCs/>
        </w:rPr>
        <w:instrText>ADDIN CSL_CITATION {"citationItems":[{"id":"ITEM-1","itemData":{"DOI":"10.1002/ece3.1878","ISSN":"20457758","abstract":"Presence-only data present challenges for selecting thresholds to transform species distribution modeling results into binary outputs. In this article, we compare two recently published threshold selection methods (maxSSS and maxFpb) and examine the effectiveness of the threshold-based prevalence estimation approach. Six virtual species with varying prevalence were simulated within a real landscape in southeastern Australia. Presence-only models were built with DOMAIN, generalized linear model, Maxent, and Random Forest. Thresholds were selected with two methods maxSSS and maxFpb with four presence-only datasets with different ratios of the number of known presences to the number of random points (KP-RPratio). Sensitivity, specificity, true skill statistic, and F measure were used to evaluate the performance of the results. Species prevalence was estimated as the ratio of the number of predicted presences to the total number of points in the evaluation dataset. Thresholds selected with maxFpb varied as the KP-RPratio of the threshold selection datasets changed. Datasets with the KP-RPratio around 1 generally produced better results than scores distant from 1. Results produced by We conclude that maxFpb had specificity too low for very common species using Random Forest and Maxent models. In contrast, maxSSS produced consistent results whichever dataset was used. The estimation of prevalence was almost always biased, and the bias was very large for DOMAIN and Random Forest predictions. We conclude that maxFpb is affected by the KP-RPratio of the threshold selection datasets, but maxSSS is almost unaffected by this ratio. Unbiased estimations of prevalence are difficult to be determined using the threshold-based approach.","author":[{"dropping-particle":"","family":"Liu","given":"Canran","non-dropping-particle":"","parse-names":false,"suffix":""},{"dropping-particle":"","family":"Newell","given":"Graeme","non-dropping-particle":"","parse-names":false,"suffix":""},{"dropping-particle":"","family":"White","given":"Matt","non-dropping-particle":"","parse-names":false,"suffix":""}],"container-title":"Ecology and Evolution","id":"ITEM-1","issue":"1","issued":{"date-parts":[["2016"]]},"page":"337-348","title":"On the selection of thresholds for predicting species occurrence with presence-only data","type":"article-journal","volume":"6"},"uris":["http://www.mendeley.com/documents/?uuid=68bca056-89ec-4d22-a68d-0b19548ce37a"]},{"id":"ITEM-2","itemData":{"DOI":"10.1016/j.actao.2007.02.001","ISSN":"1146609X","abstract":"For many applications the continuous prediction afforded by species distribution modeling must be converted to a map of presence or absence, so a threshold probability indicative of species presence must be fixed. Because of the bias in probability outputs due to frequency of presences (prevalence), a fixed threshold value, such as 0.5, does not usually correspond to the threshold above which the species is more likely to be present. In this paper four threshold criteria are compared for a wide range of sample sizes and prevalences, modeling a virtual species in order to avoid the omnipresent error sources that the use of real species data implies. In general, sensitivity-specificity difference minimizer and sensitivity-specificity sum maximizer criteria produced the most accurate predictions. The widely-used 0.5 fixed threshold and Kappa-maximizer criteria are the worst ones in almost all situations. Nevertheless, whatever the criteria used, the threshold value chosen and the research goals that determined its choice must be stated. © 2007 Elsevier Masson SAS. All rights reserved.","author":[{"dropping-particle":"","family":"Jiménez-Valverde","given":"Alberto","non-dropping-particle":"","parse-names":false,"suffix":""},{"dropping-particle":"","family":"Lobo","given":"Jorge M.","non-dropping-particle":"","parse-names":false,"suffix":""}],"container-title":"Acta Oecologica","id":"ITEM-2","issue":"3","issued":{"date-parts":[["2007"]]},"page":"361-369","title":"Threshold criteria for conversion of probability of species presence to either-or presence-absence","type":"article-journal","volume":"31"},"uris":["http://www.mendeley.com/documents/?uuid=51c7b3eb-a1d9-48f9-8acb-91f0d09d484b"]}],"mendeley":{"formattedCitation":"(Jiménez-Valverde and Lobo 2007, Liu et al. 2016)","plainTextFormattedCitation":"(Jiménez-Valverde and Lobo 2007, Liu et al. 2016)","previouslyFormattedCitation":"(Jiménez-Valverde and Lobo 2007, Liu et al. 2016)"},"properties":{"noteIndex":0},"schema":"https://github.com/citation-style-language/schema/raw/master/csl-citation.json"}</w:instrText>
      </w:r>
      <w:r>
        <w:rPr>
          <w:rFonts w:eastAsiaTheme="minorEastAsia"/>
          <w:bCs/>
        </w:rPr>
        <w:fldChar w:fldCharType="separate"/>
      </w:r>
      <w:r w:rsidRPr="00FE1521">
        <w:rPr>
          <w:rFonts w:eastAsiaTheme="minorEastAsia"/>
          <w:bCs/>
          <w:noProof/>
        </w:rPr>
        <w:t>(Jiménez-Valverde and Lobo 2007, Liu et al. 2016)</w:t>
      </w:r>
      <w:r>
        <w:rPr>
          <w:rFonts w:eastAsiaTheme="minorEastAsia"/>
          <w:bCs/>
        </w:rPr>
        <w:fldChar w:fldCharType="end"/>
      </w:r>
      <w:r>
        <w:rPr>
          <w:rFonts w:eastAsiaTheme="minorEastAsia"/>
          <w:bCs/>
        </w:rPr>
        <w:t>.</w:t>
      </w:r>
    </w:p>
    <w:p w14:paraId="66CDA08A" w14:textId="77777777" w:rsidR="00DA1D43" w:rsidRDefault="00DA1D43" w:rsidP="00DA1D43">
      <w:pPr>
        <w:ind w:firstLine="720"/>
        <w:rPr>
          <w:bCs/>
        </w:rPr>
      </w:pPr>
      <w:r>
        <w:rPr>
          <w:bCs/>
        </w:rPr>
        <w:t xml:space="preserve">The global index of collocation uses the centers of gravity of the distributions of two species, as well as the geographic dispersion in the estimated grid-cell biomass, to assess the geographical similarity between two species ranges </w:t>
      </w:r>
      <w:r>
        <w:rPr>
          <w:bCs/>
        </w:rPr>
        <w:fldChar w:fldCharType="begin" w:fldLock="1"/>
      </w:r>
      <w:r>
        <w:rPr>
          <w:bCs/>
        </w:rPr>
        <w:instrText>ADDIN CSL_CITATION {"citationItems":[{"id":"ITEM-1","itemData":{"DOI":"10.1093/icesjms/fsm025","ISSN":"10543139","abstract":"A series of candidate statistical indices is used in an attempt to capture spatial patterns of fish populations from research survey data. To handle diffuse population limits, indices are designed not to depend on arbitrary delineation of the domain. They characterize the location (centre of gravity and spatial patches), the occupation of space (inertia, isotropy, positive area, spreading area, and equivalent area), statistical dispersion (Gini index and coefficient of variation of strictly positive densities), and microstructure. Collocation between different ages and years is summarized by a global index of collocation. Indices are estimated for hake from a bottom-trawl data series in the Bay of Biscay in autumn of 1987-2004. The study provides a detailed description of the spatial patterns of different hake age groups, age 3 appearing to be a turning point in these dynamics. Capturing spatial patterns through indices allows the comparison of surveyed populations and identification of trends and outliers in the time-series. Spatial indices are used in a multivariate approach to obtain an overview of the relationships between the different spatial indices characterizing the spatial behaviour of six age groups of hake, and to assess their persistence through time. © 2007 International Council for the Exploration of the Sea. Published by Oxford Journals. All rights reserved.","author":[{"dropping-particle":"","family":"Woillez","given":"Mathieu","non-dropping-particle":"","parse-names":false,"suffix":""},{"dropping-particle":"","family":"Poulard","given":"Jean Charles","non-dropping-particle":"","parse-names":false,"suffix":""},{"dropping-particle":"","family":"Rivoirard","given":"Jacques","non-dropping-particle":"","parse-names":false,"suffix":""},{"dropping-particle":"","family":"Petitgas","given":"Pierre","non-dropping-particle":"","parse-names":false,"suffix":""},{"dropping-particle":"","family":"Bez","given":"Nicolas","non-dropping-particle":"","parse-names":false,"suffix":""}],"container-title":"ICES Journal of Marine Science","id":"ITEM-1","issue":"3","issued":{"date-parts":[["2007"]]},"page":"537-550","title":"Indices for capturing spatial patterns and their evolution in time, with application to European hake (Merluccius merluccius) in the Bay of Biscay","type":"article-journal","volume":"64"},"uris":["http://www.mendeley.com/documents/?uuid=d018b64a-b2b1-416f-b584-2f032d240167"]}],"mendeley":{"formattedCitation":"(Woillez et al. 2007)","plainTextFormattedCitation":"(Woillez et al. 2007)","previouslyFormattedCitation":"(Woillez et al. 2007)"},"properties":{"noteIndex":0},"schema":"https://github.com/citation-style-language/schema/raw/master/csl-citation.json"}</w:instrText>
      </w:r>
      <w:r>
        <w:rPr>
          <w:bCs/>
        </w:rPr>
        <w:fldChar w:fldCharType="separate"/>
      </w:r>
      <w:r w:rsidRPr="00FE1521">
        <w:rPr>
          <w:bCs/>
          <w:noProof/>
        </w:rPr>
        <w:t>(Woillez et al. 2007)</w:t>
      </w:r>
      <w:r>
        <w:rPr>
          <w:bCs/>
        </w:rPr>
        <w:fldChar w:fldCharType="end"/>
      </w:r>
      <w:r>
        <w:rPr>
          <w:bCs/>
        </w:rPr>
        <w:t xml:space="preserve">. It is given by: </w:t>
      </w:r>
    </w:p>
    <w:p w14:paraId="7994AA84" w14:textId="77777777" w:rsidR="00DA1D43" w:rsidRPr="00961575" w:rsidRDefault="00DA1D43" w:rsidP="00DA1D43">
      <w:pPr>
        <w:rPr>
          <w:rFonts w:eastAsiaTheme="minorEastAsia"/>
          <w:bCs/>
        </w:rPr>
      </w:pPr>
      <m:oMathPara>
        <m:oMath>
          <m:r>
            <w:rPr>
              <w:rFonts w:ascii="Cambria Math" w:hAnsi="Cambria Math"/>
            </w:rPr>
            <m:t xml:space="preserve">1- </m:t>
          </m:r>
          <m:f>
            <m:fPr>
              <m:ctrlPr>
                <w:rPr>
                  <w:rFonts w:ascii="Cambria Math" w:hAnsi="Cambria Math"/>
                  <w:bCs/>
                  <w:i/>
                </w:rPr>
              </m:ctrlPr>
            </m:fPr>
            <m:num>
              <m:r>
                <w:rPr>
                  <w:rFonts w:ascii="Cambria Math" w:hAnsi="Cambria Math"/>
                </w:rPr>
                <m:t>∆</m:t>
              </m:r>
              <m:sSubSup>
                <m:sSubSupPr>
                  <m:ctrlPr>
                    <w:rPr>
                      <w:rFonts w:ascii="Cambria Math" w:hAnsi="Cambria Math"/>
                      <w:bCs/>
                      <w:i/>
                    </w:rPr>
                  </m:ctrlPr>
                </m:sSubSupPr>
                <m:e>
                  <m:r>
                    <w:rPr>
                      <w:rFonts w:ascii="Cambria Math" w:hAnsi="Cambria Math"/>
                    </w:rPr>
                    <m:t>CG</m:t>
                  </m:r>
                </m:e>
                <m:sub>
                  <m:r>
                    <m:rPr>
                      <m:nor/>
                    </m:rPr>
                    <w:rPr>
                      <w:rFonts w:ascii="Cambria Math" w:hAnsi="Cambria Math"/>
                      <w:bCs/>
                    </w:rPr>
                    <m:t>prey, pred</m:t>
                  </m:r>
                </m:sub>
                <m:sup>
                  <m:r>
                    <w:rPr>
                      <w:rFonts w:ascii="Cambria Math" w:hAnsi="Cambria Math"/>
                    </w:rPr>
                    <m:t>2</m:t>
                  </m:r>
                </m:sup>
              </m:sSubSup>
            </m:num>
            <m:den>
              <m:r>
                <w:rPr>
                  <w:rFonts w:ascii="Cambria Math" w:hAnsi="Cambria Math"/>
                </w:rPr>
                <m:t>∆</m:t>
              </m:r>
              <m:sSubSup>
                <m:sSubSupPr>
                  <m:ctrlPr>
                    <w:rPr>
                      <w:rFonts w:ascii="Cambria Math" w:hAnsi="Cambria Math"/>
                      <w:bCs/>
                      <w:i/>
                    </w:rPr>
                  </m:ctrlPr>
                </m:sSubSupPr>
                <m:e>
                  <m:r>
                    <w:rPr>
                      <w:rFonts w:ascii="Cambria Math" w:hAnsi="Cambria Math"/>
                    </w:rPr>
                    <m:t>CG</m:t>
                  </m:r>
                </m:e>
                <m:sub>
                  <m:r>
                    <m:rPr>
                      <m:nor/>
                    </m:rPr>
                    <w:rPr>
                      <w:rFonts w:ascii="Cambria Math" w:hAnsi="Cambria Math"/>
                      <w:bCs/>
                    </w:rPr>
                    <m:t>prey, pred</m:t>
                  </m:r>
                </m:sub>
                <m:sup>
                  <m:r>
                    <w:rPr>
                      <w:rFonts w:ascii="Cambria Math" w:hAnsi="Cambria Math"/>
                    </w:rPr>
                    <m:t>2</m:t>
                  </m:r>
                </m:sup>
              </m:sSubSup>
              <m:r>
                <w:rPr>
                  <w:rFonts w:ascii="Cambria Math" w:hAnsi="Cambria Math"/>
                </w:rPr>
                <m:t>+</m:t>
              </m:r>
              <m:sSub>
                <m:sSubPr>
                  <m:ctrlPr>
                    <w:rPr>
                      <w:rFonts w:ascii="Cambria Math" w:hAnsi="Cambria Math"/>
                      <w:bCs/>
                      <w:i/>
                    </w:rPr>
                  </m:ctrlPr>
                </m:sSubPr>
                <m:e>
                  <m:r>
                    <w:rPr>
                      <w:rFonts w:ascii="Cambria Math" w:hAnsi="Cambria Math"/>
                    </w:rPr>
                    <m:t>I</m:t>
                  </m:r>
                </m:e>
                <m:sub>
                  <m:r>
                    <m:rPr>
                      <m:nor/>
                    </m:rPr>
                    <w:rPr>
                      <w:rFonts w:ascii="Cambria Math" w:hAnsi="Cambria Math"/>
                      <w:bCs/>
                    </w:rPr>
                    <m:t>prey</m:t>
                  </m:r>
                </m:sub>
              </m:sSub>
              <m:r>
                <w:rPr>
                  <w:rFonts w:ascii="Cambria Math" w:hAnsi="Cambria Math"/>
                </w:rPr>
                <m:t xml:space="preserve">+ </m:t>
              </m:r>
              <m:sSub>
                <m:sSubPr>
                  <m:ctrlPr>
                    <w:rPr>
                      <w:rFonts w:ascii="Cambria Math" w:hAnsi="Cambria Math"/>
                      <w:bCs/>
                      <w:i/>
                    </w:rPr>
                  </m:ctrlPr>
                </m:sSubPr>
                <m:e>
                  <m:r>
                    <w:rPr>
                      <w:rFonts w:ascii="Cambria Math" w:hAnsi="Cambria Math"/>
                    </w:rPr>
                    <m:t>I</m:t>
                  </m:r>
                </m:e>
                <m:sub>
                  <m:r>
                    <m:rPr>
                      <m:nor/>
                    </m:rPr>
                    <w:rPr>
                      <w:rFonts w:ascii="Cambria Math" w:hAnsi="Cambria Math"/>
                      <w:bCs/>
                    </w:rPr>
                    <m:t>pred</m:t>
                  </m:r>
                </m:sub>
              </m:sSub>
            </m:den>
          </m:f>
        </m:oMath>
      </m:oMathPara>
    </w:p>
    <w:p w14:paraId="575E88BB" w14:textId="77777777" w:rsidR="00DA1D43" w:rsidRDefault="00DA1D43" w:rsidP="00DA1D43">
      <w:pPr>
        <w:rPr>
          <w:rFonts w:eastAsiaTheme="minorEastAsia"/>
          <w:bCs/>
        </w:rPr>
      </w:pPr>
      <w:r>
        <w:rPr>
          <w:rFonts w:eastAsiaTheme="minorEastAsia"/>
          <w:bCs/>
        </w:rPr>
        <w:t xml:space="preserve">Where </w:t>
      </w:r>
      <m:oMath>
        <m:r>
          <w:rPr>
            <w:rFonts w:ascii="Cambria Math" w:hAnsi="Cambria Math"/>
          </w:rPr>
          <m:t>∆</m:t>
        </m:r>
        <m:sSubSup>
          <m:sSubSupPr>
            <m:ctrlPr>
              <w:rPr>
                <w:rFonts w:ascii="Cambria Math" w:hAnsi="Cambria Math"/>
                <w:bCs/>
                <w:i/>
              </w:rPr>
            </m:ctrlPr>
          </m:sSubSupPr>
          <m:e>
            <m:r>
              <w:rPr>
                <w:rFonts w:ascii="Cambria Math" w:hAnsi="Cambria Math"/>
              </w:rPr>
              <m:t>CG</m:t>
            </m:r>
          </m:e>
          <m:sub>
            <m:r>
              <m:rPr>
                <m:nor/>
              </m:rPr>
              <w:rPr>
                <w:rFonts w:ascii="Cambria Math" w:hAnsi="Cambria Math"/>
                <w:bCs/>
              </w:rPr>
              <m:t>prey, pred</m:t>
            </m:r>
          </m:sub>
          <m:sup>
            <m:r>
              <w:rPr>
                <w:rFonts w:ascii="Cambria Math" w:hAnsi="Cambria Math"/>
              </w:rPr>
              <m:t>2</m:t>
            </m:r>
          </m:sup>
        </m:sSubSup>
      </m:oMath>
      <w:r>
        <w:rPr>
          <w:rFonts w:eastAsiaTheme="minorEastAsia"/>
          <w:bCs/>
        </w:rPr>
        <w:t xml:space="preserve"> is the squared </w:t>
      </w:r>
      <w:r w:rsidRPr="00DA7C18">
        <w:rPr>
          <w:rFonts w:eastAsiaTheme="minorEastAsia"/>
          <w:bCs/>
        </w:rPr>
        <w:t>Euclidean</w:t>
      </w:r>
      <w:r>
        <w:rPr>
          <w:rFonts w:eastAsiaTheme="minorEastAsia"/>
          <w:bCs/>
        </w:rPr>
        <w:t xml:space="preserve"> distance between the centers of gravity of the distributions of the prey species and the predator species, expressed as Universal Transverse Mercator (UTM) zone 2 coordinates (eastings and northings). The center of gravity for each species </w:t>
      </w:r>
      <m:oMath>
        <m:r>
          <w:rPr>
            <w:rFonts w:ascii="Cambria Math" w:eastAsiaTheme="minorEastAsia" w:hAnsi="Cambria Math"/>
          </w:rPr>
          <m:t>j</m:t>
        </m:r>
      </m:oMath>
      <w:r>
        <w:rPr>
          <w:rFonts w:eastAsiaTheme="minorEastAsia"/>
          <w:bCs/>
        </w:rPr>
        <w:t xml:space="preserve"> is the mean location of species </w:t>
      </w:r>
      <m:oMath>
        <m:r>
          <w:rPr>
            <w:rFonts w:ascii="Cambria Math" w:eastAsiaTheme="minorEastAsia" w:hAnsi="Cambria Math"/>
          </w:rPr>
          <m:t>j</m:t>
        </m:r>
      </m:oMath>
      <w:r>
        <w:rPr>
          <w:rFonts w:eastAsiaTheme="minorEastAsia"/>
          <w:bCs/>
        </w:rPr>
        <w:t xml:space="preserve"> in the EBS survey region, derived from the biomass estimates </w:t>
      </w:r>
      <m:oMath>
        <m:sSub>
          <m:sSubPr>
            <m:ctrlPr>
              <w:rPr>
                <w:rFonts w:ascii="Cambria Math" w:eastAsiaTheme="minorEastAsia" w:hAnsi="Cambria Math"/>
                <w:bCs/>
                <w:i/>
              </w:rPr>
            </m:ctrlPr>
          </m:sSubPr>
          <m:e>
            <m:r>
              <w:rPr>
                <w:rFonts w:ascii="Cambria Math" w:eastAsiaTheme="minorEastAsia" w:hAnsi="Cambria Math"/>
              </w:rPr>
              <m:t>B</m:t>
            </m:r>
          </m:e>
          <m:sub>
            <m:r>
              <w:rPr>
                <w:rFonts w:ascii="Cambria Math" w:eastAsiaTheme="minorEastAsia" w:hAnsi="Cambria Math"/>
              </w:rPr>
              <m:t>ij</m:t>
            </m:r>
          </m:sub>
        </m:sSub>
      </m:oMath>
      <w:r>
        <w:rPr>
          <w:rFonts w:eastAsiaTheme="minorEastAsia"/>
          <w:bCs/>
        </w:rPr>
        <w:t xml:space="preserve"> for each grid cell </w:t>
      </w:r>
      <m:oMath>
        <m:r>
          <w:rPr>
            <w:rFonts w:ascii="Cambria Math" w:eastAsiaTheme="minorEastAsia" w:hAnsi="Cambria Math"/>
          </w:rPr>
          <m:t>i</m:t>
        </m:r>
      </m:oMath>
      <w:r>
        <w:rPr>
          <w:rFonts w:eastAsiaTheme="minorEastAsia"/>
          <w:bCs/>
        </w:rPr>
        <w:t xml:space="preserve"> and corresponding grid-cell UTM coordinates </w:t>
      </w:r>
      <m:oMath>
        <m:d>
          <m:dPr>
            <m:ctrlPr>
              <w:rPr>
                <w:rFonts w:ascii="Cambria Math" w:eastAsiaTheme="minorEastAsia" w:hAnsi="Cambria Math"/>
                <w:bCs/>
                <w:i/>
              </w:rPr>
            </m:ctrlPr>
          </m:dPr>
          <m:e>
            <m:sSub>
              <m:sSubPr>
                <m:ctrlPr>
                  <w:rPr>
                    <w:rFonts w:ascii="Cambria Math" w:eastAsiaTheme="minorEastAsia" w:hAnsi="Cambria Math"/>
                    <w:bCs/>
                    <w:i/>
                  </w:rPr>
                </m:ctrlPr>
              </m:sSubPr>
              <m:e>
                <m:r>
                  <w:rPr>
                    <w:rFonts w:ascii="Cambria Math" w:eastAsiaTheme="minorEastAsia" w:hAnsi="Cambria Math"/>
                  </w:rPr>
                  <m:t>x</m:t>
                </m:r>
              </m:e>
              <m:sub>
                <m:r>
                  <w:rPr>
                    <w:rFonts w:ascii="Cambria Math" w:eastAsiaTheme="minorEastAsia" w:hAnsi="Cambria Math"/>
                  </w:rPr>
                  <m:t>ij</m:t>
                </m:r>
              </m:sub>
            </m:sSub>
            <m:r>
              <w:rPr>
                <w:rFonts w:ascii="Cambria Math" w:eastAsiaTheme="minorEastAsia" w:hAnsi="Cambria Math"/>
              </w:rPr>
              <m:t xml:space="preserve">, </m:t>
            </m:r>
            <m:sSub>
              <m:sSubPr>
                <m:ctrlPr>
                  <w:rPr>
                    <w:rFonts w:ascii="Cambria Math" w:eastAsiaTheme="minorEastAsia" w:hAnsi="Cambria Math"/>
                    <w:bCs/>
                    <w:i/>
                  </w:rPr>
                </m:ctrlPr>
              </m:sSubPr>
              <m:e>
                <m:r>
                  <w:rPr>
                    <w:rFonts w:ascii="Cambria Math" w:eastAsiaTheme="minorEastAsia" w:hAnsi="Cambria Math"/>
                  </w:rPr>
                  <m:t>y</m:t>
                </m:r>
              </m:e>
              <m:sub>
                <m:r>
                  <w:rPr>
                    <w:rFonts w:ascii="Cambria Math" w:eastAsiaTheme="minorEastAsia" w:hAnsi="Cambria Math"/>
                  </w:rPr>
                  <m:t>ij</m:t>
                </m:r>
              </m:sub>
            </m:sSub>
          </m:e>
        </m:d>
      </m:oMath>
      <w:r>
        <w:rPr>
          <w:rFonts w:eastAsiaTheme="minorEastAsia"/>
          <w:bCs/>
        </w:rPr>
        <w:t xml:space="preserve">: </w:t>
      </w:r>
    </w:p>
    <w:p w14:paraId="60B054A9" w14:textId="77777777" w:rsidR="00DA1D43" w:rsidRPr="00AB686A" w:rsidRDefault="00431609" w:rsidP="00DA1D43">
      <w:pPr>
        <w:rPr>
          <w:rFonts w:eastAsiaTheme="minorEastAsia"/>
          <w:bCs/>
        </w:rPr>
      </w:pPr>
      <m:oMathPara>
        <m:oMath>
          <m:sSub>
            <m:sSubPr>
              <m:ctrlPr>
                <w:rPr>
                  <w:rFonts w:ascii="Cambria Math" w:hAnsi="Cambria Math"/>
                  <w:bCs/>
                  <w:i/>
                </w:rPr>
              </m:ctrlPr>
            </m:sSubPr>
            <m:e>
              <m:r>
                <w:rPr>
                  <w:rFonts w:ascii="Cambria Math" w:hAnsi="Cambria Math"/>
                </w:rPr>
                <m:t>CG</m:t>
              </m:r>
            </m:e>
            <m:sub>
              <m:r>
                <w:rPr>
                  <w:rFonts w:ascii="Cambria Math" w:hAnsi="Cambria Math"/>
                </w:rPr>
                <m:t>j</m:t>
              </m:r>
            </m:sub>
          </m:sSub>
          <m:r>
            <w:rPr>
              <w:rFonts w:ascii="Cambria Math" w:hAnsi="Cambria Math"/>
            </w:rPr>
            <m:t xml:space="preserve">= </m:t>
          </m:r>
          <m:d>
            <m:dPr>
              <m:ctrlPr>
                <w:rPr>
                  <w:rFonts w:ascii="Cambria Math" w:hAnsi="Cambria Math"/>
                  <w:bCs/>
                  <w:i/>
                </w:rPr>
              </m:ctrlPr>
            </m:dPr>
            <m:e>
              <m:f>
                <m:fPr>
                  <m:ctrlPr>
                    <w:rPr>
                      <w:rFonts w:ascii="Cambria Math" w:hAnsi="Cambria Math"/>
                      <w:bCs/>
                      <w:i/>
                    </w:rPr>
                  </m:ctrlPr>
                </m:fPr>
                <m:num>
                  <m:nary>
                    <m:naryPr>
                      <m:chr m:val="∑"/>
                      <m:limLoc m:val="subSup"/>
                      <m:ctrlPr>
                        <w:rPr>
                          <w:rFonts w:ascii="Cambria Math" w:hAnsi="Cambria Math"/>
                          <w:bCs/>
                          <w:i/>
                        </w:rPr>
                      </m:ctrlPr>
                    </m:naryPr>
                    <m:sub>
                      <m:r>
                        <w:rPr>
                          <w:rFonts w:ascii="Cambria Math" w:hAnsi="Cambria Math"/>
                        </w:rPr>
                        <m:t>i=1</m:t>
                      </m:r>
                    </m:sub>
                    <m:sup>
                      <m:r>
                        <w:rPr>
                          <w:rFonts w:ascii="Cambria Math" w:hAnsi="Cambria Math"/>
                        </w:rPr>
                        <m:t>n</m:t>
                      </m:r>
                    </m:sup>
                    <m:e>
                      <m:sSub>
                        <m:sSubPr>
                          <m:ctrlPr>
                            <w:rPr>
                              <w:rFonts w:ascii="Cambria Math" w:hAnsi="Cambria Math"/>
                              <w:bCs/>
                              <w:i/>
                            </w:rPr>
                          </m:ctrlPr>
                        </m:sSubPr>
                        <m:e>
                          <m:r>
                            <w:rPr>
                              <w:rFonts w:ascii="Cambria Math" w:hAnsi="Cambria Math"/>
                            </w:rPr>
                            <m:t>x</m:t>
                          </m:r>
                        </m:e>
                        <m:sub>
                          <m:r>
                            <w:rPr>
                              <w:rFonts w:ascii="Cambria Math" w:hAnsi="Cambria Math"/>
                            </w:rPr>
                            <m:t>i</m:t>
                          </m:r>
                        </m:sub>
                      </m:sSub>
                      <m:sSub>
                        <m:sSubPr>
                          <m:ctrlPr>
                            <w:rPr>
                              <w:rFonts w:ascii="Cambria Math" w:eastAsiaTheme="minorEastAsia" w:hAnsi="Cambria Math"/>
                              <w:bCs/>
                              <w:i/>
                            </w:rPr>
                          </m:ctrlPr>
                        </m:sSubPr>
                        <m:e>
                          <m:r>
                            <w:rPr>
                              <w:rFonts w:ascii="Cambria Math" w:eastAsiaTheme="minorEastAsia" w:hAnsi="Cambria Math"/>
                            </w:rPr>
                            <m:t>B</m:t>
                          </m:r>
                        </m:e>
                        <m:sub>
                          <m:r>
                            <w:rPr>
                              <w:rFonts w:ascii="Cambria Math" w:eastAsiaTheme="minorEastAsia" w:hAnsi="Cambria Math"/>
                            </w:rPr>
                            <m:t>ij</m:t>
                          </m:r>
                        </m:sub>
                      </m:sSub>
                    </m:e>
                  </m:nary>
                </m:num>
                <m:den>
                  <m:nary>
                    <m:naryPr>
                      <m:chr m:val="∑"/>
                      <m:limLoc m:val="subSup"/>
                      <m:ctrlPr>
                        <w:rPr>
                          <w:rFonts w:ascii="Cambria Math" w:hAnsi="Cambria Math"/>
                          <w:bCs/>
                          <w:i/>
                        </w:rPr>
                      </m:ctrlPr>
                    </m:naryPr>
                    <m:sub>
                      <m:r>
                        <w:rPr>
                          <w:rFonts w:ascii="Cambria Math" w:hAnsi="Cambria Math"/>
                        </w:rPr>
                        <m:t>i=1</m:t>
                      </m:r>
                    </m:sub>
                    <m:sup>
                      <m:r>
                        <w:rPr>
                          <w:rFonts w:ascii="Cambria Math" w:hAnsi="Cambria Math"/>
                        </w:rPr>
                        <m:t>n</m:t>
                      </m:r>
                    </m:sup>
                    <m:e>
                      <m:sSub>
                        <m:sSubPr>
                          <m:ctrlPr>
                            <w:rPr>
                              <w:rFonts w:ascii="Cambria Math" w:eastAsiaTheme="minorEastAsia" w:hAnsi="Cambria Math"/>
                              <w:bCs/>
                              <w:i/>
                            </w:rPr>
                          </m:ctrlPr>
                        </m:sSubPr>
                        <m:e>
                          <m:r>
                            <w:rPr>
                              <w:rFonts w:ascii="Cambria Math" w:eastAsiaTheme="minorEastAsia" w:hAnsi="Cambria Math"/>
                            </w:rPr>
                            <m:t>B</m:t>
                          </m:r>
                        </m:e>
                        <m:sub>
                          <m:r>
                            <w:rPr>
                              <w:rFonts w:ascii="Cambria Math" w:eastAsiaTheme="minorEastAsia" w:hAnsi="Cambria Math"/>
                            </w:rPr>
                            <m:t>ij</m:t>
                          </m:r>
                        </m:sub>
                      </m:sSub>
                    </m:e>
                  </m:nary>
                </m:den>
              </m:f>
              <m:r>
                <w:rPr>
                  <w:rFonts w:ascii="Cambria Math" w:hAnsi="Cambria Math"/>
                </w:rPr>
                <m:t xml:space="preserve">, </m:t>
              </m:r>
              <m:f>
                <m:fPr>
                  <m:ctrlPr>
                    <w:rPr>
                      <w:rFonts w:ascii="Cambria Math" w:hAnsi="Cambria Math"/>
                      <w:bCs/>
                      <w:i/>
                    </w:rPr>
                  </m:ctrlPr>
                </m:fPr>
                <m:num>
                  <m:nary>
                    <m:naryPr>
                      <m:chr m:val="∑"/>
                      <m:limLoc m:val="subSup"/>
                      <m:ctrlPr>
                        <w:rPr>
                          <w:rFonts w:ascii="Cambria Math" w:hAnsi="Cambria Math"/>
                          <w:bCs/>
                          <w:i/>
                        </w:rPr>
                      </m:ctrlPr>
                    </m:naryPr>
                    <m:sub>
                      <m:r>
                        <w:rPr>
                          <w:rFonts w:ascii="Cambria Math" w:hAnsi="Cambria Math"/>
                        </w:rPr>
                        <m:t>i=1</m:t>
                      </m:r>
                    </m:sub>
                    <m:sup>
                      <m:r>
                        <w:rPr>
                          <w:rFonts w:ascii="Cambria Math" w:hAnsi="Cambria Math"/>
                        </w:rPr>
                        <m:t>n</m:t>
                      </m:r>
                    </m:sup>
                    <m:e>
                      <m:sSub>
                        <m:sSubPr>
                          <m:ctrlPr>
                            <w:rPr>
                              <w:rFonts w:ascii="Cambria Math" w:hAnsi="Cambria Math"/>
                              <w:bCs/>
                              <w:i/>
                            </w:rPr>
                          </m:ctrlPr>
                        </m:sSubPr>
                        <m:e>
                          <m:r>
                            <w:rPr>
                              <w:rFonts w:ascii="Cambria Math" w:hAnsi="Cambria Math"/>
                            </w:rPr>
                            <m:t>y</m:t>
                          </m:r>
                        </m:e>
                        <m:sub>
                          <m:r>
                            <w:rPr>
                              <w:rFonts w:ascii="Cambria Math" w:hAnsi="Cambria Math"/>
                            </w:rPr>
                            <m:t>i</m:t>
                          </m:r>
                        </m:sub>
                      </m:sSub>
                      <m:sSub>
                        <m:sSubPr>
                          <m:ctrlPr>
                            <w:rPr>
                              <w:rFonts w:ascii="Cambria Math" w:eastAsiaTheme="minorEastAsia" w:hAnsi="Cambria Math"/>
                              <w:bCs/>
                              <w:i/>
                            </w:rPr>
                          </m:ctrlPr>
                        </m:sSubPr>
                        <m:e>
                          <m:r>
                            <w:rPr>
                              <w:rFonts w:ascii="Cambria Math" w:eastAsiaTheme="minorEastAsia" w:hAnsi="Cambria Math"/>
                            </w:rPr>
                            <m:t>B</m:t>
                          </m:r>
                        </m:e>
                        <m:sub>
                          <m:r>
                            <w:rPr>
                              <w:rFonts w:ascii="Cambria Math" w:eastAsiaTheme="minorEastAsia" w:hAnsi="Cambria Math"/>
                            </w:rPr>
                            <m:t>ij</m:t>
                          </m:r>
                        </m:sub>
                      </m:sSub>
                    </m:e>
                  </m:nary>
                </m:num>
                <m:den>
                  <m:nary>
                    <m:naryPr>
                      <m:chr m:val="∑"/>
                      <m:limLoc m:val="subSup"/>
                      <m:ctrlPr>
                        <w:rPr>
                          <w:rFonts w:ascii="Cambria Math" w:hAnsi="Cambria Math"/>
                          <w:bCs/>
                          <w:i/>
                        </w:rPr>
                      </m:ctrlPr>
                    </m:naryPr>
                    <m:sub>
                      <m:r>
                        <w:rPr>
                          <w:rFonts w:ascii="Cambria Math" w:hAnsi="Cambria Math"/>
                        </w:rPr>
                        <m:t>i=1</m:t>
                      </m:r>
                    </m:sub>
                    <m:sup>
                      <m:r>
                        <w:rPr>
                          <w:rFonts w:ascii="Cambria Math" w:hAnsi="Cambria Math"/>
                        </w:rPr>
                        <m:t>n</m:t>
                      </m:r>
                    </m:sup>
                    <m:e>
                      <m:sSub>
                        <m:sSubPr>
                          <m:ctrlPr>
                            <w:rPr>
                              <w:rFonts w:ascii="Cambria Math" w:eastAsiaTheme="minorEastAsia" w:hAnsi="Cambria Math"/>
                              <w:bCs/>
                              <w:i/>
                            </w:rPr>
                          </m:ctrlPr>
                        </m:sSubPr>
                        <m:e>
                          <m:r>
                            <w:rPr>
                              <w:rFonts w:ascii="Cambria Math" w:eastAsiaTheme="minorEastAsia" w:hAnsi="Cambria Math"/>
                            </w:rPr>
                            <m:t>B</m:t>
                          </m:r>
                        </m:e>
                        <m:sub>
                          <m:r>
                            <w:rPr>
                              <w:rFonts w:ascii="Cambria Math" w:eastAsiaTheme="minorEastAsia" w:hAnsi="Cambria Math"/>
                            </w:rPr>
                            <m:t>ij</m:t>
                          </m:r>
                        </m:sub>
                      </m:sSub>
                    </m:e>
                  </m:nary>
                </m:den>
              </m:f>
            </m:e>
          </m:d>
        </m:oMath>
      </m:oMathPara>
    </w:p>
    <w:p w14:paraId="67ACB25B" w14:textId="77777777" w:rsidR="00DA1D43" w:rsidRDefault="00431609" w:rsidP="00DA1D43">
      <w:pPr>
        <w:rPr>
          <w:rFonts w:eastAsiaTheme="minorEastAsia"/>
          <w:bCs/>
        </w:rPr>
      </w:pPr>
      <m:oMath>
        <m:sSub>
          <m:sSubPr>
            <m:ctrlPr>
              <w:rPr>
                <w:rFonts w:ascii="Cambria Math" w:hAnsi="Cambria Math"/>
                <w:bCs/>
                <w:i/>
              </w:rPr>
            </m:ctrlPr>
          </m:sSubPr>
          <m:e>
            <m:r>
              <w:rPr>
                <w:rFonts w:ascii="Cambria Math" w:hAnsi="Cambria Math"/>
              </w:rPr>
              <m:t>I</m:t>
            </m:r>
          </m:e>
          <m:sub>
            <m:r>
              <m:rPr>
                <m:nor/>
              </m:rPr>
              <w:rPr>
                <w:rFonts w:ascii="Cambria Math" w:hAnsi="Cambria Math"/>
                <w:bCs/>
              </w:rPr>
              <m:t>prey</m:t>
            </m:r>
          </m:sub>
        </m:sSub>
      </m:oMath>
      <w:r w:rsidR="00DA1D43">
        <w:rPr>
          <w:rFonts w:eastAsiaTheme="minorEastAsia"/>
          <w:bCs/>
        </w:rPr>
        <w:t xml:space="preserve"> and </w:t>
      </w:r>
      <m:oMath>
        <m:sSub>
          <m:sSubPr>
            <m:ctrlPr>
              <w:rPr>
                <w:rFonts w:ascii="Cambria Math" w:hAnsi="Cambria Math"/>
                <w:bCs/>
                <w:i/>
              </w:rPr>
            </m:ctrlPr>
          </m:sSubPr>
          <m:e>
            <m:r>
              <w:rPr>
                <w:rFonts w:ascii="Cambria Math" w:hAnsi="Cambria Math"/>
              </w:rPr>
              <m:t>I</m:t>
            </m:r>
          </m:e>
          <m:sub>
            <m:r>
              <m:rPr>
                <m:nor/>
              </m:rPr>
              <w:rPr>
                <w:rFonts w:ascii="Cambria Math" w:hAnsi="Cambria Math"/>
                <w:bCs/>
              </w:rPr>
              <m:t>pred</m:t>
            </m:r>
          </m:sub>
        </m:sSub>
      </m:oMath>
      <w:r w:rsidR="00DA1D43">
        <w:rPr>
          <w:rFonts w:eastAsiaTheme="minorEastAsia"/>
          <w:bCs/>
        </w:rPr>
        <w:t xml:space="preserve"> are the inertia values for the prey and predator species, respectively. The inertia </w:t>
      </w:r>
      <m:oMath>
        <m:sSub>
          <m:sSubPr>
            <m:ctrlPr>
              <w:rPr>
                <w:rFonts w:ascii="Cambria Math" w:hAnsi="Cambria Math"/>
                <w:bCs/>
                <w:i/>
              </w:rPr>
            </m:ctrlPr>
          </m:sSubPr>
          <m:e>
            <m:r>
              <w:rPr>
                <w:rFonts w:ascii="Cambria Math" w:hAnsi="Cambria Math"/>
              </w:rPr>
              <m:t>I</m:t>
            </m:r>
          </m:e>
          <m:sub>
            <m:r>
              <w:rPr>
                <w:rFonts w:ascii="Cambria Math" w:hAnsi="Cambria Math"/>
              </w:rPr>
              <m:t>j</m:t>
            </m:r>
          </m:sub>
        </m:sSub>
      </m:oMath>
      <w:r w:rsidR="00DA1D43">
        <w:rPr>
          <w:rFonts w:eastAsiaTheme="minorEastAsia"/>
          <w:bCs/>
        </w:rPr>
        <w:t xml:space="preserve"> of a population of species </w:t>
      </w:r>
      <m:oMath>
        <m:r>
          <w:rPr>
            <w:rFonts w:ascii="Cambria Math" w:eastAsiaTheme="minorEastAsia" w:hAnsi="Cambria Math"/>
          </w:rPr>
          <m:t>j</m:t>
        </m:r>
      </m:oMath>
      <w:r w:rsidR="00DA1D43">
        <w:rPr>
          <w:rFonts w:eastAsiaTheme="minorEastAsia"/>
          <w:bCs/>
        </w:rPr>
        <w:t xml:space="preserve"> is a measure of the dispersion of that population around the center of gravity, and is given by: </w:t>
      </w:r>
    </w:p>
    <w:p w14:paraId="67433A87" w14:textId="77777777" w:rsidR="00DA1D43" w:rsidRPr="00C71F3C" w:rsidRDefault="00431609" w:rsidP="00DA1D43">
      <w:pPr>
        <w:rPr>
          <w:bCs/>
          <w:i/>
          <w:iCs/>
        </w:rPr>
      </w:pPr>
      <m:oMathPara>
        <m:oMath>
          <m:sSub>
            <m:sSubPr>
              <m:ctrlPr>
                <w:rPr>
                  <w:rFonts w:ascii="Cambria Math" w:hAnsi="Cambria Math"/>
                  <w:bCs/>
                  <w:i/>
                  <w:iCs/>
                </w:rPr>
              </m:ctrlPr>
            </m:sSubPr>
            <m:e>
              <m:r>
                <w:rPr>
                  <w:rFonts w:ascii="Cambria Math" w:hAnsi="Cambria Math"/>
                </w:rPr>
                <m:t>I</m:t>
              </m:r>
            </m:e>
            <m:sub>
              <m:r>
                <w:rPr>
                  <w:rFonts w:ascii="Cambria Math" w:hAnsi="Cambria Math"/>
                </w:rPr>
                <m:t>j</m:t>
              </m:r>
            </m:sub>
          </m:sSub>
          <m:r>
            <w:rPr>
              <w:rFonts w:ascii="Cambria Math" w:hAnsi="Cambria Math"/>
            </w:rPr>
            <m:t xml:space="preserve">= </m:t>
          </m:r>
          <m:f>
            <m:fPr>
              <m:ctrlPr>
                <w:rPr>
                  <w:rFonts w:ascii="Cambria Math" w:hAnsi="Cambria Math"/>
                  <w:bCs/>
                  <w:i/>
                  <w:iCs/>
                </w:rPr>
              </m:ctrlPr>
            </m:fPr>
            <m:num>
              <m:nary>
                <m:naryPr>
                  <m:chr m:val="∑"/>
                  <m:limLoc m:val="subSup"/>
                  <m:ctrlPr>
                    <w:rPr>
                      <w:rFonts w:ascii="Cambria Math" w:hAnsi="Cambria Math"/>
                      <w:bCs/>
                      <w:i/>
                      <w:iCs/>
                    </w:rPr>
                  </m:ctrlPr>
                </m:naryPr>
                <m:sub>
                  <m:r>
                    <w:rPr>
                      <w:rFonts w:ascii="Cambria Math" w:hAnsi="Cambria Math"/>
                    </w:rPr>
                    <m:t>i=1</m:t>
                  </m:r>
                </m:sub>
                <m:sup>
                  <m:r>
                    <w:rPr>
                      <w:rFonts w:ascii="Cambria Math" w:hAnsi="Cambria Math"/>
                    </w:rPr>
                    <m:t>n</m:t>
                  </m:r>
                </m:sup>
                <m:e>
                  <m:d>
                    <m:dPr>
                      <m:ctrlPr>
                        <w:rPr>
                          <w:rFonts w:ascii="Cambria Math" w:hAnsi="Cambria Math"/>
                          <w:bCs/>
                          <w:i/>
                          <w:iCs/>
                        </w:rPr>
                      </m:ctrlPr>
                    </m:dPr>
                    <m:e>
                      <m:sSup>
                        <m:sSupPr>
                          <m:ctrlPr>
                            <w:rPr>
                              <w:rFonts w:ascii="Cambria Math" w:hAnsi="Cambria Math"/>
                              <w:bCs/>
                              <w:i/>
                              <w:iCs/>
                            </w:rPr>
                          </m:ctrlPr>
                        </m:sSupPr>
                        <m:e>
                          <m:r>
                            <w:rPr>
                              <w:rFonts w:ascii="Cambria Math" w:hAnsi="Cambria Math"/>
                            </w:rPr>
                            <m:t>(</m:t>
                          </m:r>
                          <m:sSub>
                            <m:sSubPr>
                              <m:ctrlPr>
                                <w:rPr>
                                  <w:rFonts w:ascii="Cambria Math" w:hAnsi="Cambria Math"/>
                                  <w:bCs/>
                                  <w:i/>
                                  <w:iCs/>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bCs/>
                                  <w:i/>
                                  <w:iCs/>
                                </w:rPr>
                              </m:ctrlPr>
                            </m:sSubPr>
                            <m:e>
                              <m:r>
                                <w:rPr>
                                  <w:rFonts w:ascii="Cambria Math" w:hAnsi="Cambria Math"/>
                                </w:rPr>
                                <m:t>CGx</m:t>
                              </m:r>
                            </m:e>
                            <m:sub>
                              <m:r>
                                <w:rPr>
                                  <w:rFonts w:ascii="Cambria Math" w:hAnsi="Cambria Math"/>
                                </w:rPr>
                                <m:t>j</m:t>
                              </m:r>
                            </m:sub>
                          </m:sSub>
                          <m:r>
                            <w:rPr>
                              <w:rFonts w:ascii="Cambria Math" w:hAnsi="Cambria Math"/>
                            </w:rPr>
                            <m:t>)</m:t>
                          </m:r>
                        </m:e>
                        <m:sup>
                          <m:r>
                            <w:rPr>
                              <w:rFonts w:ascii="Cambria Math" w:hAnsi="Cambria Math"/>
                            </w:rPr>
                            <m:t>2</m:t>
                          </m:r>
                        </m:sup>
                      </m:sSup>
                      <m:r>
                        <w:rPr>
                          <w:rFonts w:ascii="Cambria Math" w:hAnsi="Cambria Math"/>
                        </w:rPr>
                        <m:t xml:space="preserve">+ </m:t>
                      </m:r>
                      <m:sSup>
                        <m:sSupPr>
                          <m:ctrlPr>
                            <w:rPr>
                              <w:rFonts w:ascii="Cambria Math" w:hAnsi="Cambria Math"/>
                              <w:bCs/>
                              <w:i/>
                              <w:iCs/>
                            </w:rPr>
                          </m:ctrlPr>
                        </m:sSupPr>
                        <m:e>
                          <m:r>
                            <w:rPr>
                              <w:rFonts w:ascii="Cambria Math" w:hAnsi="Cambria Math"/>
                            </w:rPr>
                            <m:t>(</m:t>
                          </m:r>
                          <m:sSub>
                            <m:sSubPr>
                              <m:ctrlPr>
                                <w:rPr>
                                  <w:rFonts w:ascii="Cambria Math" w:hAnsi="Cambria Math"/>
                                  <w:bCs/>
                                  <w:i/>
                                  <w:iCs/>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bCs/>
                                  <w:i/>
                                  <w:iCs/>
                                </w:rPr>
                              </m:ctrlPr>
                            </m:sSubPr>
                            <m:e>
                              <m:r>
                                <w:rPr>
                                  <w:rFonts w:ascii="Cambria Math" w:hAnsi="Cambria Math"/>
                                </w:rPr>
                                <m:t>CGy</m:t>
                              </m:r>
                            </m:e>
                            <m:sub>
                              <m:r>
                                <w:rPr>
                                  <w:rFonts w:ascii="Cambria Math" w:hAnsi="Cambria Math"/>
                                </w:rPr>
                                <m:t>j</m:t>
                              </m:r>
                            </m:sub>
                          </m:sSub>
                          <m:r>
                            <w:rPr>
                              <w:rFonts w:ascii="Cambria Math" w:hAnsi="Cambria Math"/>
                            </w:rPr>
                            <m:t>)</m:t>
                          </m:r>
                        </m:e>
                        <m:sup>
                          <m:r>
                            <w:rPr>
                              <w:rFonts w:ascii="Cambria Math" w:hAnsi="Cambria Math"/>
                            </w:rPr>
                            <m:t>2</m:t>
                          </m:r>
                        </m:sup>
                      </m:sSup>
                    </m:e>
                  </m:d>
                </m:e>
              </m:nary>
              <m:sSub>
                <m:sSubPr>
                  <m:ctrlPr>
                    <w:rPr>
                      <w:rFonts w:ascii="Cambria Math" w:eastAsiaTheme="minorEastAsia" w:hAnsi="Cambria Math"/>
                      <w:bCs/>
                      <w:i/>
                    </w:rPr>
                  </m:ctrlPr>
                </m:sSubPr>
                <m:e>
                  <m:r>
                    <w:rPr>
                      <w:rFonts w:ascii="Cambria Math" w:eastAsiaTheme="minorEastAsia" w:hAnsi="Cambria Math"/>
                    </w:rPr>
                    <m:t>B</m:t>
                  </m:r>
                </m:e>
                <m:sub>
                  <m:r>
                    <w:rPr>
                      <w:rFonts w:ascii="Cambria Math" w:eastAsiaTheme="minorEastAsia" w:hAnsi="Cambria Math"/>
                    </w:rPr>
                    <m:t>ij</m:t>
                  </m:r>
                </m:sub>
              </m:sSub>
            </m:num>
            <m:den>
              <m:nary>
                <m:naryPr>
                  <m:chr m:val="∑"/>
                  <m:limLoc m:val="subSup"/>
                  <m:ctrlPr>
                    <w:rPr>
                      <w:rFonts w:ascii="Cambria Math" w:hAnsi="Cambria Math"/>
                      <w:bCs/>
                      <w:i/>
                      <w:iCs/>
                    </w:rPr>
                  </m:ctrlPr>
                </m:naryPr>
                <m:sub>
                  <m:r>
                    <w:rPr>
                      <w:rFonts w:ascii="Cambria Math" w:hAnsi="Cambria Math"/>
                    </w:rPr>
                    <m:t>i=1</m:t>
                  </m:r>
                </m:sub>
                <m:sup>
                  <m:r>
                    <w:rPr>
                      <w:rFonts w:ascii="Cambria Math" w:hAnsi="Cambria Math"/>
                    </w:rPr>
                    <m:t>n</m:t>
                  </m:r>
                </m:sup>
                <m:e>
                  <m:sSub>
                    <m:sSubPr>
                      <m:ctrlPr>
                        <w:rPr>
                          <w:rFonts w:ascii="Cambria Math" w:eastAsiaTheme="minorEastAsia" w:hAnsi="Cambria Math"/>
                          <w:bCs/>
                          <w:i/>
                        </w:rPr>
                      </m:ctrlPr>
                    </m:sSubPr>
                    <m:e>
                      <m:r>
                        <w:rPr>
                          <w:rFonts w:ascii="Cambria Math" w:eastAsiaTheme="minorEastAsia" w:hAnsi="Cambria Math"/>
                        </w:rPr>
                        <m:t>B</m:t>
                      </m:r>
                    </m:e>
                    <m:sub>
                      <m:r>
                        <w:rPr>
                          <w:rFonts w:ascii="Cambria Math" w:eastAsiaTheme="minorEastAsia" w:hAnsi="Cambria Math"/>
                        </w:rPr>
                        <m:t>ij</m:t>
                      </m:r>
                    </m:sub>
                  </m:sSub>
                </m:e>
              </m:nary>
            </m:den>
          </m:f>
        </m:oMath>
      </m:oMathPara>
    </w:p>
    <w:p w14:paraId="19293559" w14:textId="77777777" w:rsidR="00DA1D43" w:rsidRDefault="00DA1D43" w:rsidP="00DA1D43">
      <w:pPr>
        <w:ind w:firstLine="720"/>
        <w:rPr>
          <w:bCs/>
        </w:rPr>
      </w:pPr>
      <w:r w:rsidRPr="004C67ED">
        <w:rPr>
          <w:bCs/>
        </w:rPr>
        <w:t>However, shifts in the global index of collocation for two species may not be ecologically relevant, because two species which do not overlap on fine scales (e.g. because of distinct habitat preferences) may nonetheless have distributions with similar centers of gravity</w:t>
      </w:r>
      <w:r>
        <w:rPr>
          <w:bCs/>
        </w:rPr>
        <w:t xml:space="preserve"> </w:t>
      </w:r>
      <w:r>
        <w:rPr>
          <w:bCs/>
        </w:rPr>
        <w:fldChar w:fldCharType="begin" w:fldLock="1"/>
      </w:r>
      <w:r>
        <w:rPr>
          <w:bCs/>
        </w:rPr>
        <w:instrText>ADDIN CSL_CITATION {"citationItems":[{"id":"ITEM-1","itemData":{"DOI":"10.1016/j.dsr2.2013.03.017","ISSN":"09670645","abstract":"This study uses a 30-year time series of standardized bottom trawl survey data (1982-2011) from the eastern Bering Sea shelf to model patterns of summer spatial distribution for various bottom fishes and crabs in response to changes in the areal extent of the cold pool, time lag between surveys, and fluctuations in population abundance. This investigation is the first to include data for the 2006-2010 cold period and to use between-year comparisons of local and shelf-wide spatial indices to test specific responses to three different isothermal boundaries within the cold pool. Distributional shifts in population varied considerably among species and directional vectors for some species were greater in magnitude to the east or west than to the north or south; however, in general, eastern Bering Sea shelf populations shifted southward in response to the increasing cold pool size, and after accounting for differences in temperature and population abundance, there was still a temporal northward shift in populations over the last three decades despite the recent cooling trend. Model results for local and shelf-wide indices showed that survey time lag and cold pool extent had a greater effect on spatial distribution than population abundance, suggesting that density-independent mechanisms play a major role in shaping distribution patterns on the eastern Bering Sea shelf. The area enclosed by the 1. °C isotherm most commonly affects both local and shelf-wide spatial indices suggesting that 1. °C is a more important boundary for describing temperature preferences of eastern Bering Sea bottom fishes and crabs than is the 2. °C isotherm used for designating the physical boundary for the cold pool. © 2013.","author":[{"dropping-particle":"","family":"Kotwicki","given":"Stan","non-dropping-particle":"","parse-names":false,"suffix":""},{"dropping-particle":"","family":"Lauth","given":"Robert R.","non-dropping-particle":"","parse-names":false,"suffix":""}],"container-title":"Deep-Sea Research Part II: Topical Studies in Oceanography","id":"ITEM-1","issued":{"date-parts":[["2013"]]},"page":"231-243","publisher":"Elsevier","title":"Detecting temporal trends and environmentally-driven changes in the spatial distribution of bottom fishes and crabs on the eastern Bering Sea shelf","type":"article-journal","volume":"94"},"uris":["http://www.mendeley.com/documents/?uuid=7e03a79e-1c4e-456e-9f59-64a6ddfd7f5e"]}],"mendeley":{"formattedCitation":"(Kotwicki and Lauth 2013)","plainTextFormattedCitation":"(Kotwicki and Lauth 2013)","previouslyFormattedCitation":"(Kotwicki and Lauth 2013)"},"properties":{"noteIndex":0},"schema":"https://github.com/citation-style-language/schema/raw/master/csl-citation.json"}</w:instrText>
      </w:r>
      <w:r>
        <w:rPr>
          <w:bCs/>
        </w:rPr>
        <w:fldChar w:fldCharType="separate"/>
      </w:r>
      <w:r w:rsidRPr="00FE1521">
        <w:rPr>
          <w:bCs/>
          <w:noProof/>
        </w:rPr>
        <w:t>(Kotwicki and Lauth 2013)</w:t>
      </w:r>
      <w:r>
        <w:rPr>
          <w:bCs/>
        </w:rPr>
        <w:fldChar w:fldCharType="end"/>
      </w:r>
      <w:r>
        <w:rPr>
          <w:bCs/>
        </w:rPr>
        <w:t xml:space="preserve">. The local index of collocation (also known as “Pianka’s </w:t>
      </w:r>
      <w:r w:rsidRPr="00472142">
        <w:rPr>
          <w:bCs/>
          <w:i/>
          <w:iCs/>
        </w:rPr>
        <w:t>O</w:t>
      </w:r>
      <w:r>
        <w:rPr>
          <w:bCs/>
        </w:rPr>
        <w:t xml:space="preserve">”) </w:t>
      </w:r>
      <w:r w:rsidRPr="00472142">
        <w:rPr>
          <w:bCs/>
        </w:rPr>
        <w:t>assesses</w:t>
      </w:r>
      <w:r>
        <w:rPr>
          <w:bCs/>
        </w:rPr>
        <w:t xml:space="preserve"> the fine-scale (i.e. grid-scale) correlation between estimates of predator and prey biomass across the survey region and serves as an approximation of the rate of interspecific encounter relative to all intraspecific encounters </w:t>
      </w:r>
      <w:r>
        <w:rPr>
          <w:bCs/>
        </w:rPr>
        <w:fldChar w:fldCharType="begin" w:fldLock="1"/>
      </w:r>
      <w:r>
        <w:rPr>
          <w:bCs/>
        </w:rPr>
        <w:instrText>ADDIN CSL_CITATION {"citationItems":[{"id":"ITEM-1","itemData":{"author":[{"dropping-particle":"","family":"Hurlbert","given":"Stuart","non-dropping-particle":"","parse-names":false,"suffix":""}],"container-title":"Ecology","id":"ITEM-1","issue":"1","issued":{"date-parts":[["1978"]]},"page":"67-77","title":"The Measurement of Niche Overlap and Some Relatives","type":"article-journal","volume":"59"},"uris":["http://www.mendeley.com/documents/?uuid=af0af32b-a163-469f-afee-23aaf68d475a"]}],"mendeley":{"formattedCitation":"(Hurlbert 1978)","plainTextFormattedCitation":"(Hurlbert 1978)","previouslyFormattedCitation":"(Hurlbert 1978)"},"properties":{"noteIndex":0},"schema":"https://github.com/citation-style-language/schema/raw/master/csl-citation.json"}</w:instrText>
      </w:r>
      <w:r>
        <w:rPr>
          <w:bCs/>
        </w:rPr>
        <w:fldChar w:fldCharType="separate"/>
      </w:r>
      <w:r w:rsidRPr="00FE1521">
        <w:rPr>
          <w:bCs/>
          <w:noProof/>
        </w:rPr>
        <w:t>(Hurlbert 1978)</w:t>
      </w:r>
      <w:r>
        <w:rPr>
          <w:bCs/>
        </w:rPr>
        <w:fldChar w:fldCharType="end"/>
      </w:r>
      <w:r>
        <w:rPr>
          <w:bCs/>
        </w:rPr>
        <w:t>. It is calculated as:</w:t>
      </w:r>
    </w:p>
    <w:p w14:paraId="5CF044D0" w14:textId="77777777" w:rsidR="00DA1D43" w:rsidRDefault="00431609" w:rsidP="00DA1D43">
      <w:pPr>
        <w:rPr>
          <w:bCs/>
        </w:rPr>
      </w:pPr>
      <m:oMathPara>
        <m:oMath>
          <m:f>
            <m:fPr>
              <m:ctrlPr>
                <w:rPr>
                  <w:rFonts w:ascii="Cambria Math" w:hAnsi="Cambria Math"/>
                  <w:bCs/>
                </w:rPr>
              </m:ctrlPr>
            </m:fPr>
            <m:num>
              <m:nary>
                <m:naryPr>
                  <m:chr m:val="∑"/>
                  <m:ctrlPr>
                    <w:rPr>
                      <w:rFonts w:ascii="Cambria Math" w:hAnsi="Cambria Math"/>
                      <w:bCs/>
                    </w:rPr>
                  </m:ctrlPr>
                </m:naryPr>
                <m:sub>
                  <m:r>
                    <w:rPr>
                      <w:rFonts w:ascii="Cambria Math" w:hAnsi="Cambria Math"/>
                    </w:rPr>
                    <m:t>i</m:t>
                  </m:r>
                  <m:ctrlPr>
                    <w:rPr>
                      <w:rFonts w:ascii="Cambria Math" w:hAnsi="Cambria Math"/>
                      <w:bCs/>
                      <w:i/>
                    </w:rPr>
                  </m:ctrlPr>
                </m:sub>
                <m:sup>
                  <m:r>
                    <w:rPr>
                      <w:rFonts w:ascii="Cambria Math" w:hAnsi="Cambria Math"/>
                    </w:rPr>
                    <m:t>n</m:t>
                  </m:r>
                  <m:ctrlPr>
                    <w:rPr>
                      <w:rFonts w:ascii="Cambria Math" w:hAnsi="Cambria Math"/>
                      <w:bCs/>
                      <w:i/>
                    </w:rPr>
                  </m:ctrlPr>
                </m:sup>
                <m:e>
                  <m:d>
                    <m:dPr>
                      <m:ctrlPr>
                        <w:rPr>
                          <w:rFonts w:ascii="Cambria Math" w:hAnsi="Cambria Math"/>
                          <w:bCs/>
                        </w:rPr>
                      </m:ctrlPr>
                    </m:dPr>
                    <m:e>
                      <m:sSub>
                        <m:sSubPr>
                          <m:ctrlPr>
                            <w:rPr>
                              <w:rFonts w:ascii="Cambria Math" w:hAnsi="Cambria Math"/>
                              <w:bCs/>
                              <w:i/>
                            </w:rPr>
                          </m:ctrlPr>
                        </m:sSubPr>
                        <m:e>
                          <m:r>
                            <w:rPr>
                              <w:rFonts w:ascii="Cambria Math" w:hAnsi="Cambria Math"/>
                            </w:rPr>
                            <m:t>B</m:t>
                          </m:r>
                          <m:ctrlPr>
                            <w:rPr>
                              <w:rFonts w:ascii="Cambria Math" w:hAnsi="Cambria Math"/>
                              <w:bCs/>
                            </w:rPr>
                          </m:ctrlPr>
                        </m:e>
                        <m:sub>
                          <m:r>
                            <m:rPr>
                              <m:nor/>
                            </m:rPr>
                            <w:rPr>
                              <w:rFonts w:ascii="Cambria Math" w:hAnsi="Cambria Math"/>
                              <w:bCs/>
                            </w:rPr>
                            <m:t>pred</m:t>
                          </m:r>
                          <m:r>
                            <w:rPr>
                              <w:rFonts w:ascii="Cambria Math" w:hAnsi="Cambria Math"/>
                            </w:rPr>
                            <m:t>,i</m:t>
                          </m:r>
                        </m:sub>
                      </m:sSub>
                      <m:r>
                        <m:rPr>
                          <m:sty m:val="p"/>
                        </m:rPr>
                        <w:rPr>
                          <w:rFonts w:ascii="Cambria Math" w:hAnsi="Cambria Math"/>
                        </w:rPr>
                        <m:t>×</m:t>
                      </m:r>
                      <m:sSub>
                        <m:sSubPr>
                          <m:ctrlPr>
                            <w:rPr>
                              <w:rFonts w:ascii="Cambria Math" w:hAnsi="Cambria Math"/>
                              <w:bCs/>
                              <w:i/>
                            </w:rPr>
                          </m:ctrlPr>
                        </m:sSubPr>
                        <m:e>
                          <m:r>
                            <w:rPr>
                              <w:rFonts w:ascii="Cambria Math" w:hAnsi="Cambria Math"/>
                            </w:rPr>
                            <m:t>B</m:t>
                          </m:r>
                          <m:ctrlPr>
                            <w:rPr>
                              <w:rFonts w:ascii="Cambria Math" w:hAnsi="Cambria Math"/>
                              <w:bCs/>
                            </w:rPr>
                          </m:ctrlPr>
                        </m:e>
                        <m:sub>
                          <m:r>
                            <m:rPr>
                              <m:nor/>
                            </m:rPr>
                            <w:rPr>
                              <w:rFonts w:ascii="Cambria Math" w:hAnsi="Cambria Math"/>
                              <w:bCs/>
                            </w:rPr>
                            <m:t>prey</m:t>
                          </m:r>
                          <m:r>
                            <w:rPr>
                              <w:rFonts w:ascii="Cambria Math" w:hAnsi="Cambria Math"/>
                            </w:rPr>
                            <m:t>,i</m:t>
                          </m:r>
                        </m:sub>
                      </m:sSub>
                      <m:ctrlPr>
                        <w:rPr>
                          <w:rFonts w:ascii="Cambria Math" w:hAnsi="Cambria Math"/>
                          <w:bCs/>
                          <w:i/>
                        </w:rPr>
                      </m:ctrlPr>
                    </m:e>
                  </m:d>
                  <m:ctrlPr>
                    <w:rPr>
                      <w:rFonts w:ascii="Cambria Math" w:hAnsi="Cambria Math"/>
                      <w:bCs/>
                      <w:i/>
                    </w:rPr>
                  </m:ctrlPr>
                </m:e>
              </m:nary>
              <m:ctrlPr>
                <w:rPr>
                  <w:rFonts w:ascii="Cambria Math" w:hAnsi="Cambria Math"/>
                  <w:bCs/>
                  <w:i/>
                </w:rPr>
              </m:ctrlPr>
            </m:num>
            <m:den>
              <m:rad>
                <m:radPr>
                  <m:degHide m:val="1"/>
                  <m:ctrlPr>
                    <w:rPr>
                      <w:rFonts w:ascii="Cambria Math" w:hAnsi="Cambria Math"/>
                      <w:bCs/>
                    </w:rPr>
                  </m:ctrlPr>
                </m:radPr>
                <m:deg>
                  <m:ctrlPr>
                    <w:rPr>
                      <w:rFonts w:ascii="Cambria Math" w:hAnsi="Cambria Math"/>
                      <w:bCs/>
                      <w:i/>
                    </w:rPr>
                  </m:ctrlPr>
                </m:deg>
                <m:e>
                  <m:nary>
                    <m:naryPr>
                      <m:chr m:val="∑"/>
                      <m:ctrlPr>
                        <w:rPr>
                          <w:rFonts w:ascii="Cambria Math" w:hAnsi="Cambria Math"/>
                          <w:bCs/>
                        </w:rPr>
                      </m:ctrlPr>
                    </m:naryPr>
                    <m:sub>
                      <m:r>
                        <w:rPr>
                          <w:rFonts w:ascii="Cambria Math" w:hAnsi="Cambria Math"/>
                        </w:rPr>
                        <m:t>i</m:t>
                      </m:r>
                      <m:ctrlPr>
                        <w:rPr>
                          <w:rFonts w:ascii="Cambria Math" w:hAnsi="Cambria Math"/>
                          <w:bCs/>
                          <w:i/>
                        </w:rPr>
                      </m:ctrlPr>
                    </m:sub>
                    <m:sup>
                      <m:r>
                        <w:rPr>
                          <w:rFonts w:ascii="Cambria Math" w:hAnsi="Cambria Math"/>
                        </w:rPr>
                        <m:t>n</m:t>
                      </m:r>
                      <m:ctrlPr>
                        <w:rPr>
                          <w:rFonts w:ascii="Cambria Math" w:hAnsi="Cambria Math"/>
                          <w:bCs/>
                          <w:i/>
                        </w:rPr>
                      </m:ctrlPr>
                    </m:sup>
                    <m:e>
                      <m:sSubSup>
                        <m:sSubSupPr>
                          <m:ctrlPr>
                            <w:rPr>
                              <w:rFonts w:ascii="Cambria Math" w:hAnsi="Cambria Math"/>
                              <w:bCs/>
                              <w:i/>
                            </w:rPr>
                          </m:ctrlPr>
                        </m:sSubSupPr>
                        <m:e>
                          <m:r>
                            <w:rPr>
                              <w:rFonts w:ascii="Cambria Math" w:hAnsi="Cambria Math"/>
                            </w:rPr>
                            <m:t>B</m:t>
                          </m:r>
                        </m:e>
                        <m:sub>
                          <m:r>
                            <m:rPr>
                              <m:nor/>
                            </m:rPr>
                            <w:rPr>
                              <w:rFonts w:ascii="Cambria Math" w:hAnsi="Cambria Math"/>
                              <w:bCs/>
                            </w:rPr>
                            <m:t>pred</m:t>
                          </m:r>
                          <m:r>
                            <w:rPr>
                              <w:rFonts w:ascii="Cambria Math" w:hAnsi="Cambria Math"/>
                            </w:rPr>
                            <m:t>,i</m:t>
                          </m:r>
                        </m:sub>
                        <m:sup>
                          <m:r>
                            <w:rPr>
                              <w:rFonts w:ascii="Cambria Math" w:hAnsi="Cambria Math"/>
                            </w:rPr>
                            <m:t>2</m:t>
                          </m:r>
                        </m:sup>
                      </m:sSubSup>
                      <m:nary>
                        <m:naryPr>
                          <m:chr m:val="∑"/>
                          <m:ctrlPr>
                            <w:rPr>
                              <w:rFonts w:ascii="Cambria Math" w:hAnsi="Cambria Math"/>
                              <w:bCs/>
                            </w:rPr>
                          </m:ctrlPr>
                        </m:naryPr>
                        <m:sub>
                          <m:r>
                            <w:rPr>
                              <w:rFonts w:ascii="Cambria Math" w:hAnsi="Cambria Math"/>
                            </w:rPr>
                            <m:t>i</m:t>
                          </m:r>
                          <m:ctrlPr>
                            <w:rPr>
                              <w:rFonts w:ascii="Cambria Math" w:hAnsi="Cambria Math"/>
                              <w:bCs/>
                              <w:i/>
                            </w:rPr>
                          </m:ctrlPr>
                        </m:sub>
                        <m:sup>
                          <m:r>
                            <w:rPr>
                              <w:rFonts w:ascii="Cambria Math" w:hAnsi="Cambria Math"/>
                            </w:rPr>
                            <m:t>n</m:t>
                          </m:r>
                          <m:ctrlPr>
                            <w:rPr>
                              <w:rFonts w:ascii="Cambria Math" w:hAnsi="Cambria Math"/>
                              <w:bCs/>
                              <w:i/>
                            </w:rPr>
                          </m:ctrlPr>
                        </m:sup>
                        <m:e>
                          <m:sSubSup>
                            <m:sSubSupPr>
                              <m:ctrlPr>
                                <w:rPr>
                                  <w:rFonts w:ascii="Cambria Math" w:hAnsi="Cambria Math"/>
                                  <w:bCs/>
                                  <w:i/>
                                </w:rPr>
                              </m:ctrlPr>
                            </m:sSubSupPr>
                            <m:e>
                              <m:r>
                                <w:rPr>
                                  <w:rFonts w:ascii="Cambria Math" w:hAnsi="Cambria Math"/>
                                </w:rPr>
                                <m:t>B</m:t>
                              </m:r>
                            </m:e>
                            <m:sub>
                              <m:r>
                                <m:rPr>
                                  <m:nor/>
                                </m:rPr>
                                <w:rPr>
                                  <w:rFonts w:ascii="Cambria Math" w:hAnsi="Cambria Math"/>
                                  <w:bCs/>
                                </w:rPr>
                                <m:t>prey</m:t>
                              </m:r>
                              <m:r>
                                <w:rPr>
                                  <w:rFonts w:ascii="Cambria Math" w:hAnsi="Cambria Math"/>
                                </w:rPr>
                                <m:t>,i</m:t>
                              </m:r>
                            </m:sub>
                            <m:sup>
                              <m:r>
                                <w:rPr>
                                  <w:rFonts w:ascii="Cambria Math" w:hAnsi="Cambria Math"/>
                                </w:rPr>
                                <m:t>2</m:t>
                              </m:r>
                            </m:sup>
                          </m:sSubSup>
                          <m:ctrlPr>
                            <w:rPr>
                              <w:rFonts w:ascii="Cambria Math" w:hAnsi="Cambria Math"/>
                              <w:bCs/>
                              <w:i/>
                            </w:rPr>
                          </m:ctrlPr>
                        </m:e>
                      </m:nary>
                      <m:ctrlPr>
                        <w:rPr>
                          <w:rFonts w:ascii="Cambria Math" w:hAnsi="Cambria Math"/>
                          <w:bCs/>
                          <w:i/>
                        </w:rPr>
                      </m:ctrlPr>
                    </m:e>
                  </m:nary>
                </m:e>
              </m:rad>
              <m:ctrlPr>
                <w:rPr>
                  <w:rFonts w:ascii="Cambria Math" w:hAnsi="Cambria Math"/>
                  <w:bCs/>
                  <w:i/>
                </w:rPr>
              </m:ctrlPr>
            </m:den>
          </m:f>
        </m:oMath>
      </m:oMathPara>
    </w:p>
    <w:p w14:paraId="088CC339" w14:textId="77777777" w:rsidR="00DA1D43" w:rsidRDefault="00DA1D43" w:rsidP="00DA1D43">
      <w:pPr>
        <w:rPr>
          <w:rFonts w:eastAsiaTheme="minorEastAsia"/>
          <w:bCs/>
        </w:rPr>
      </w:pPr>
      <w:r>
        <w:rPr>
          <w:bCs/>
        </w:rPr>
        <w:t xml:space="preserve">where </w:t>
      </w:r>
      <m:oMath>
        <m:sSub>
          <m:sSubPr>
            <m:ctrlPr>
              <w:rPr>
                <w:rFonts w:ascii="Cambria Math" w:hAnsi="Cambria Math"/>
                <w:bCs/>
                <w:i/>
              </w:rPr>
            </m:ctrlPr>
          </m:sSubPr>
          <m:e>
            <m:r>
              <w:rPr>
                <w:rFonts w:ascii="Cambria Math" w:hAnsi="Cambria Math"/>
              </w:rPr>
              <m:t>B</m:t>
            </m:r>
            <m:ctrlPr>
              <w:rPr>
                <w:rFonts w:ascii="Cambria Math" w:hAnsi="Cambria Math"/>
                <w:bCs/>
              </w:rPr>
            </m:ctrlPr>
          </m:e>
          <m:sub>
            <m:r>
              <w:rPr>
                <w:rFonts w:ascii="Cambria Math" w:hAnsi="Cambria Math"/>
              </w:rPr>
              <m:t>i</m:t>
            </m:r>
          </m:sub>
        </m:sSub>
      </m:oMath>
      <w:r>
        <w:rPr>
          <w:bCs/>
        </w:rPr>
        <w:t xml:space="preserve"> is the estimated biomass at g</w:t>
      </w:r>
      <w:r>
        <w:rPr>
          <w:rFonts w:eastAsiaTheme="minorEastAsia"/>
          <w:bCs/>
        </w:rPr>
        <w:t xml:space="preserve">rid cell </w:t>
      </w:r>
      <m:oMath>
        <m:r>
          <w:rPr>
            <w:rFonts w:ascii="Cambria Math" w:hAnsi="Cambria Math"/>
          </w:rPr>
          <m:t>i</m:t>
        </m:r>
      </m:oMath>
      <w:r>
        <w:rPr>
          <w:rFonts w:eastAsiaTheme="minorEastAsia"/>
          <w:bCs/>
        </w:rPr>
        <w:t xml:space="preserve">. </w:t>
      </w:r>
    </w:p>
    <w:p w14:paraId="1B2A0527" w14:textId="77777777" w:rsidR="00DA1D43" w:rsidRPr="001B4BF2" w:rsidRDefault="00DA1D43" w:rsidP="00DA1D43">
      <w:pPr>
        <w:rPr>
          <w:b/>
          <w:bCs/>
        </w:rPr>
      </w:pPr>
    </w:p>
    <w:p w14:paraId="175945C9" w14:textId="3153B68F" w:rsidR="00206717" w:rsidRDefault="00206717" w:rsidP="00DA1D43">
      <w:pPr>
        <w:rPr>
          <w:b/>
          <w:bCs/>
        </w:rPr>
      </w:pPr>
    </w:p>
    <w:p w14:paraId="37920678" w14:textId="77777777" w:rsidR="005F728E" w:rsidRDefault="005F728E">
      <w:pPr>
        <w:rPr>
          <w:b/>
          <w:bCs/>
        </w:rPr>
      </w:pPr>
      <w:r>
        <w:rPr>
          <w:b/>
          <w:bCs/>
        </w:rPr>
        <w:br w:type="page"/>
      </w:r>
    </w:p>
    <w:p w14:paraId="3F27CD2A" w14:textId="6A6B75C5" w:rsidR="007C45D4" w:rsidRPr="004D411B" w:rsidRDefault="00B07B3E">
      <w:pPr>
        <w:rPr>
          <w:b/>
          <w:bCs/>
        </w:rPr>
      </w:pPr>
      <w:r>
        <w:rPr>
          <w:b/>
          <w:bCs/>
        </w:rPr>
        <w:lastRenderedPageBreak/>
        <w:t>Supplemental</w:t>
      </w:r>
      <w:r w:rsidR="000C56CD">
        <w:rPr>
          <w:b/>
          <w:bCs/>
        </w:rPr>
        <w:t xml:space="preserve"> 3: Additional</w:t>
      </w:r>
      <w:r>
        <w:rPr>
          <w:b/>
          <w:bCs/>
        </w:rPr>
        <w:t xml:space="preserve"> </w:t>
      </w:r>
      <w:r w:rsidR="00D366C1">
        <w:rPr>
          <w:b/>
          <w:bCs/>
        </w:rPr>
        <w:t>Figures</w:t>
      </w:r>
    </w:p>
    <w:p w14:paraId="1F9B16F3" w14:textId="77777777" w:rsidR="00C66E70" w:rsidRDefault="00C66E70"/>
    <w:p w14:paraId="34163703" w14:textId="43AEB0C8" w:rsidR="007C45D4" w:rsidRDefault="00341BBB">
      <w:r>
        <w:rPr>
          <w:noProof/>
        </w:rPr>
        <w:drawing>
          <wp:inline distT="0" distB="0" distL="0" distR="0" wp14:anchorId="2D2CE503" wp14:editId="77CB0C95">
            <wp:extent cx="5939790" cy="282130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2821305"/>
                    </a:xfrm>
                    <a:prstGeom prst="rect">
                      <a:avLst/>
                    </a:prstGeom>
                    <a:noFill/>
                    <a:ln>
                      <a:noFill/>
                    </a:ln>
                  </pic:spPr>
                </pic:pic>
              </a:graphicData>
            </a:graphic>
          </wp:inline>
        </w:drawing>
      </w:r>
    </w:p>
    <w:p w14:paraId="02B1B44B" w14:textId="34B6DCAA" w:rsidR="00EE0A09" w:rsidRDefault="007C45D4">
      <w:r>
        <w:rPr>
          <w:b/>
          <w:bCs/>
        </w:rPr>
        <w:t xml:space="preserve">Figure S1. </w:t>
      </w:r>
      <w:r>
        <w:t xml:space="preserve">Violin plots, with overlayed boxplots, summarizing the </w:t>
      </w:r>
      <w:r w:rsidR="000D494A">
        <w:t xml:space="preserve">annual </w:t>
      </w:r>
      <w:r>
        <w:t>importance of pollock to the diets of each species of predator, as the proportion of stomach contents by weight and the frequency of occurrence in sampled predator stomachs.</w:t>
      </w:r>
      <w:r w:rsidR="00A5192F">
        <w:t xml:space="preserve"> </w:t>
      </w:r>
      <w:r w:rsidR="005E5466">
        <w:t xml:space="preserve">Diets are summarized only for predators above the minimum sizes used for analysis, which are arrowtooth flounder </w:t>
      </w:r>
      <w:r w:rsidR="005E5466" w:rsidRPr="005F7609">
        <w:t>≥</w:t>
      </w:r>
      <w:r w:rsidR="005E5466">
        <w:t xml:space="preserve">30cm, Pacific cod </w:t>
      </w:r>
      <w:r w:rsidR="005E5466" w:rsidRPr="005F7609">
        <w:t>≥</w:t>
      </w:r>
      <w:r w:rsidR="005E5466">
        <w:t xml:space="preserve">30cm, Pacific halibut </w:t>
      </w:r>
      <w:r w:rsidR="005E5466" w:rsidRPr="005F7609">
        <w:t>≥</w:t>
      </w:r>
      <w:r w:rsidR="005E5466">
        <w:t xml:space="preserve">50cm, and walleye pollock </w:t>
      </w:r>
      <w:r w:rsidR="005E5466" w:rsidRPr="005F7609">
        <w:t>≥40cm</w:t>
      </w:r>
      <w:r w:rsidR="005E5466">
        <w:t xml:space="preserve">. Empty stomachs were excluded from </w:t>
      </w:r>
      <w:r w:rsidR="00044303">
        <w:t xml:space="preserve">the </w:t>
      </w:r>
      <w:r w:rsidR="005E5466">
        <w:t>summary.</w:t>
      </w:r>
    </w:p>
    <w:p w14:paraId="663C321C" w14:textId="2E5B3989" w:rsidR="005077F5" w:rsidRDefault="005077F5"/>
    <w:p w14:paraId="2C7C9D18" w14:textId="77777777" w:rsidR="005077F5" w:rsidRDefault="005077F5" w:rsidP="005077F5"/>
    <w:p w14:paraId="43A35B30" w14:textId="1048E99F" w:rsidR="005077F5" w:rsidRDefault="00604E3A" w:rsidP="005077F5">
      <w:r>
        <w:rPr>
          <w:noProof/>
        </w:rPr>
        <w:drawing>
          <wp:inline distT="0" distB="0" distL="0" distR="0" wp14:anchorId="6A45C72B" wp14:editId="3D76C3F9">
            <wp:extent cx="5939790" cy="177736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1777365"/>
                    </a:xfrm>
                    <a:prstGeom prst="rect">
                      <a:avLst/>
                    </a:prstGeom>
                    <a:noFill/>
                    <a:ln>
                      <a:noFill/>
                    </a:ln>
                  </pic:spPr>
                </pic:pic>
              </a:graphicData>
            </a:graphic>
          </wp:inline>
        </w:drawing>
      </w:r>
    </w:p>
    <w:p w14:paraId="6CEE267D" w14:textId="2B23B155" w:rsidR="005077F5" w:rsidRDefault="005077F5" w:rsidP="005077F5">
      <w:r>
        <w:rPr>
          <w:b/>
          <w:bCs/>
        </w:rPr>
        <w:t>Figure S</w:t>
      </w:r>
      <w:r w:rsidR="00C16426">
        <w:rPr>
          <w:b/>
          <w:bCs/>
        </w:rPr>
        <w:t>2</w:t>
      </w:r>
      <w:r>
        <w:rPr>
          <w:b/>
          <w:bCs/>
        </w:rPr>
        <w:t xml:space="preserve">. </w:t>
      </w:r>
      <w:r>
        <w:t>Annual time-series plots of the Euclidean distance (km) between juvenile pollock range centroids (in UTM eastings and northings) and predator range centroids, with centroids calculated from fitted grid-cell biomass estimates.</w:t>
      </w:r>
    </w:p>
    <w:p w14:paraId="1356DFE6" w14:textId="06D8421D" w:rsidR="00513AEF" w:rsidRDefault="00513AEF" w:rsidP="005077F5"/>
    <w:p w14:paraId="413B73DA" w14:textId="77777777" w:rsidR="00513AEF" w:rsidRDefault="00513AEF" w:rsidP="00513AEF">
      <w:r>
        <w:rPr>
          <w:noProof/>
        </w:rPr>
        <w:lastRenderedPageBreak/>
        <w:drawing>
          <wp:inline distT="0" distB="0" distL="0" distR="0" wp14:anchorId="26B8921F" wp14:editId="11CA7D57">
            <wp:extent cx="5943600" cy="5943600"/>
            <wp:effectExtent l="0" t="0" r="0" b="0"/>
            <wp:docPr id="8" name="Picture 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0D8581A" w14:textId="04EE19D2" w:rsidR="00513AEF" w:rsidRDefault="00513AEF" w:rsidP="00513AEF">
      <w:r>
        <w:rPr>
          <w:b/>
          <w:bCs/>
        </w:rPr>
        <w:t>Figure S</w:t>
      </w:r>
      <w:r w:rsidR="00DE3373">
        <w:rPr>
          <w:b/>
          <w:bCs/>
        </w:rPr>
        <w:t>3</w:t>
      </w:r>
      <w:r>
        <w:rPr>
          <w:b/>
          <w:bCs/>
        </w:rPr>
        <w:t xml:space="preserve">. </w:t>
      </w:r>
      <w:r>
        <w:t>Annual maps of fitted biomass catch rate (ln kg/km</w:t>
      </w:r>
      <w:r>
        <w:rPr>
          <w:vertAlign w:val="superscript"/>
        </w:rPr>
        <w:t>2</w:t>
      </w:r>
      <w:r>
        <w:t>) for juvenile walleye pollock.</w:t>
      </w:r>
    </w:p>
    <w:p w14:paraId="55D37E53" w14:textId="77777777" w:rsidR="00377E24" w:rsidRDefault="00377E24" w:rsidP="00377E24">
      <w:r>
        <w:rPr>
          <w:noProof/>
        </w:rPr>
        <w:lastRenderedPageBreak/>
        <w:drawing>
          <wp:inline distT="0" distB="0" distL="0" distR="0" wp14:anchorId="3E380A57" wp14:editId="06F18C57">
            <wp:extent cx="5943600" cy="5943600"/>
            <wp:effectExtent l="0" t="0" r="0" b="0"/>
            <wp:docPr id="17" name="Picture 1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DA21623" w14:textId="7CE3D21B" w:rsidR="00377E24" w:rsidRDefault="00377E24" w:rsidP="00377E24">
      <w:r>
        <w:rPr>
          <w:b/>
          <w:bCs/>
        </w:rPr>
        <w:t>Figure S</w:t>
      </w:r>
      <w:r w:rsidR="00A06F4E">
        <w:rPr>
          <w:b/>
          <w:bCs/>
        </w:rPr>
        <w:t>4</w:t>
      </w:r>
      <w:r>
        <w:rPr>
          <w:b/>
          <w:bCs/>
        </w:rPr>
        <w:t xml:space="preserve">. </w:t>
      </w:r>
      <w:r>
        <w:t>Annual maps of fitted biomass catch rate (ln kg/km</w:t>
      </w:r>
      <w:r>
        <w:rPr>
          <w:vertAlign w:val="superscript"/>
        </w:rPr>
        <w:t>2</w:t>
      </w:r>
      <w:r>
        <w:t>) for Pacific halibut.</w:t>
      </w:r>
    </w:p>
    <w:p w14:paraId="636FAB2F" w14:textId="77777777" w:rsidR="004229C8" w:rsidRDefault="004229C8" w:rsidP="004229C8">
      <w:r>
        <w:rPr>
          <w:noProof/>
        </w:rPr>
        <w:lastRenderedPageBreak/>
        <w:drawing>
          <wp:inline distT="0" distB="0" distL="0" distR="0" wp14:anchorId="021EEC4A" wp14:editId="775B9138">
            <wp:extent cx="5943600" cy="5943600"/>
            <wp:effectExtent l="0" t="0" r="0" b="0"/>
            <wp:docPr id="16" name="Picture 1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 arrow&#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E071E36" w14:textId="581247BB" w:rsidR="004229C8" w:rsidRDefault="004229C8" w:rsidP="004229C8">
      <w:r>
        <w:rPr>
          <w:b/>
          <w:bCs/>
        </w:rPr>
        <w:t>Figure S</w:t>
      </w:r>
      <w:r w:rsidR="006E7E26">
        <w:rPr>
          <w:b/>
          <w:bCs/>
        </w:rPr>
        <w:t>5</w:t>
      </w:r>
      <w:r>
        <w:rPr>
          <w:b/>
          <w:bCs/>
        </w:rPr>
        <w:t xml:space="preserve">. </w:t>
      </w:r>
      <w:r>
        <w:t>Annual maps of fitted biomass catch rate (ln kg/km</w:t>
      </w:r>
      <w:r>
        <w:rPr>
          <w:vertAlign w:val="superscript"/>
        </w:rPr>
        <w:t>2</w:t>
      </w:r>
      <w:r>
        <w:t>) for arrowtooth flounder.</w:t>
      </w:r>
    </w:p>
    <w:p w14:paraId="5056B39D" w14:textId="29357058" w:rsidR="003D4868" w:rsidRDefault="003D4868" w:rsidP="004229C8"/>
    <w:p w14:paraId="2BA83965" w14:textId="77777777" w:rsidR="003D4868" w:rsidRDefault="003D4868" w:rsidP="003D4868">
      <w:r>
        <w:rPr>
          <w:noProof/>
        </w:rPr>
        <w:lastRenderedPageBreak/>
        <w:drawing>
          <wp:inline distT="0" distB="0" distL="0" distR="0" wp14:anchorId="1AB86446" wp14:editId="2EEBA02E">
            <wp:extent cx="5943600" cy="1786890"/>
            <wp:effectExtent l="0" t="0" r="0" b="3810"/>
            <wp:docPr id="22" name="Picture 2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scatter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786890"/>
                    </a:xfrm>
                    <a:prstGeom prst="rect">
                      <a:avLst/>
                    </a:prstGeom>
                    <a:noFill/>
                    <a:ln>
                      <a:noFill/>
                    </a:ln>
                  </pic:spPr>
                </pic:pic>
              </a:graphicData>
            </a:graphic>
          </wp:inline>
        </w:drawing>
      </w:r>
    </w:p>
    <w:p w14:paraId="6FAEA9E3" w14:textId="74DF7FC3" w:rsidR="003D4868" w:rsidRDefault="003D4868" w:rsidP="003D4868">
      <w:r>
        <w:rPr>
          <w:b/>
          <w:bCs/>
        </w:rPr>
        <w:t>Figure S</w:t>
      </w:r>
      <w:r w:rsidR="00160AD8">
        <w:rPr>
          <w:b/>
          <w:bCs/>
        </w:rPr>
        <w:t>6</w:t>
      </w:r>
      <w:r>
        <w:rPr>
          <w:b/>
          <w:bCs/>
        </w:rPr>
        <w:t xml:space="preserve">. </w:t>
      </w:r>
      <w:r>
        <w:t>Bivariate plots of species range centroids (obtained from grid-cell predictions) against the extent of the cold pool (</w:t>
      </w:r>
      <w:r>
        <w:rPr>
          <w:rFonts w:cstheme="minorHAnsi"/>
        </w:rPr>
        <w:t>≤</w:t>
      </w:r>
      <w:r>
        <w:rPr>
          <w:bCs/>
        </w:rPr>
        <w:t xml:space="preserve">2 </w:t>
      </w:r>
      <w:r>
        <w:rPr>
          <w:rStyle w:val="Strong"/>
        </w:rPr>
        <w:t>°</w:t>
      </w:r>
      <w:r>
        <w:rPr>
          <w:bCs/>
        </w:rPr>
        <w:t>C)</w:t>
      </w:r>
      <w:r>
        <w:t>, with fitted regression lines and 95% confidence intervals.</w:t>
      </w:r>
    </w:p>
    <w:p w14:paraId="3D35597F" w14:textId="42B72824" w:rsidR="00BC1C78" w:rsidRDefault="00BC1C78" w:rsidP="003D4868"/>
    <w:p w14:paraId="175562D0" w14:textId="77777777" w:rsidR="00BC1C78" w:rsidRDefault="00BC1C78" w:rsidP="00BC1C78">
      <w:r>
        <w:rPr>
          <w:noProof/>
        </w:rPr>
        <w:lastRenderedPageBreak/>
        <w:drawing>
          <wp:inline distT="0" distB="0" distL="0" distR="0" wp14:anchorId="55CF1723" wp14:editId="04B78BAF">
            <wp:extent cx="5943600" cy="5943600"/>
            <wp:effectExtent l="0" t="0" r="0" b="0"/>
            <wp:docPr id="14" name="Picture 1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 arrow&#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1BC9656" w14:textId="32214BA2" w:rsidR="00BC1C78" w:rsidRDefault="00BC1C78" w:rsidP="00BC1C78">
      <w:r>
        <w:rPr>
          <w:b/>
          <w:bCs/>
        </w:rPr>
        <w:t>Figure S</w:t>
      </w:r>
      <w:r w:rsidR="00323080">
        <w:rPr>
          <w:b/>
          <w:bCs/>
        </w:rPr>
        <w:t>7</w:t>
      </w:r>
      <w:r>
        <w:rPr>
          <w:b/>
          <w:bCs/>
        </w:rPr>
        <w:t xml:space="preserve">. </w:t>
      </w:r>
      <w:r>
        <w:t>Annual maps of fitted biomass catch rate (ln kg/km</w:t>
      </w:r>
      <w:r>
        <w:rPr>
          <w:vertAlign w:val="superscript"/>
        </w:rPr>
        <w:t>2</w:t>
      </w:r>
      <w:r>
        <w:t>) for adult walleye pollock.</w:t>
      </w:r>
    </w:p>
    <w:p w14:paraId="7AE033BC" w14:textId="77777777" w:rsidR="00BC1C78" w:rsidRDefault="00BC1C78" w:rsidP="00BC1C78"/>
    <w:p w14:paraId="062DB2FB" w14:textId="77777777" w:rsidR="00BC1C78" w:rsidRDefault="00BC1C78" w:rsidP="00BC1C78">
      <w:r>
        <w:rPr>
          <w:noProof/>
        </w:rPr>
        <w:lastRenderedPageBreak/>
        <w:drawing>
          <wp:inline distT="0" distB="0" distL="0" distR="0" wp14:anchorId="1076769E" wp14:editId="2BB14E29">
            <wp:extent cx="5943600" cy="5943600"/>
            <wp:effectExtent l="0" t="0" r="0" b="0"/>
            <wp:docPr id="18" name="Picture 1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 arr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237E814" w14:textId="7ED3B384" w:rsidR="00BC1C78" w:rsidRPr="00597D35" w:rsidRDefault="00BC1C78" w:rsidP="00BC1C78">
      <w:r>
        <w:rPr>
          <w:b/>
          <w:bCs/>
        </w:rPr>
        <w:t>Figure S</w:t>
      </w:r>
      <w:r w:rsidR="00C538EF">
        <w:rPr>
          <w:b/>
          <w:bCs/>
        </w:rPr>
        <w:t>8</w:t>
      </w:r>
      <w:r>
        <w:rPr>
          <w:b/>
          <w:bCs/>
        </w:rPr>
        <w:t xml:space="preserve">. </w:t>
      </w:r>
      <w:r>
        <w:t>Annual maps of fitted biomass catch rate (ln kg/km</w:t>
      </w:r>
      <w:r>
        <w:rPr>
          <w:vertAlign w:val="superscript"/>
        </w:rPr>
        <w:t>2</w:t>
      </w:r>
      <w:r>
        <w:t>) for Pacific cod.</w:t>
      </w:r>
    </w:p>
    <w:p w14:paraId="078BC01A" w14:textId="77777777" w:rsidR="00BC1C78" w:rsidRDefault="00BC1C78" w:rsidP="003D4868"/>
    <w:p w14:paraId="02239F70" w14:textId="77777777" w:rsidR="003D4868" w:rsidRDefault="003D4868" w:rsidP="004229C8"/>
    <w:p w14:paraId="4B003EA2" w14:textId="77777777" w:rsidR="004229C8" w:rsidRDefault="004229C8" w:rsidP="00377E24"/>
    <w:p w14:paraId="3D6138F9" w14:textId="77777777" w:rsidR="00377E24" w:rsidRDefault="00377E24" w:rsidP="00513AEF"/>
    <w:p w14:paraId="316D17EC" w14:textId="77777777" w:rsidR="00513AEF" w:rsidRDefault="00513AEF" w:rsidP="005077F5"/>
    <w:p w14:paraId="7CBAFCAE" w14:textId="77777777" w:rsidR="005077F5" w:rsidRDefault="005077F5"/>
    <w:p w14:paraId="1B161832" w14:textId="6A578F7F" w:rsidR="00EE0A09" w:rsidRDefault="008A3C67">
      <w:r>
        <w:rPr>
          <w:noProof/>
        </w:rPr>
        <w:lastRenderedPageBreak/>
        <w:drawing>
          <wp:inline distT="0" distB="0" distL="0" distR="0" wp14:anchorId="70241CBD" wp14:editId="764FB173">
            <wp:extent cx="5947410" cy="4754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7410" cy="4754880"/>
                    </a:xfrm>
                    <a:prstGeom prst="rect">
                      <a:avLst/>
                    </a:prstGeom>
                    <a:noFill/>
                    <a:ln>
                      <a:noFill/>
                    </a:ln>
                  </pic:spPr>
                </pic:pic>
              </a:graphicData>
            </a:graphic>
          </wp:inline>
        </w:drawing>
      </w:r>
    </w:p>
    <w:p w14:paraId="27C4B92E" w14:textId="4CB78EC9" w:rsidR="003C6528" w:rsidRDefault="003C6528" w:rsidP="003C6528">
      <w:pPr>
        <w:rPr>
          <w:bCs/>
        </w:rPr>
      </w:pPr>
      <w:r w:rsidRPr="00430A99">
        <w:rPr>
          <w:b/>
        </w:rPr>
        <w:t xml:space="preserve">Figure </w:t>
      </w:r>
      <w:r w:rsidR="00FC6091">
        <w:rPr>
          <w:b/>
        </w:rPr>
        <w:t>S</w:t>
      </w:r>
      <w:r w:rsidR="00363EE3">
        <w:rPr>
          <w:b/>
        </w:rPr>
        <w:t>9</w:t>
      </w:r>
      <w:r w:rsidRPr="00430A99">
        <w:rPr>
          <w:b/>
        </w:rPr>
        <w:t>.</w:t>
      </w:r>
      <w:r w:rsidRPr="00430A99">
        <w:rPr>
          <w:bCs/>
        </w:rPr>
        <w:t xml:space="preserve"> Bivariate scatterplots of predator-prey overlap metrics and </w:t>
      </w:r>
      <w:r>
        <w:rPr>
          <w:bCs/>
        </w:rPr>
        <w:t>relative predation</w:t>
      </w:r>
      <w:r w:rsidRPr="00430A99">
        <w:rPr>
          <w:bCs/>
        </w:rPr>
        <w:t xml:space="preserve"> for each year, with vertical and horizontal error bars giving the standard deviation of the predictive distribution samples. Points are placed at the maximum-likelihood estimate.</w:t>
      </w:r>
      <w:r>
        <w:rPr>
          <w:bCs/>
        </w:rPr>
        <w:t xml:space="preserve"> Regression lines represent the linear relationship between relative predation and overlap at their respective annual maximum likelihood estimates, with 95% confidence bands computed using samples from the predictive distribution of each variable.</w:t>
      </w:r>
    </w:p>
    <w:p w14:paraId="4BABE29D" w14:textId="77777777" w:rsidR="00AC1638" w:rsidRDefault="00AC1638"/>
    <w:p w14:paraId="35A95455" w14:textId="3C1500DE" w:rsidR="009D068D" w:rsidRDefault="009D068D"/>
    <w:p w14:paraId="0CCF2323" w14:textId="527E69F7" w:rsidR="009D068D" w:rsidRDefault="009D068D"/>
    <w:p w14:paraId="42904534" w14:textId="46219C14" w:rsidR="006A1ADA" w:rsidRDefault="006A1ADA"/>
    <w:p w14:paraId="16E8015E" w14:textId="77FE5BBE" w:rsidR="001339FE" w:rsidRDefault="00431609">
      <w:r>
        <w:rPr>
          <w:noProof/>
        </w:rPr>
        <w:lastRenderedPageBreak/>
        <w:drawing>
          <wp:inline distT="0" distB="0" distL="0" distR="0" wp14:anchorId="616C6E39" wp14:editId="29568A24">
            <wp:extent cx="5939790" cy="2969895"/>
            <wp:effectExtent l="0" t="0" r="381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2969895"/>
                    </a:xfrm>
                    <a:prstGeom prst="rect">
                      <a:avLst/>
                    </a:prstGeom>
                    <a:noFill/>
                    <a:ln>
                      <a:noFill/>
                    </a:ln>
                  </pic:spPr>
                </pic:pic>
              </a:graphicData>
            </a:graphic>
          </wp:inline>
        </w:drawing>
      </w:r>
    </w:p>
    <w:p w14:paraId="2B550E2E" w14:textId="57029230" w:rsidR="0079135C" w:rsidRPr="004A7417" w:rsidRDefault="009D068D">
      <w:pPr>
        <w:rPr>
          <w:bCs/>
        </w:rPr>
      </w:pPr>
      <w:r>
        <w:rPr>
          <w:b/>
          <w:bCs/>
        </w:rPr>
        <w:t>Figure S</w:t>
      </w:r>
      <w:r w:rsidR="00E72C81">
        <w:rPr>
          <w:b/>
          <w:bCs/>
        </w:rPr>
        <w:t>10</w:t>
      </w:r>
      <w:r>
        <w:rPr>
          <w:b/>
          <w:bCs/>
        </w:rPr>
        <w:t xml:space="preserve">. </w:t>
      </w:r>
      <w:r>
        <w:rPr>
          <w:bCs/>
        </w:rPr>
        <w:t xml:space="preserve">Standardized slope coefficients assessing the linear relationship of each overlap metric with total (black) and relative (grey) predation, estimated by aggregating samples from the predictive distribution. </w:t>
      </w:r>
      <w:r w:rsidR="009D4E08">
        <w:rPr>
          <w:bCs/>
        </w:rPr>
        <w:t>Coefficients were adjusted for the effect of juvenile pollock biomass by</w:t>
      </w:r>
      <w:r w:rsidR="00CB76B9">
        <w:rPr>
          <w:bCs/>
        </w:rPr>
        <w:t xml:space="preserve"> including standardized pollock biomass as a predictor in each regression. </w:t>
      </w:r>
      <w:r>
        <w:rPr>
          <w:bCs/>
        </w:rPr>
        <w:t>Points are placed at the maximum-likelihood estimate. 95% and 80% confidence intervals are given assuming a normal approximation to the sampling distribution.</w:t>
      </w:r>
    </w:p>
    <w:p w14:paraId="1449DAC9" w14:textId="77777777" w:rsidR="00C619F5" w:rsidRPr="00597D35" w:rsidRDefault="00C619F5" w:rsidP="00332198"/>
    <w:p w14:paraId="22333C04" w14:textId="77777777" w:rsidR="00332198" w:rsidRPr="00597D35" w:rsidRDefault="00332198" w:rsidP="009E4EE4"/>
    <w:p w14:paraId="462FFA85" w14:textId="77777777" w:rsidR="007E57E3" w:rsidRDefault="007E57E3" w:rsidP="00DA1D43">
      <w:pPr>
        <w:rPr>
          <w:b/>
          <w:bCs/>
        </w:rPr>
      </w:pPr>
      <w:r>
        <w:rPr>
          <w:b/>
          <w:bCs/>
        </w:rPr>
        <w:br w:type="page"/>
      </w:r>
    </w:p>
    <w:p w14:paraId="738F4B1C" w14:textId="442E7AF6" w:rsidR="00DA1D43" w:rsidRDefault="00DA1D43" w:rsidP="00DA1D43">
      <w:pPr>
        <w:rPr>
          <w:b/>
          <w:bCs/>
        </w:rPr>
      </w:pPr>
      <w:r>
        <w:rPr>
          <w:b/>
          <w:bCs/>
        </w:rPr>
        <w:lastRenderedPageBreak/>
        <w:t>References</w:t>
      </w:r>
    </w:p>
    <w:p w14:paraId="5B417618" w14:textId="77777777" w:rsidR="00DA1D43" w:rsidRPr="004742B2" w:rsidRDefault="00DA1D43" w:rsidP="00DA1D43">
      <w:pPr>
        <w:widowControl w:val="0"/>
        <w:autoSpaceDE w:val="0"/>
        <w:autoSpaceDN w:val="0"/>
        <w:adjustRightInd w:val="0"/>
        <w:spacing w:line="240" w:lineRule="auto"/>
        <w:ind w:left="480" w:hanging="480"/>
        <w:rPr>
          <w:rFonts w:ascii="Calibri" w:hAnsi="Calibri" w:cs="Calibri"/>
          <w:noProof/>
          <w:szCs w:val="24"/>
        </w:rPr>
      </w:pPr>
      <w:r>
        <w:fldChar w:fldCharType="begin" w:fldLock="1"/>
      </w:r>
      <w:r>
        <w:instrText xml:space="preserve">ADDIN Mendeley Bibliography CSL_BIBLIOGRAPHY </w:instrText>
      </w:r>
      <w:r>
        <w:fldChar w:fldCharType="separate"/>
      </w:r>
      <w:r w:rsidRPr="004742B2">
        <w:rPr>
          <w:rFonts w:ascii="Calibri" w:hAnsi="Calibri" w:cs="Calibri"/>
          <w:noProof/>
          <w:szCs w:val="24"/>
        </w:rPr>
        <w:t>Hurlbert, S. 1978. The Measurement of Niche Overlap and Some Relatives. - Ecology 59: 67–77.</w:t>
      </w:r>
    </w:p>
    <w:p w14:paraId="795C598C" w14:textId="77777777" w:rsidR="00DA1D43" w:rsidRPr="004742B2" w:rsidRDefault="00DA1D43" w:rsidP="00DA1D43">
      <w:pPr>
        <w:widowControl w:val="0"/>
        <w:autoSpaceDE w:val="0"/>
        <w:autoSpaceDN w:val="0"/>
        <w:adjustRightInd w:val="0"/>
        <w:spacing w:line="240" w:lineRule="auto"/>
        <w:ind w:left="480" w:hanging="480"/>
        <w:rPr>
          <w:rFonts w:ascii="Calibri" w:hAnsi="Calibri" w:cs="Calibri"/>
          <w:noProof/>
          <w:szCs w:val="24"/>
        </w:rPr>
      </w:pPr>
      <w:r w:rsidRPr="004742B2">
        <w:rPr>
          <w:rFonts w:ascii="Calibri" w:hAnsi="Calibri" w:cs="Calibri"/>
          <w:noProof/>
          <w:szCs w:val="24"/>
        </w:rPr>
        <w:t>Jiménez-Valverde, A. and Lobo, J. M. 2007. Threshold criteria for conversion of probability of species presence to either-or presence-absence. - Acta Oecologica 31: 361–369.</w:t>
      </w:r>
    </w:p>
    <w:p w14:paraId="66E4401A" w14:textId="77777777" w:rsidR="00DA1D43" w:rsidRPr="004742B2" w:rsidRDefault="00DA1D43" w:rsidP="00DA1D43">
      <w:pPr>
        <w:widowControl w:val="0"/>
        <w:autoSpaceDE w:val="0"/>
        <w:autoSpaceDN w:val="0"/>
        <w:adjustRightInd w:val="0"/>
        <w:spacing w:line="240" w:lineRule="auto"/>
        <w:ind w:left="480" w:hanging="480"/>
        <w:rPr>
          <w:rFonts w:ascii="Calibri" w:hAnsi="Calibri" w:cs="Calibri"/>
          <w:noProof/>
          <w:szCs w:val="24"/>
        </w:rPr>
      </w:pPr>
      <w:r w:rsidRPr="004742B2">
        <w:rPr>
          <w:rFonts w:ascii="Calibri" w:hAnsi="Calibri" w:cs="Calibri"/>
          <w:noProof/>
          <w:szCs w:val="24"/>
        </w:rPr>
        <w:t>Kotwicki, S. and Lauth, R. R. 2013. Detecting temporal trends and environmentally-driven changes in the spatial distribution of bottom fishes and crabs on the eastern Bering Sea shelf. - Deep. Res. Part II Top. Stud. Oceanogr. 94: 231–243.</w:t>
      </w:r>
    </w:p>
    <w:p w14:paraId="5D7C032E" w14:textId="77777777" w:rsidR="00DA1D43" w:rsidRPr="004742B2" w:rsidRDefault="00DA1D43" w:rsidP="00DA1D43">
      <w:pPr>
        <w:widowControl w:val="0"/>
        <w:autoSpaceDE w:val="0"/>
        <w:autoSpaceDN w:val="0"/>
        <w:adjustRightInd w:val="0"/>
        <w:spacing w:line="240" w:lineRule="auto"/>
        <w:ind w:left="480" w:hanging="480"/>
        <w:rPr>
          <w:rFonts w:ascii="Calibri" w:hAnsi="Calibri" w:cs="Calibri"/>
          <w:noProof/>
          <w:szCs w:val="24"/>
        </w:rPr>
      </w:pPr>
      <w:r w:rsidRPr="004742B2">
        <w:rPr>
          <w:rFonts w:ascii="Calibri" w:hAnsi="Calibri" w:cs="Calibri"/>
          <w:noProof/>
          <w:szCs w:val="24"/>
        </w:rPr>
        <w:t>Liu, C. et al. 2016. On the selection of thresholds for predicting species occurrence with presence-only data. - Ecol. Evol. 6: 337–348.</w:t>
      </w:r>
    </w:p>
    <w:p w14:paraId="7992DE77" w14:textId="77777777" w:rsidR="00DA1D43" w:rsidRPr="004742B2" w:rsidRDefault="00DA1D43" w:rsidP="00DA1D43">
      <w:pPr>
        <w:widowControl w:val="0"/>
        <w:autoSpaceDE w:val="0"/>
        <w:autoSpaceDN w:val="0"/>
        <w:adjustRightInd w:val="0"/>
        <w:spacing w:line="240" w:lineRule="auto"/>
        <w:ind w:left="480" w:hanging="480"/>
        <w:rPr>
          <w:rFonts w:ascii="Calibri" w:hAnsi="Calibri" w:cs="Calibri"/>
          <w:noProof/>
          <w:szCs w:val="24"/>
        </w:rPr>
      </w:pPr>
      <w:r w:rsidRPr="004742B2">
        <w:rPr>
          <w:rFonts w:ascii="Calibri" w:hAnsi="Calibri" w:cs="Calibri"/>
          <w:noProof/>
          <w:szCs w:val="24"/>
        </w:rPr>
        <w:t>Saraux, C. et al. 2014. Spatial structure and distribution of small pelagic fish in the northwestern mediterranean sea. - PLoS One in press.</w:t>
      </w:r>
    </w:p>
    <w:p w14:paraId="126D6482" w14:textId="77777777" w:rsidR="00DA1D43" w:rsidRPr="004742B2" w:rsidRDefault="00DA1D43" w:rsidP="00DA1D43">
      <w:pPr>
        <w:widowControl w:val="0"/>
        <w:autoSpaceDE w:val="0"/>
        <w:autoSpaceDN w:val="0"/>
        <w:adjustRightInd w:val="0"/>
        <w:spacing w:line="240" w:lineRule="auto"/>
        <w:ind w:left="480" w:hanging="480"/>
        <w:rPr>
          <w:rFonts w:ascii="Calibri" w:hAnsi="Calibri" w:cs="Calibri"/>
          <w:noProof/>
        </w:rPr>
      </w:pPr>
      <w:r w:rsidRPr="004742B2">
        <w:rPr>
          <w:rFonts w:ascii="Calibri" w:hAnsi="Calibri" w:cs="Calibri"/>
          <w:noProof/>
          <w:szCs w:val="24"/>
        </w:rPr>
        <w:t>Woillez, M. et al. 2007. Indices for capturing spatial patterns and their evolution in time, with application to European hake (Merluccius merluccius) in the Bay of Biscay. - ICES J. Mar. Sci. 64: 537–550.</w:t>
      </w:r>
    </w:p>
    <w:p w14:paraId="5FADF5A9" w14:textId="09B58AA6" w:rsidR="007B5995" w:rsidRPr="00597D35" w:rsidRDefault="00DA1D43" w:rsidP="00DA1D43">
      <w:r>
        <w:fldChar w:fldCharType="end"/>
      </w:r>
    </w:p>
    <w:sectPr w:rsidR="007B5995" w:rsidRPr="00597D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067"/>
    <w:rsid w:val="00000CB1"/>
    <w:rsid w:val="000168FF"/>
    <w:rsid w:val="000222BE"/>
    <w:rsid w:val="00027915"/>
    <w:rsid w:val="0003388A"/>
    <w:rsid w:val="00037027"/>
    <w:rsid w:val="00040993"/>
    <w:rsid w:val="00044303"/>
    <w:rsid w:val="000A3710"/>
    <w:rsid w:val="000A412F"/>
    <w:rsid w:val="000B56C3"/>
    <w:rsid w:val="000C56CD"/>
    <w:rsid w:val="000D2AD8"/>
    <w:rsid w:val="000D3028"/>
    <w:rsid w:val="000D494A"/>
    <w:rsid w:val="000E0C6A"/>
    <w:rsid w:val="000E0E40"/>
    <w:rsid w:val="000E314A"/>
    <w:rsid w:val="000E6E6D"/>
    <w:rsid w:val="00120888"/>
    <w:rsid w:val="00131D98"/>
    <w:rsid w:val="001339FE"/>
    <w:rsid w:val="00160AD8"/>
    <w:rsid w:val="00181B7D"/>
    <w:rsid w:val="001A0561"/>
    <w:rsid w:val="001B3556"/>
    <w:rsid w:val="001D291E"/>
    <w:rsid w:val="001D32E2"/>
    <w:rsid w:val="001D3E3F"/>
    <w:rsid w:val="001E1BDA"/>
    <w:rsid w:val="001E52F9"/>
    <w:rsid w:val="002032B3"/>
    <w:rsid w:val="00206717"/>
    <w:rsid w:val="00210495"/>
    <w:rsid w:val="00210881"/>
    <w:rsid w:val="00223F38"/>
    <w:rsid w:val="00234C89"/>
    <w:rsid w:val="00267AFD"/>
    <w:rsid w:val="002C200F"/>
    <w:rsid w:val="002E1B1A"/>
    <w:rsid w:val="002F1ECE"/>
    <w:rsid w:val="0030514F"/>
    <w:rsid w:val="0031183A"/>
    <w:rsid w:val="0031579B"/>
    <w:rsid w:val="0031581C"/>
    <w:rsid w:val="00323080"/>
    <w:rsid w:val="00332198"/>
    <w:rsid w:val="00341BBB"/>
    <w:rsid w:val="00353313"/>
    <w:rsid w:val="00363EE3"/>
    <w:rsid w:val="00377E24"/>
    <w:rsid w:val="003A7472"/>
    <w:rsid w:val="003C53F7"/>
    <w:rsid w:val="003C6528"/>
    <w:rsid w:val="003D4868"/>
    <w:rsid w:val="003F11F6"/>
    <w:rsid w:val="00411DD3"/>
    <w:rsid w:val="0041689F"/>
    <w:rsid w:val="004208EA"/>
    <w:rsid w:val="004229C8"/>
    <w:rsid w:val="0042768F"/>
    <w:rsid w:val="00431609"/>
    <w:rsid w:val="004343B8"/>
    <w:rsid w:val="004634D5"/>
    <w:rsid w:val="004665F8"/>
    <w:rsid w:val="00474264"/>
    <w:rsid w:val="00474329"/>
    <w:rsid w:val="004831C4"/>
    <w:rsid w:val="004961E7"/>
    <w:rsid w:val="004A1A27"/>
    <w:rsid w:val="004A7417"/>
    <w:rsid w:val="004C5AB6"/>
    <w:rsid w:val="004D411B"/>
    <w:rsid w:val="004E1DEF"/>
    <w:rsid w:val="004F1848"/>
    <w:rsid w:val="005077F5"/>
    <w:rsid w:val="00513AEF"/>
    <w:rsid w:val="00513E44"/>
    <w:rsid w:val="0054203D"/>
    <w:rsid w:val="00573B9C"/>
    <w:rsid w:val="00580587"/>
    <w:rsid w:val="00587631"/>
    <w:rsid w:val="00597D35"/>
    <w:rsid w:val="005B1369"/>
    <w:rsid w:val="005E5466"/>
    <w:rsid w:val="005F728E"/>
    <w:rsid w:val="00604E3A"/>
    <w:rsid w:val="00625C00"/>
    <w:rsid w:val="006519B6"/>
    <w:rsid w:val="00661617"/>
    <w:rsid w:val="00670740"/>
    <w:rsid w:val="00670FCE"/>
    <w:rsid w:val="006718FE"/>
    <w:rsid w:val="006738C9"/>
    <w:rsid w:val="00690996"/>
    <w:rsid w:val="006A1ADA"/>
    <w:rsid w:val="006A5B42"/>
    <w:rsid w:val="006A5D11"/>
    <w:rsid w:val="006B2938"/>
    <w:rsid w:val="006D3EAA"/>
    <w:rsid w:val="006E7E26"/>
    <w:rsid w:val="0070415D"/>
    <w:rsid w:val="0071610B"/>
    <w:rsid w:val="0073225B"/>
    <w:rsid w:val="007648B6"/>
    <w:rsid w:val="00766579"/>
    <w:rsid w:val="00776FC8"/>
    <w:rsid w:val="00785A68"/>
    <w:rsid w:val="0079135C"/>
    <w:rsid w:val="007B5995"/>
    <w:rsid w:val="007C45D4"/>
    <w:rsid w:val="007D4876"/>
    <w:rsid w:val="007D77E7"/>
    <w:rsid w:val="007E43E1"/>
    <w:rsid w:val="007E4EE6"/>
    <w:rsid w:val="007E57E3"/>
    <w:rsid w:val="007F1258"/>
    <w:rsid w:val="007F4AE4"/>
    <w:rsid w:val="00804BB4"/>
    <w:rsid w:val="00816329"/>
    <w:rsid w:val="008228D7"/>
    <w:rsid w:val="00833818"/>
    <w:rsid w:val="008369AF"/>
    <w:rsid w:val="00847BAE"/>
    <w:rsid w:val="008668EE"/>
    <w:rsid w:val="00871F34"/>
    <w:rsid w:val="00897645"/>
    <w:rsid w:val="008A3C67"/>
    <w:rsid w:val="008B6C84"/>
    <w:rsid w:val="008C0C02"/>
    <w:rsid w:val="008C3287"/>
    <w:rsid w:val="008E1117"/>
    <w:rsid w:val="008F2023"/>
    <w:rsid w:val="008F3F96"/>
    <w:rsid w:val="0090451E"/>
    <w:rsid w:val="00932DF5"/>
    <w:rsid w:val="009375F1"/>
    <w:rsid w:val="00966E1C"/>
    <w:rsid w:val="009701CE"/>
    <w:rsid w:val="00970523"/>
    <w:rsid w:val="00985DCE"/>
    <w:rsid w:val="009A28A0"/>
    <w:rsid w:val="009B1C70"/>
    <w:rsid w:val="009C5062"/>
    <w:rsid w:val="009D068D"/>
    <w:rsid w:val="009D4E08"/>
    <w:rsid w:val="009E4B69"/>
    <w:rsid w:val="009E4EE4"/>
    <w:rsid w:val="009E6349"/>
    <w:rsid w:val="00A00C51"/>
    <w:rsid w:val="00A026BF"/>
    <w:rsid w:val="00A06F4E"/>
    <w:rsid w:val="00A20051"/>
    <w:rsid w:val="00A209FA"/>
    <w:rsid w:val="00A20E2E"/>
    <w:rsid w:val="00A246F6"/>
    <w:rsid w:val="00A41D9B"/>
    <w:rsid w:val="00A5192F"/>
    <w:rsid w:val="00A712CA"/>
    <w:rsid w:val="00AB1D24"/>
    <w:rsid w:val="00AC1638"/>
    <w:rsid w:val="00AC4F18"/>
    <w:rsid w:val="00AC5DDE"/>
    <w:rsid w:val="00AD0660"/>
    <w:rsid w:val="00AE5543"/>
    <w:rsid w:val="00B07B3E"/>
    <w:rsid w:val="00B27B45"/>
    <w:rsid w:val="00B33CC8"/>
    <w:rsid w:val="00B353F8"/>
    <w:rsid w:val="00B378EA"/>
    <w:rsid w:val="00B5089E"/>
    <w:rsid w:val="00B54093"/>
    <w:rsid w:val="00B57377"/>
    <w:rsid w:val="00BA04E8"/>
    <w:rsid w:val="00BA19F7"/>
    <w:rsid w:val="00BB29D9"/>
    <w:rsid w:val="00BB61D0"/>
    <w:rsid w:val="00BB7914"/>
    <w:rsid w:val="00BC1C78"/>
    <w:rsid w:val="00BC3E24"/>
    <w:rsid w:val="00BD2D13"/>
    <w:rsid w:val="00BD37A6"/>
    <w:rsid w:val="00BF0541"/>
    <w:rsid w:val="00C13FF2"/>
    <w:rsid w:val="00C16426"/>
    <w:rsid w:val="00C2120C"/>
    <w:rsid w:val="00C466C6"/>
    <w:rsid w:val="00C538EF"/>
    <w:rsid w:val="00C619F5"/>
    <w:rsid w:val="00C66E70"/>
    <w:rsid w:val="00C96167"/>
    <w:rsid w:val="00CB76B9"/>
    <w:rsid w:val="00CC1DA7"/>
    <w:rsid w:val="00CC423A"/>
    <w:rsid w:val="00CD322B"/>
    <w:rsid w:val="00CD3A36"/>
    <w:rsid w:val="00CF6402"/>
    <w:rsid w:val="00D31719"/>
    <w:rsid w:val="00D366C1"/>
    <w:rsid w:val="00D46798"/>
    <w:rsid w:val="00D56AFD"/>
    <w:rsid w:val="00D77F68"/>
    <w:rsid w:val="00D80FD6"/>
    <w:rsid w:val="00DA1D43"/>
    <w:rsid w:val="00DA325B"/>
    <w:rsid w:val="00DC4A98"/>
    <w:rsid w:val="00DE3373"/>
    <w:rsid w:val="00DE4B05"/>
    <w:rsid w:val="00DF1D46"/>
    <w:rsid w:val="00E05D46"/>
    <w:rsid w:val="00E07613"/>
    <w:rsid w:val="00E11617"/>
    <w:rsid w:val="00E14F1E"/>
    <w:rsid w:val="00E229C9"/>
    <w:rsid w:val="00E57ACE"/>
    <w:rsid w:val="00E64E84"/>
    <w:rsid w:val="00E72C81"/>
    <w:rsid w:val="00EA2316"/>
    <w:rsid w:val="00EA29D2"/>
    <w:rsid w:val="00EA307A"/>
    <w:rsid w:val="00EB2EE6"/>
    <w:rsid w:val="00EC45F5"/>
    <w:rsid w:val="00ED5684"/>
    <w:rsid w:val="00EE0A09"/>
    <w:rsid w:val="00EE1D8A"/>
    <w:rsid w:val="00EE3A92"/>
    <w:rsid w:val="00EE58E5"/>
    <w:rsid w:val="00F03486"/>
    <w:rsid w:val="00F03EB8"/>
    <w:rsid w:val="00F162CE"/>
    <w:rsid w:val="00F31067"/>
    <w:rsid w:val="00F66998"/>
    <w:rsid w:val="00F67907"/>
    <w:rsid w:val="00F8310C"/>
    <w:rsid w:val="00F852B9"/>
    <w:rsid w:val="00FC6091"/>
    <w:rsid w:val="00FD1F04"/>
    <w:rsid w:val="00FD227F"/>
    <w:rsid w:val="00FF5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0C901"/>
  <w15:chartTrackingRefBased/>
  <w15:docId w15:val="{0C80B5BA-ED92-4D18-A3C9-6328FDCC5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5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1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27915"/>
    <w:rPr>
      <w:color w:val="808080"/>
    </w:rPr>
  </w:style>
  <w:style w:type="character" w:styleId="Strong">
    <w:name w:val="Strong"/>
    <w:basedOn w:val="DefaultParagraphFont"/>
    <w:uiPriority w:val="22"/>
    <w:qFormat/>
    <w:rsid w:val="001A05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D6204-1CA3-44D1-8132-A48BBE82E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4024</TotalTime>
  <Pages>13</Pages>
  <Words>3422</Words>
  <Characters>19512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 Goodman</dc:creator>
  <cp:keywords/>
  <dc:description/>
  <cp:lastModifiedBy>Maurice Goodman</cp:lastModifiedBy>
  <cp:revision>238</cp:revision>
  <dcterms:created xsi:type="dcterms:W3CDTF">2021-04-09T01:53:00Z</dcterms:created>
  <dcterms:modified xsi:type="dcterms:W3CDTF">2022-03-02T23:44:00Z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http://www.zotero.org/styles/apa-5th-edition</vt:lpwstr>
  </property>
  <property fmtid="{D5CDD505-2E9C-101B-9397-08002B2CF9AE}" pid="7" name="Mendeley Recent Style Name 2_1">
    <vt:lpwstr>American Psychological Association 5th edition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http://www.zotero.org/styles/estuaries-and-coasts</vt:lpwstr>
  </property>
  <property fmtid="{D5CDD505-2E9C-101B-9397-08002B2CF9AE}" pid="17" name="Mendeley Recent Style Name 7_1">
    <vt:lpwstr>Estuaries and Coasts</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ies>
</file>