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04561" w14:textId="77777777" w:rsidR="00D915F4" w:rsidRDefault="00D915F4" w:rsidP="00AF779A">
      <w:pPr>
        <w:pStyle w:val="MDPI11articletype"/>
      </w:pPr>
      <w:bookmarkStart w:id="0" w:name="_Toc447101564"/>
      <w:r>
        <w:t>Article</w:t>
      </w:r>
    </w:p>
    <w:p w14:paraId="3A626B9C" w14:textId="77777777" w:rsidR="00D915F4" w:rsidRPr="003E231F" w:rsidRDefault="00D915F4" w:rsidP="00AF779A">
      <w:pPr>
        <w:pStyle w:val="MDPI12title"/>
      </w:pPr>
      <w:r w:rsidRPr="003E231F">
        <w:t>Soil media CO</w:t>
      </w:r>
      <w:r w:rsidRPr="003E231F">
        <w:rPr>
          <w:vertAlign w:val="subscript"/>
        </w:rPr>
        <w:t>2</w:t>
      </w:r>
      <w:r w:rsidRPr="003E231F">
        <w:t xml:space="preserve"> and N</w:t>
      </w:r>
      <w:r w:rsidRPr="003E231F">
        <w:rPr>
          <w:vertAlign w:val="subscript"/>
        </w:rPr>
        <w:t>2</w:t>
      </w:r>
      <w:r w:rsidRPr="003E231F">
        <w:t>O fluxes dynamics from sand-based roadside bioretention systems</w:t>
      </w:r>
      <w:bookmarkEnd w:id="0"/>
      <w:r w:rsidRPr="003E231F">
        <w:t xml:space="preserve"> </w:t>
      </w:r>
    </w:p>
    <w:p w14:paraId="722EC3BF" w14:textId="602C1C34" w:rsidR="00081109" w:rsidRPr="00E85053" w:rsidRDefault="00081109" w:rsidP="00081109">
      <w:pPr>
        <w:pStyle w:val="MDPI13authornames"/>
        <w:rPr>
          <w:color w:val="auto"/>
          <w:vertAlign w:val="superscript"/>
        </w:rPr>
      </w:pPr>
      <w:r w:rsidRPr="00081109">
        <w:rPr>
          <w:color w:val="auto"/>
        </w:rPr>
        <w:t xml:space="preserve">Paliza Shrestha </w:t>
      </w:r>
      <w:r w:rsidRPr="00081109">
        <w:rPr>
          <w:color w:val="auto"/>
          <w:vertAlign w:val="superscript"/>
        </w:rPr>
        <w:t>1</w:t>
      </w:r>
      <w:r w:rsidRPr="00081109">
        <w:rPr>
          <w:color w:val="auto"/>
        </w:rPr>
        <w:t>, Stephanie</w:t>
      </w:r>
      <w:r w:rsidRPr="00E85053">
        <w:rPr>
          <w:color w:val="auto"/>
        </w:rPr>
        <w:t xml:space="preserve"> E. Hurley </w:t>
      </w:r>
      <w:r w:rsidRPr="00E85053">
        <w:rPr>
          <w:color w:val="auto"/>
          <w:vertAlign w:val="superscript"/>
        </w:rPr>
        <w:t>1</w:t>
      </w:r>
      <w:bookmarkStart w:id="1" w:name="_GoBack"/>
      <w:bookmarkEnd w:id="1"/>
      <w:r w:rsidRPr="002666FC">
        <w:rPr>
          <w:color w:val="auto"/>
        </w:rPr>
        <w:t xml:space="preserve"> </w:t>
      </w:r>
      <w:r w:rsidRPr="00E85053">
        <w:rPr>
          <w:color w:val="auto"/>
        </w:rPr>
        <w:t xml:space="preserve">and Elizabeth Carol Adair </w:t>
      </w:r>
      <w:r w:rsidRPr="00E85053">
        <w:rPr>
          <w:color w:val="auto"/>
          <w:vertAlign w:val="superscript"/>
        </w:rPr>
        <w:t>2</w:t>
      </w:r>
    </w:p>
    <w:p w14:paraId="07187073" w14:textId="77777777" w:rsidR="00081109" w:rsidRPr="00E85053" w:rsidRDefault="00081109" w:rsidP="00081109">
      <w:pPr>
        <w:pStyle w:val="MDPI16affiliation"/>
        <w:rPr>
          <w:color w:val="auto"/>
        </w:rPr>
      </w:pPr>
      <w:r w:rsidRPr="00E85053">
        <w:rPr>
          <w:color w:val="auto"/>
          <w:vertAlign w:val="superscript"/>
        </w:rPr>
        <w:t>1</w:t>
      </w:r>
      <w:r w:rsidRPr="00E85053">
        <w:rPr>
          <w:color w:val="auto"/>
        </w:rPr>
        <w:tab/>
        <w:t>Department of Plant and Soil Science, University of Vermont, Burlington, VT 05405, USA; Stephanie.Hurley@uvm.edu</w:t>
      </w:r>
    </w:p>
    <w:p w14:paraId="4F9EA6BF" w14:textId="77777777" w:rsidR="00081109" w:rsidRPr="00E85053" w:rsidRDefault="00081109" w:rsidP="00081109">
      <w:pPr>
        <w:pStyle w:val="MDPI16affiliation"/>
        <w:rPr>
          <w:color w:val="auto"/>
        </w:rPr>
      </w:pPr>
      <w:r w:rsidRPr="00E85053">
        <w:rPr>
          <w:color w:val="auto"/>
          <w:vertAlign w:val="superscript"/>
        </w:rPr>
        <w:t>2</w:t>
      </w:r>
      <w:r w:rsidRPr="00E85053">
        <w:rPr>
          <w:color w:val="auto"/>
        </w:rPr>
        <w:tab/>
        <w:t>Rubenstein School of Environment and Natural Resources, University of Vermont, Burlington, VT 05405, USA; Carol.Adair@uvm.edu</w:t>
      </w:r>
    </w:p>
    <w:p w14:paraId="146FC55B" w14:textId="77777777" w:rsidR="00081109" w:rsidRPr="00E85053" w:rsidRDefault="00081109" w:rsidP="00081109">
      <w:pPr>
        <w:pStyle w:val="Mdeck2authorcorrespondence"/>
        <w:rPr>
          <w:color w:val="auto"/>
        </w:rPr>
      </w:pPr>
      <w:r w:rsidRPr="00E85053">
        <w:rPr>
          <w:b/>
          <w:color w:val="auto"/>
        </w:rPr>
        <w:t>*</w:t>
      </w:r>
      <w:r w:rsidRPr="00E85053">
        <w:rPr>
          <w:color w:val="auto"/>
        </w:rPr>
        <w:tab/>
        <w:t>Correspondence: pshresth@</w:t>
      </w:r>
      <w:r w:rsidRPr="00E85053">
        <w:rPr>
          <w:rStyle w:val="Hyperlink"/>
          <w:color w:val="auto"/>
          <w:szCs w:val="24"/>
          <w:u w:val="none"/>
        </w:rPr>
        <w:t>uvm.edu</w:t>
      </w:r>
      <w:r w:rsidRPr="00E85053">
        <w:rPr>
          <w:color w:val="auto"/>
        </w:rPr>
        <w:t>, Tel.: +1-802-656-2630</w:t>
      </w:r>
    </w:p>
    <w:p w14:paraId="1EF2F0FA" w14:textId="77777777" w:rsidR="00081109" w:rsidRPr="00E85053" w:rsidRDefault="00081109" w:rsidP="00081109">
      <w:pPr>
        <w:pStyle w:val="MDPI14history"/>
        <w:rPr>
          <w:color w:val="auto"/>
        </w:rPr>
      </w:pPr>
      <w:r w:rsidRPr="00E85053">
        <w:rPr>
          <w:color w:val="auto"/>
        </w:rPr>
        <w:t xml:space="preserve">Received: </w:t>
      </w:r>
      <w:r>
        <w:t>03 January 2018</w:t>
      </w:r>
      <w:r w:rsidRPr="00E85053">
        <w:rPr>
          <w:color w:val="auto"/>
        </w:rPr>
        <w:t xml:space="preserve">; Accepted: </w:t>
      </w:r>
      <w:r>
        <w:t>01 February 2018</w:t>
      </w:r>
      <w:r w:rsidRPr="00E85053">
        <w:rPr>
          <w:color w:val="auto"/>
        </w:rPr>
        <w:t>; Published: date</w:t>
      </w:r>
    </w:p>
    <w:p w14:paraId="3C349318" w14:textId="77777777" w:rsidR="00803ACF" w:rsidRDefault="00803ACF" w:rsidP="00AF779A">
      <w:pPr>
        <w:pStyle w:val="MDPI16affiliation"/>
        <w:ind w:left="113" w:firstLine="0"/>
      </w:pPr>
    </w:p>
    <w:p w14:paraId="47FBCCBF" w14:textId="77777777" w:rsidR="00803ACF" w:rsidRPr="0092265B" w:rsidRDefault="00803ACF" w:rsidP="00803ACF">
      <w:pPr>
        <w:pStyle w:val="MDPI21heading1"/>
      </w:pPr>
      <w:r w:rsidRPr="0092265B">
        <w:t xml:space="preserve">Supplement Table 1. </w:t>
      </w:r>
      <w:r>
        <w:t>List of</w:t>
      </w:r>
      <w:r w:rsidRPr="0092265B">
        <w:t xml:space="preserve"> bioretention plant species.</w:t>
      </w:r>
    </w:p>
    <w:tbl>
      <w:tblPr>
        <w:tblW w:w="9555" w:type="dxa"/>
        <w:tblInd w:w="93" w:type="dxa"/>
        <w:tblLook w:val="04A0" w:firstRow="1" w:lastRow="0" w:firstColumn="1" w:lastColumn="0" w:noHBand="0" w:noVBand="1"/>
      </w:tblPr>
      <w:tblGrid>
        <w:gridCol w:w="1545"/>
        <w:gridCol w:w="2790"/>
        <w:gridCol w:w="5220"/>
      </w:tblGrid>
      <w:tr w:rsidR="00803ACF" w:rsidRPr="00C61CAD" w14:paraId="2D699959" w14:textId="77777777" w:rsidTr="008F56A8">
        <w:trPr>
          <w:trHeight w:val="300"/>
        </w:trPr>
        <w:tc>
          <w:tcPr>
            <w:tcW w:w="1545" w:type="dxa"/>
            <w:tcBorders>
              <w:top w:val="single" w:sz="4" w:space="0" w:color="auto"/>
              <w:bottom w:val="single" w:sz="4" w:space="0" w:color="auto"/>
            </w:tcBorders>
            <w:vAlign w:val="bottom"/>
          </w:tcPr>
          <w:p w14:paraId="21EA8ABD" w14:textId="77777777" w:rsidR="00803ACF" w:rsidRPr="00C61CAD" w:rsidRDefault="00803ACF" w:rsidP="00803ACF">
            <w:pPr>
              <w:pStyle w:val="MDPI42tablebody"/>
            </w:pPr>
          </w:p>
        </w:tc>
        <w:tc>
          <w:tcPr>
            <w:tcW w:w="2790" w:type="dxa"/>
            <w:tcBorders>
              <w:top w:val="single" w:sz="4" w:space="0" w:color="auto"/>
              <w:bottom w:val="single" w:sz="4" w:space="0" w:color="auto"/>
            </w:tcBorders>
            <w:shd w:val="clear" w:color="auto" w:fill="auto"/>
            <w:noWrap/>
            <w:vAlign w:val="bottom"/>
            <w:hideMark/>
          </w:tcPr>
          <w:p w14:paraId="3DD935D9" w14:textId="77777777" w:rsidR="00803ACF" w:rsidRPr="00C61CAD" w:rsidRDefault="00803ACF" w:rsidP="00803ACF">
            <w:pPr>
              <w:pStyle w:val="MDPI42tablebody"/>
              <w:rPr>
                <w:b/>
              </w:rPr>
            </w:pPr>
            <w:r w:rsidRPr="00C61CAD">
              <w:rPr>
                <w:b/>
              </w:rPr>
              <w:t>Latin Name</w:t>
            </w:r>
          </w:p>
        </w:tc>
        <w:tc>
          <w:tcPr>
            <w:tcW w:w="5220" w:type="dxa"/>
            <w:tcBorders>
              <w:top w:val="single" w:sz="4" w:space="0" w:color="auto"/>
              <w:bottom w:val="single" w:sz="4" w:space="0" w:color="auto"/>
            </w:tcBorders>
            <w:shd w:val="clear" w:color="auto" w:fill="auto"/>
            <w:noWrap/>
            <w:vAlign w:val="bottom"/>
            <w:hideMark/>
          </w:tcPr>
          <w:p w14:paraId="50F3A0B8" w14:textId="77777777" w:rsidR="00803ACF" w:rsidRPr="00C61CAD" w:rsidRDefault="00803ACF" w:rsidP="00803ACF">
            <w:pPr>
              <w:pStyle w:val="MDPI42tablebody"/>
              <w:rPr>
                <w:b/>
              </w:rPr>
            </w:pPr>
            <w:r w:rsidRPr="00C61CAD">
              <w:rPr>
                <w:b/>
              </w:rPr>
              <w:t>Common Name</w:t>
            </w:r>
          </w:p>
        </w:tc>
      </w:tr>
      <w:tr w:rsidR="00803ACF" w:rsidRPr="00C61CAD" w14:paraId="60A8BFED" w14:textId="77777777" w:rsidTr="008F56A8">
        <w:trPr>
          <w:trHeight w:val="300"/>
        </w:trPr>
        <w:tc>
          <w:tcPr>
            <w:tcW w:w="1545" w:type="dxa"/>
            <w:vMerge w:val="restart"/>
            <w:tcBorders>
              <w:top w:val="single" w:sz="4" w:space="0" w:color="auto"/>
            </w:tcBorders>
            <w:vAlign w:val="center"/>
          </w:tcPr>
          <w:p w14:paraId="472CB164" w14:textId="77777777" w:rsidR="00803ACF" w:rsidRPr="00C61CAD" w:rsidRDefault="00803ACF" w:rsidP="00803ACF">
            <w:pPr>
              <w:pStyle w:val="MDPI42tablebody"/>
            </w:pPr>
            <w:r w:rsidRPr="00C61CAD">
              <w:t>Low diversity (</w:t>
            </w:r>
            <w:r>
              <w:t>VL</w:t>
            </w:r>
            <w:r w:rsidRPr="00C61CAD">
              <w:t>) cell</w:t>
            </w:r>
          </w:p>
        </w:tc>
        <w:tc>
          <w:tcPr>
            <w:tcW w:w="2790" w:type="dxa"/>
            <w:tcBorders>
              <w:top w:val="single" w:sz="4" w:space="0" w:color="auto"/>
            </w:tcBorders>
            <w:shd w:val="clear" w:color="auto" w:fill="auto"/>
            <w:noWrap/>
            <w:vAlign w:val="bottom"/>
          </w:tcPr>
          <w:p w14:paraId="189E1CCD" w14:textId="77777777" w:rsidR="00803ACF" w:rsidRPr="00C61CAD" w:rsidRDefault="00803ACF" w:rsidP="00803ACF">
            <w:pPr>
              <w:pStyle w:val="MDPI42tablebody"/>
              <w:rPr>
                <w:i/>
              </w:rPr>
            </w:pPr>
            <w:r w:rsidRPr="00C61CAD">
              <w:rPr>
                <w:i/>
              </w:rPr>
              <w:t>Hemerocallis spp.</w:t>
            </w:r>
          </w:p>
        </w:tc>
        <w:tc>
          <w:tcPr>
            <w:tcW w:w="5220" w:type="dxa"/>
            <w:tcBorders>
              <w:top w:val="single" w:sz="4" w:space="0" w:color="auto"/>
            </w:tcBorders>
            <w:shd w:val="clear" w:color="auto" w:fill="auto"/>
            <w:noWrap/>
            <w:vAlign w:val="bottom"/>
          </w:tcPr>
          <w:p w14:paraId="04C3A54A" w14:textId="77777777" w:rsidR="00803ACF" w:rsidRPr="00C61CAD" w:rsidRDefault="00803ACF" w:rsidP="00803ACF">
            <w:pPr>
              <w:pStyle w:val="MDPI42tablebody"/>
            </w:pPr>
            <w:r>
              <w:t>Daylilies 'Stella d'Oro' (4</w:t>
            </w:r>
            <w:r w:rsidRPr="00C61CAD">
              <w:rPr>
                <w:vertAlign w:val="superscript"/>
              </w:rPr>
              <w:t>*</w:t>
            </w:r>
            <w:r w:rsidRPr="00C61CAD">
              <w:t>)</w:t>
            </w:r>
          </w:p>
        </w:tc>
      </w:tr>
      <w:tr w:rsidR="00803ACF" w:rsidRPr="00C61CAD" w14:paraId="3B4A9A51" w14:textId="77777777" w:rsidTr="008F56A8">
        <w:trPr>
          <w:trHeight w:val="300"/>
        </w:trPr>
        <w:tc>
          <w:tcPr>
            <w:tcW w:w="1545" w:type="dxa"/>
            <w:vMerge/>
            <w:tcBorders>
              <w:bottom w:val="single" w:sz="4" w:space="0" w:color="auto"/>
            </w:tcBorders>
            <w:vAlign w:val="center"/>
          </w:tcPr>
          <w:p w14:paraId="44D7E234" w14:textId="77777777" w:rsidR="00803ACF" w:rsidRPr="00C61CAD" w:rsidRDefault="00803ACF" w:rsidP="00803ACF">
            <w:pPr>
              <w:pStyle w:val="MDPI42tablebody"/>
            </w:pPr>
          </w:p>
        </w:tc>
        <w:tc>
          <w:tcPr>
            <w:tcW w:w="2790" w:type="dxa"/>
            <w:tcBorders>
              <w:bottom w:val="single" w:sz="4" w:space="0" w:color="auto"/>
            </w:tcBorders>
            <w:shd w:val="clear" w:color="auto" w:fill="auto"/>
            <w:noWrap/>
            <w:vAlign w:val="bottom"/>
          </w:tcPr>
          <w:p w14:paraId="290DCF71" w14:textId="77777777" w:rsidR="00803ACF" w:rsidRPr="00C61CAD" w:rsidRDefault="00803ACF" w:rsidP="00803ACF">
            <w:pPr>
              <w:pStyle w:val="MDPI42tablebody"/>
              <w:rPr>
                <w:i/>
              </w:rPr>
            </w:pPr>
            <w:r w:rsidRPr="00C61CAD">
              <w:rPr>
                <w:i/>
              </w:rPr>
              <w:t>Panicum virgatum</w:t>
            </w:r>
          </w:p>
        </w:tc>
        <w:tc>
          <w:tcPr>
            <w:tcW w:w="5220" w:type="dxa"/>
            <w:tcBorders>
              <w:bottom w:val="single" w:sz="4" w:space="0" w:color="auto"/>
            </w:tcBorders>
            <w:shd w:val="clear" w:color="auto" w:fill="auto"/>
            <w:noWrap/>
            <w:vAlign w:val="bottom"/>
          </w:tcPr>
          <w:p w14:paraId="11DBE0C5" w14:textId="77777777" w:rsidR="00803ACF" w:rsidRPr="00C61CAD" w:rsidRDefault="00803ACF" w:rsidP="00803ACF">
            <w:pPr>
              <w:pStyle w:val="MDPI42tablebody"/>
            </w:pPr>
            <w:r>
              <w:t>Switchgrass 'Shenandoah' (5</w:t>
            </w:r>
            <w:r w:rsidRPr="00C61CAD">
              <w:t>)</w:t>
            </w:r>
          </w:p>
        </w:tc>
      </w:tr>
      <w:tr w:rsidR="00803ACF" w:rsidRPr="00C61CAD" w14:paraId="2B5CFAF4" w14:textId="77777777" w:rsidTr="008F56A8">
        <w:trPr>
          <w:trHeight w:val="300"/>
        </w:trPr>
        <w:tc>
          <w:tcPr>
            <w:tcW w:w="1545" w:type="dxa"/>
            <w:vMerge w:val="restart"/>
            <w:tcBorders>
              <w:top w:val="single" w:sz="4" w:space="0" w:color="auto"/>
            </w:tcBorders>
            <w:vAlign w:val="center"/>
          </w:tcPr>
          <w:p w14:paraId="380EEA78" w14:textId="77777777" w:rsidR="00803ACF" w:rsidRPr="00C61CAD" w:rsidRDefault="00803ACF" w:rsidP="00803ACF">
            <w:pPr>
              <w:pStyle w:val="MDPI42tablebody"/>
            </w:pPr>
            <w:r w:rsidRPr="00C61CAD">
              <w:t>High diversity (</w:t>
            </w:r>
            <w:r>
              <w:t>VH</w:t>
            </w:r>
            <w:r w:rsidRPr="00C61CAD">
              <w:t>) cell</w:t>
            </w:r>
          </w:p>
        </w:tc>
        <w:tc>
          <w:tcPr>
            <w:tcW w:w="2790" w:type="dxa"/>
            <w:tcBorders>
              <w:top w:val="single" w:sz="4" w:space="0" w:color="auto"/>
            </w:tcBorders>
            <w:shd w:val="clear" w:color="auto" w:fill="auto"/>
            <w:noWrap/>
            <w:vAlign w:val="bottom"/>
            <w:hideMark/>
          </w:tcPr>
          <w:p w14:paraId="2F45DDA7" w14:textId="77777777" w:rsidR="00803ACF" w:rsidRPr="00C61CAD" w:rsidRDefault="00803ACF" w:rsidP="00803ACF">
            <w:pPr>
              <w:pStyle w:val="MDPI42tablebody"/>
              <w:rPr>
                <w:i/>
              </w:rPr>
            </w:pPr>
            <w:r w:rsidRPr="00C61CAD">
              <w:rPr>
                <w:i/>
              </w:rPr>
              <w:t>Aesclepius incarnata</w:t>
            </w:r>
          </w:p>
        </w:tc>
        <w:tc>
          <w:tcPr>
            <w:tcW w:w="5220" w:type="dxa"/>
            <w:tcBorders>
              <w:top w:val="single" w:sz="4" w:space="0" w:color="auto"/>
            </w:tcBorders>
            <w:shd w:val="clear" w:color="auto" w:fill="auto"/>
            <w:noWrap/>
            <w:vAlign w:val="bottom"/>
            <w:hideMark/>
          </w:tcPr>
          <w:p w14:paraId="26552444" w14:textId="77777777" w:rsidR="00803ACF" w:rsidRPr="00C61CAD" w:rsidRDefault="00803ACF" w:rsidP="00803ACF">
            <w:pPr>
              <w:pStyle w:val="MDPI42tablebody"/>
            </w:pPr>
            <w:r w:rsidRPr="00C61CAD">
              <w:t>Butterfly, Milkweed 'Tuberosa' (1</w:t>
            </w:r>
            <w:r w:rsidRPr="00C61CAD">
              <w:rPr>
                <w:vertAlign w:val="superscript"/>
              </w:rPr>
              <w:t>*</w:t>
            </w:r>
            <w:r w:rsidRPr="00C61CAD">
              <w:t>)</w:t>
            </w:r>
          </w:p>
        </w:tc>
      </w:tr>
      <w:tr w:rsidR="00803ACF" w:rsidRPr="00C61CAD" w14:paraId="51148EE8" w14:textId="77777777" w:rsidTr="008F56A8">
        <w:trPr>
          <w:trHeight w:val="300"/>
        </w:trPr>
        <w:tc>
          <w:tcPr>
            <w:tcW w:w="1545" w:type="dxa"/>
            <w:vMerge/>
            <w:vAlign w:val="center"/>
          </w:tcPr>
          <w:p w14:paraId="29142999" w14:textId="77777777" w:rsidR="00803ACF" w:rsidRPr="00C61CAD" w:rsidRDefault="00803ACF" w:rsidP="00803ACF">
            <w:pPr>
              <w:pStyle w:val="MDPI42tablebody"/>
            </w:pPr>
          </w:p>
        </w:tc>
        <w:tc>
          <w:tcPr>
            <w:tcW w:w="2790" w:type="dxa"/>
            <w:shd w:val="clear" w:color="auto" w:fill="auto"/>
            <w:noWrap/>
            <w:vAlign w:val="bottom"/>
            <w:hideMark/>
          </w:tcPr>
          <w:p w14:paraId="058CACF3" w14:textId="77777777" w:rsidR="00803ACF" w:rsidRPr="00C61CAD" w:rsidRDefault="00803ACF" w:rsidP="00803ACF">
            <w:pPr>
              <w:pStyle w:val="MDPI42tablebody"/>
              <w:rPr>
                <w:i/>
              </w:rPr>
            </w:pPr>
            <w:r w:rsidRPr="00C61CAD">
              <w:rPr>
                <w:i/>
              </w:rPr>
              <w:t>Anemone canadensis</w:t>
            </w:r>
          </w:p>
        </w:tc>
        <w:tc>
          <w:tcPr>
            <w:tcW w:w="5220" w:type="dxa"/>
            <w:shd w:val="clear" w:color="auto" w:fill="auto"/>
            <w:noWrap/>
            <w:vAlign w:val="bottom"/>
            <w:hideMark/>
          </w:tcPr>
          <w:p w14:paraId="00D39C01" w14:textId="77777777" w:rsidR="00803ACF" w:rsidRPr="00C61CAD" w:rsidRDefault="00803ACF" w:rsidP="00803ACF">
            <w:pPr>
              <w:pStyle w:val="MDPI42tablebody"/>
            </w:pPr>
            <w:r w:rsidRPr="00C61CAD">
              <w:t>Windflower (2)</w:t>
            </w:r>
          </w:p>
        </w:tc>
      </w:tr>
      <w:tr w:rsidR="00803ACF" w:rsidRPr="00C61CAD" w14:paraId="6C6A2925" w14:textId="77777777" w:rsidTr="008F56A8">
        <w:trPr>
          <w:trHeight w:val="300"/>
        </w:trPr>
        <w:tc>
          <w:tcPr>
            <w:tcW w:w="1545" w:type="dxa"/>
            <w:vMerge/>
            <w:vAlign w:val="center"/>
          </w:tcPr>
          <w:p w14:paraId="1CBB2B22" w14:textId="77777777" w:rsidR="00803ACF" w:rsidRPr="00C61CAD" w:rsidRDefault="00803ACF" w:rsidP="00803ACF">
            <w:pPr>
              <w:pStyle w:val="MDPI42tablebody"/>
            </w:pPr>
          </w:p>
        </w:tc>
        <w:tc>
          <w:tcPr>
            <w:tcW w:w="2790" w:type="dxa"/>
            <w:shd w:val="clear" w:color="auto" w:fill="auto"/>
            <w:noWrap/>
            <w:vAlign w:val="bottom"/>
            <w:hideMark/>
          </w:tcPr>
          <w:p w14:paraId="537275EA" w14:textId="77777777" w:rsidR="00803ACF" w:rsidRPr="00C61CAD" w:rsidRDefault="00803ACF" w:rsidP="00803ACF">
            <w:pPr>
              <w:pStyle w:val="MDPI42tablebody"/>
              <w:rPr>
                <w:i/>
              </w:rPr>
            </w:pPr>
            <w:r w:rsidRPr="00C61CAD">
              <w:rPr>
                <w:i/>
              </w:rPr>
              <w:t>Aquilegia canadensis</w:t>
            </w:r>
          </w:p>
        </w:tc>
        <w:tc>
          <w:tcPr>
            <w:tcW w:w="5220" w:type="dxa"/>
            <w:shd w:val="clear" w:color="auto" w:fill="auto"/>
            <w:noWrap/>
            <w:vAlign w:val="bottom"/>
            <w:hideMark/>
          </w:tcPr>
          <w:p w14:paraId="6922858C" w14:textId="77777777" w:rsidR="00803ACF" w:rsidRPr="00C61CAD" w:rsidRDefault="00803ACF" w:rsidP="00803ACF">
            <w:pPr>
              <w:pStyle w:val="MDPI42tablebody"/>
            </w:pPr>
            <w:r w:rsidRPr="00C61CAD">
              <w:t>Columbine (2)</w:t>
            </w:r>
          </w:p>
        </w:tc>
      </w:tr>
      <w:tr w:rsidR="00803ACF" w:rsidRPr="00C61CAD" w14:paraId="60EECDCF" w14:textId="77777777" w:rsidTr="008F56A8">
        <w:trPr>
          <w:trHeight w:val="300"/>
        </w:trPr>
        <w:tc>
          <w:tcPr>
            <w:tcW w:w="1545" w:type="dxa"/>
            <w:vMerge/>
            <w:vAlign w:val="center"/>
          </w:tcPr>
          <w:p w14:paraId="3FB94FC0" w14:textId="77777777" w:rsidR="00803ACF" w:rsidRPr="00C61CAD" w:rsidRDefault="00803ACF" w:rsidP="00803ACF">
            <w:pPr>
              <w:pStyle w:val="MDPI42tablebody"/>
            </w:pPr>
          </w:p>
        </w:tc>
        <w:tc>
          <w:tcPr>
            <w:tcW w:w="2790" w:type="dxa"/>
            <w:shd w:val="clear" w:color="auto" w:fill="auto"/>
            <w:noWrap/>
            <w:vAlign w:val="bottom"/>
            <w:hideMark/>
          </w:tcPr>
          <w:p w14:paraId="43355463" w14:textId="77777777" w:rsidR="00803ACF" w:rsidRPr="00C61CAD" w:rsidRDefault="00803ACF" w:rsidP="00803ACF">
            <w:pPr>
              <w:pStyle w:val="MDPI42tablebody"/>
              <w:rPr>
                <w:i/>
              </w:rPr>
            </w:pPr>
            <w:r w:rsidRPr="00C61CAD">
              <w:rPr>
                <w:i/>
              </w:rPr>
              <w:t>Symphyotrichum novae-angliae</w:t>
            </w:r>
          </w:p>
        </w:tc>
        <w:tc>
          <w:tcPr>
            <w:tcW w:w="5220" w:type="dxa"/>
            <w:shd w:val="clear" w:color="auto" w:fill="auto"/>
            <w:noWrap/>
            <w:vAlign w:val="bottom"/>
            <w:hideMark/>
          </w:tcPr>
          <w:p w14:paraId="6FF3396C" w14:textId="77777777" w:rsidR="00803ACF" w:rsidRPr="00C61CAD" w:rsidRDefault="00803ACF" w:rsidP="00803ACF">
            <w:pPr>
              <w:pStyle w:val="MDPI42tablebody"/>
            </w:pPr>
            <w:r w:rsidRPr="00C61CAD">
              <w:t>New England Aster 'Purple Dome' (2)</w:t>
            </w:r>
          </w:p>
        </w:tc>
      </w:tr>
      <w:tr w:rsidR="00803ACF" w:rsidRPr="00C61CAD" w14:paraId="58D41CE6" w14:textId="77777777" w:rsidTr="008F56A8">
        <w:trPr>
          <w:trHeight w:val="300"/>
        </w:trPr>
        <w:tc>
          <w:tcPr>
            <w:tcW w:w="1545" w:type="dxa"/>
            <w:vMerge/>
            <w:vAlign w:val="center"/>
          </w:tcPr>
          <w:p w14:paraId="445A557E" w14:textId="77777777" w:rsidR="00803ACF" w:rsidRPr="00C61CAD" w:rsidRDefault="00803ACF" w:rsidP="00803ACF">
            <w:pPr>
              <w:pStyle w:val="MDPI42tablebody"/>
            </w:pPr>
          </w:p>
        </w:tc>
        <w:tc>
          <w:tcPr>
            <w:tcW w:w="2790" w:type="dxa"/>
            <w:shd w:val="clear" w:color="auto" w:fill="auto"/>
            <w:noWrap/>
            <w:vAlign w:val="bottom"/>
            <w:hideMark/>
          </w:tcPr>
          <w:p w14:paraId="588E8DB3" w14:textId="77777777" w:rsidR="00803ACF" w:rsidRPr="00C61CAD" w:rsidRDefault="00803ACF" w:rsidP="00803ACF">
            <w:pPr>
              <w:pStyle w:val="MDPI42tablebody"/>
              <w:rPr>
                <w:i/>
              </w:rPr>
            </w:pPr>
            <w:r w:rsidRPr="00C61CAD">
              <w:rPr>
                <w:i/>
              </w:rPr>
              <w:t>Baptisia australis</w:t>
            </w:r>
          </w:p>
        </w:tc>
        <w:tc>
          <w:tcPr>
            <w:tcW w:w="5220" w:type="dxa"/>
            <w:shd w:val="clear" w:color="auto" w:fill="auto"/>
            <w:noWrap/>
            <w:vAlign w:val="bottom"/>
            <w:hideMark/>
          </w:tcPr>
          <w:p w14:paraId="6FDEFE71" w14:textId="77777777" w:rsidR="00803ACF" w:rsidRPr="00C61CAD" w:rsidRDefault="00803ACF" w:rsidP="00803ACF">
            <w:pPr>
              <w:pStyle w:val="MDPI42tablebody"/>
            </w:pPr>
            <w:r w:rsidRPr="00C61CAD">
              <w:t>Blue False Indigo 'Capsian' and 'Midnight Prairiebliss' (3)</w:t>
            </w:r>
          </w:p>
        </w:tc>
      </w:tr>
      <w:tr w:rsidR="00803ACF" w:rsidRPr="00C61CAD" w14:paraId="04082540" w14:textId="77777777" w:rsidTr="008F56A8">
        <w:trPr>
          <w:trHeight w:val="300"/>
        </w:trPr>
        <w:tc>
          <w:tcPr>
            <w:tcW w:w="1545" w:type="dxa"/>
            <w:vMerge/>
            <w:vAlign w:val="center"/>
          </w:tcPr>
          <w:p w14:paraId="5C659A77" w14:textId="77777777" w:rsidR="00803ACF" w:rsidRPr="00C61CAD" w:rsidRDefault="00803ACF" w:rsidP="00803ACF">
            <w:pPr>
              <w:pStyle w:val="MDPI42tablebody"/>
            </w:pPr>
          </w:p>
        </w:tc>
        <w:tc>
          <w:tcPr>
            <w:tcW w:w="2790" w:type="dxa"/>
            <w:shd w:val="clear" w:color="auto" w:fill="auto"/>
            <w:noWrap/>
            <w:vAlign w:val="bottom"/>
            <w:hideMark/>
          </w:tcPr>
          <w:p w14:paraId="40E3AB2F" w14:textId="77777777" w:rsidR="00803ACF" w:rsidRPr="00C61CAD" w:rsidRDefault="00803ACF" w:rsidP="00803ACF">
            <w:pPr>
              <w:pStyle w:val="MDPI42tablebody"/>
              <w:rPr>
                <w:i/>
              </w:rPr>
            </w:pPr>
            <w:r w:rsidRPr="00C61CAD">
              <w:rPr>
                <w:i/>
              </w:rPr>
              <w:t>Helenium autumnale</w:t>
            </w:r>
          </w:p>
        </w:tc>
        <w:tc>
          <w:tcPr>
            <w:tcW w:w="5220" w:type="dxa"/>
            <w:shd w:val="clear" w:color="auto" w:fill="auto"/>
            <w:noWrap/>
            <w:vAlign w:val="bottom"/>
            <w:hideMark/>
          </w:tcPr>
          <w:p w14:paraId="792B0FC0" w14:textId="77777777" w:rsidR="00803ACF" w:rsidRPr="00C61CAD" w:rsidRDefault="00803ACF" w:rsidP="00803ACF">
            <w:pPr>
              <w:pStyle w:val="MDPI42tablebody"/>
            </w:pPr>
            <w:r w:rsidRPr="00C61CAD">
              <w:t>Sneezeweed 'Red+Gold' (4)</w:t>
            </w:r>
          </w:p>
        </w:tc>
      </w:tr>
      <w:tr w:rsidR="00803ACF" w:rsidRPr="00C61CAD" w14:paraId="6337B7DA" w14:textId="77777777" w:rsidTr="008F56A8">
        <w:trPr>
          <w:trHeight w:val="300"/>
        </w:trPr>
        <w:tc>
          <w:tcPr>
            <w:tcW w:w="1545" w:type="dxa"/>
            <w:vMerge/>
            <w:tcBorders>
              <w:bottom w:val="single" w:sz="4" w:space="0" w:color="auto"/>
            </w:tcBorders>
            <w:vAlign w:val="center"/>
          </w:tcPr>
          <w:p w14:paraId="4789BC53" w14:textId="77777777" w:rsidR="00803ACF" w:rsidRPr="00C61CAD" w:rsidRDefault="00803ACF" w:rsidP="00803ACF">
            <w:pPr>
              <w:pStyle w:val="MDPI42tablebody"/>
            </w:pPr>
          </w:p>
        </w:tc>
        <w:tc>
          <w:tcPr>
            <w:tcW w:w="2790" w:type="dxa"/>
            <w:tcBorders>
              <w:bottom w:val="single" w:sz="4" w:space="0" w:color="auto"/>
            </w:tcBorders>
            <w:shd w:val="clear" w:color="auto" w:fill="auto"/>
            <w:noWrap/>
            <w:vAlign w:val="bottom"/>
            <w:hideMark/>
          </w:tcPr>
          <w:p w14:paraId="0A0A9F36" w14:textId="77777777" w:rsidR="00803ACF" w:rsidRPr="00C61CAD" w:rsidRDefault="00803ACF" w:rsidP="00803ACF">
            <w:pPr>
              <w:pStyle w:val="MDPI42tablebody"/>
              <w:rPr>
                <w:i/>
              </w:rPr>
            </w:pPr>
            <w:r w:rsidRPr="00C61CAD">
              <w:rPr>
                <w:i/>
              </w:rPr>
              <w:t>Lobeliea cardinalis</w:t>
            </w:r>
          </w:p>
        </w:tc>
        <w:tc>
          <w:tcPr>
            <w:tcW w:w="5220" w:type="dxa"/>
            <w:tcBorders>
              <w:bottom w:val="single" w:sz="4" w:space="0" w:color="auto"/>
            </w:tcBorders>
            <w:shd w:val="clear" w:color="auto" w:fill="auto"/>
            <w:noWrap/>
            <w:vAlign w:val="bottom"/>
            <w:hideMark/>
          </w:tcPr>
          <w:p w14:paraId="548A930A" w14:textId="77777777" w:rsidR="00803ACF" w:rsidRPr="00C61CAD" w:rsidRDefault="00803ACF" w:rsidP="00803ACF">
            <w:pPr>
              <w:pStyle w:val="MDPI42tablebody"/>
            </w:pPr>
            <w:r w:rsidRPr="00C61CAD">
              <w:t>Cardinal Flower (1)</w:t>
            </w:r>
          </w:p>
        </w:tc>
      </w:tr>
    </w:tbl>
    <w:p w14:paraId="6B952280" w14:textId="77777777" w:rsidR="00803ACF" w:rsidRPr="00C61CAD" w:rsidRDefault="00803ACF" w:rsidP="00803ACF">
      <w:pPr>
        <w:pStyle w:val="MDPI32textnoindent"/>
      </w:pPr>
      <w:r w:rsidRPr="00C61CAD">
        <w:t>*Numbers inside parenthesis indicate number of individuals planted per cell.</w:t>
      </w:r>
    </w:p>
    <w:p w14:paraId="53596F73" w14:textId="77777777" w:rsidR="00803ACF" w:rsidRPr="00803ACF" w:rsidRDefault="00803ACF" w:rsidP="00803ACF">
      <w:pPr>
        <w:pStyle w:val="MDPI21heading1"/>
      </w:pPr>
      <w:r w:rsidRPr="00803ACF">
        <w:t>Supplement 2. Greenhouse gas flux calculation equations.</w:t>
      </w:r>
    </w:p>
    <w:p w14:paraId="29157ECC" w14:textId="77777777" w:rsidR="00803ACF" w:rsidRPr="0092265B" w:rsidRDefault="00803ACF" w:rsidP="00803ACF">
      <w:pPr>
        <w:pStyle w:val="MDPI22heading2"/>
      </w:pPr>
      <w:r w:rsidRPr="0092265B">
        <w:t>PAS flux calculation (used by Kaye, McCulley, Castellano, Adviento-Borbe Labs)</w:t>
      </w:r>
    </w:p>
    <w:p w14:paraId="38AE20CA" w14:textId="77777777" w:rsidR="00803ACF" w:rsidRPr="0092265B" w:rsidRDefault="00803ACF" w:rsidP="00803ACF">
      <w:pPr>
        <w:pStyle w:val="MDPI31text"/>
      </w:pPr>
      <w:r w:rsidRPr="0092265B">
        <w:t>The method uses numbers (density, temperature, air pressure) based on 20°C and 1 atm and not the actual air temperature and pressure because the PAS instrument calculates the concentration of each gas at 20°C. Fluxes of CO</w:t>
      </w:r>
      <w:r w:rsidRPr="0092265B">
        <w:rPr>
          <w:vertAlign w:val="subscript"/>
        </w:rPr>
        <w:t>2</w:t>
      </w:r>
      <w:r w:rsidRPr="0092265B">
        <w:t xml:space="preserve"> and N</w:t>
      </w:r>
      <w:r w:rsidRPr="0092265B">
        <w:rPr>
          <w:vertAlign w:val="subscript"/>
        </w:rPr>
        <w:t>2</w:t>
      </w:r>
      <w:r w:rsidRPr="0092265B">
        <w:t xml:space="preserve">O are computed by fitting a linear regression of gas concentration against time after chamber closure.  </w:t>
      </w:r>
    </w:p>
    <w:p w14:paraId="0B2CC691" w14:textId="77777777" w:rsidR="00803ACF" w:rsidRPr="0092265B" w:rsidRDefault="00803ACF" w:rsidP="00803ACF">
      <w:pPr>
        <w:pStyle w:val="MDPI31text"/>
      </w:pPr>
      <w:r w:rsidRPr="0092265B">
        <w:t>According to the PAS manual (14.11.2) to convert ppm (volume) to mg/m</w:t>
      </w:r>
      <w:r w:rsidRPr="0092265B">
        <w:rPr>
          <w:vertAlign w:val="superscript"/>
        </w:rPr>
        <w:t>3</w:t>
      </w:r>
      <w:r w:rsidRPr="0092265B">
        <w:t>:</w:t>
      </w:r>
    </w:p>
    <w:p w14:paraId="4FCA72B4" w14:textId="77777777" w:rsidR="00803ACF" w:rsidRPr="0092265B" w:rsidRDefault="00803ACF" w:rsidP="00803ACF">
      <w:pPr>
        <w:widowControl w:val="0"/>
        <w:autoSpaceDE w:val="0"/>
        <w:autoSpaceDN w:val="0"/>
        <w:adjustRightInd w:val="0"/>
        <w:spacing w:after="0" w:line="240" w:lineRule="auto"/>
        <w:rPr>
          <w:rFonts w:cs="Times New Roman"/>
          <w:szCs w:val="24"/>
        </w:rPr>
      </w:pPr>
      <m:oMathPara>
        <m:oMath>
          <m:r>
            <w:rPr>
              <w:rFonts w:ascii="Cambria Math" w:hAnsi="Cambria Math" w:cs="Times New Roman"/>
              <w:szCs w:val="24"/>
            </w:rPr>
            <m:t xml:space="preserve">Concentration </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mg</m:t>
                  </m:r>
                </m:num>
                <m:den>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3</m:t>
                      </m:r>
                    </m:sup>
                  </m:sSup>
                </m:den>
              </m:f>
            </m:e>
          </m:d>
          <m:r>
            <w:rPr>
              <w:rFonts w:ascii="Cambria Math" w:hAnsi="Cambria Math" w:cs="Times New Roman"/>
              <w:szCs w:val="24"/>
            </w:rPr>
            <m:t>=ppm*molecular wt (</m:t>
          </m:r>
          <m:f>
            <m:fPr>
              <m:ctrlPr>
                <w:rPr>
                  <w:rFonts w:ascii="Cambria Math" w:hAnsi="Cambria Math" w:cs="Times New Roman"/>
                  <w:i/>
                  <w:szCs w:val="24"/>
                </w:rPr>
              </m:ctrlPr>
            </m:fPr>
            <m:num>
              <m:r>
                <w:rPr>
                  <w:rFonts w:ascii="Cambria Math" w:hAnsi="Cambria Math" w:cs="Times New Roman"/>
                  <w:szCs w:val="24"/>
                </w:rPr>
                <m:t>g</m:t>
              </m:r>
            </m:num>
            <m:den>
              <m:r>
                <w:rPr>
                  <w:rFonts w:ascii="Cambria Math" w:hAnsi="Cambria Math" w:cs="Times New Roman"/>
                  <w:szCs w:val="24"/>
                </w:rPr>
                <m:t>mol</m:t>
              </m:r>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 mol</m:t>
              </m:r>
            </m:num>
            <m:den>
              <m:r>
                <w:rPr>
                  <w:rFonts w:ascii="Cambria Math" w:hAnsi="Cambria Math" w:cs="Times New Roman"/>
                  <w:szCs w:val="24"/>
                </w:rPr>
                <m:t xml:space="preserve">24.04 </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3</m:t>
                  </m:r>
                </m:sup>
              </m:sSup>
            </m:den>
          </m:f>
        </m:oMath>
      </m:oMathPara>
    </w:p>
    <w:p w14:paraId="249F4EEA" w14:textId="77777777" w:rsidR="00803ACF" w:rsidRPr="0092265B" w:rsidRDefault="00803ACF" w:rsidP="00803ACF">
      <w:pPr>
        <w:pStyle w:val="MDPI32textnoindent"/>
      </w:pPr>
      <w:r w:rsidRPr="0092265B">
        <w:t>where 1 mol per 24.04 m</w:t>
      </w:r>
      <w:r w:rsidRPr="0092265B">
        <w:rPr>
          <w:vertAlign w:val="superscript"/>
        </w:rPr>
        <w:t>3</w:t>
      </w:r>
      <w:r w:rsidRPr="0092265B">
        <w:t xml:space="preserve"> is the density of gas at 20°C and 0.101 MPa (ρ). Convert ppm to mg/m</w:t>
      </w:r>
      <w:r w:rsidRPr="0092265B">
        <w:rPr>
          <w:vertAlign w:val="superscript"/>
        </w:rPr>
        <w:t>3</w:t>
      </w:r>
      <w:r w:rsidRPr="0092265B">
        <w:t xml:space="preserve"> using the above equation, then calculate the flux as below to get CO</w:t>
      </w:r>
      <w:r w:rsidRPr="0092265B">
        <w:rPr>
          <w:vertAlign w:val="subscript"/>
        </w:rPr>
        <w:t>2</w:t>
      </w:r>
      <w:r w:rsidRPr="0092265B">
        <w:t>-C or N</w:t>
      </w:r>
      <w:r w:rsidRPr="0092265B">
        <w:rPr>
          <w:vertAlign w:val="subscript"/>
        </w:rPr>
        <w:t>2</w:t>
      </w:r>
      <w:r w:rsidRPr="0092265B">
        <w:t>O-N in mg/(m</w:t>
      </w:r>
      <w:r w:rsidRPr="0092265B">
        <w:rPr>
          <w:vertAlign w:val="superscript"/>
        </w:rPr>
        <w:t>2</w:t>
      </w:r>
      <w:r w:rsidRPr="0092265B">
        <w:t>*sec):</w:t>
      </w:r>
    </w:p>
    <w:p w14:paraId="0EA33396" w14:textId="77777777" w:rsidR="00803ACF" w:rsidRPr="0092265B" w:rsidRDefault="00803ACF" w:rsidP="00803ACF">
      <w:pPr>
        <w:spacing w:after="0" w:line="240" w:lineRule="auto"/>
        <w:rPr>
          <w:rFonts w:cs="Times New Roman"/>
          <w:szCs w:val="24"/>
        </w:rPr>
      </w:pPr>
      <m:oMathPara>
        <m:oMath>
          <m:r>
            <w:rPr>
              <w:rFonts w:ascii="Cambria Math" w:hAnsi="Cambria Math" w:cs="Times New Roman"/>
              <w:szCs w:val="24"/>
            </w:rPr>
            <m:t xml:space="preserve">F= </m:t>
          </m:r>
          <m:f>
            <m:fPr>
              <m:ctrlPr>
                <w:rPr>
                  <w:rFonts w:ascii="Cambria Math" w:hAnsi="Cambria Math" w:cs="Times New Roman"/>
                  <w:i/>
                  <w:szCs w:val="24"/>
                </w:rPr>
              </m:ctrlPr>
            </m:fPr>
            <m:num>
              <m:r>
                <w:rPr>
                  <w:rFonts w:ascii="Cambria Math" w:hAnsi="Cambria Math" w:cs="Times New Roman"/>
                  <w:szCs w:val="24"/>
                </w:rPr>
                <m:t>∆C</m:t>
              </m:r>
            </m:num>
            <m:den>
              <m:r>
                <w:rPr>
                  <w:rFonts w:ascii="Cambria Math" w:hAnsi="Cambria Math" w:cs="Times New Roman"/>
                  <w:szCs w:val="24"/>
                </w:rPr>
                <m:t>∆t</m:t>
              </m:r>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V</m:t>
              </m:r>
            </m:num>
            <m:den>
              <m:r>
                <w:rPr>
                  <w:rFonts w:ascii="Cambria Math" w:hAnsi="Cambria Math" w:cs="Times New Roman"/>
                  <w:szCs w:val="24"/>
                </w:rPr>
                <m:t>A</m:t>
              </m:r>
            </m:den>
          </m:f>
          <m:r>
            <w:rPr>
              <w:rFonts w:ascii="Cambria Math" w:hAnsi="Cambria Math" w:cs="Times New Roman"/>
              <w:szCs w:val="24"/>
            </w:rPr>
            <m:t>*α</m:t>
          </m:r>
        </m:oMath>
      </m:oMathPara>
    </w:p>
    <w:p w14:paraId="25FECD65" w14:textId="77777777" w:rsidR="00803ACF" w:rsidRPr="0092265B" w:rsidRDefault="00803ACF" w:rsidP="00803ACF">
      <w:pPr>
        <w:spacing w:after="0" w:line="240" w:lineRule="auto"/>
        <w:rPr>
          <w:rFonts w:ascii="Cambria Math" w:hAnsi="Cambria Math" w:cs="Times New Roman"/>
          <w:szCs w:val="24"/>
          <w:oMath/>
        </w:rPr>
      </w:pPr>
      <m:oMathPara>
        <m:oMath>
          <m:r>
            <w:rPr>
              <w:rFonts w:ascii="Cambria Math" w:hAnsi="Cambria Math" w:cs="Times New Roman"/>
              <w:szCs w:val="24"/>
            </w:rPr>
            <m:t xml:space="preserve">F= </m:t>
          </m:r>
          <m:f>
            <m:fPr>
              <m:ctrlPr>
                <w:rPr>
                  <w:rFonts w:ascii="Cambria Math" w:hAnsi="Cambria Math" w:cs="Times New Roman"/>
                  <w:i/>
                  <w:szCs w:val="24"/>
                </w:rPr>
              </m:ctrlPr>
            </m:fPr>
            <m:num>
              <m:r>
                <w:rPr>
                  <w:rFonts w:ascii="Cambria Math" w:hAnsi="Cambria Math" w:cs="Times New Roman"/>
                  <w:szCs w:val="24"/>
                </w:rPr>
                <m:t>mg</m:t>
              </m:r>
            </m:num>
            <m:den>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3</m:t>
                  </m:r>
                </m:sup>
              </m:sSup>
              <m:r>
                <w:rPr>
                  <w:rFonts w:ascii="Cambria Math" w:hAnsi="Cambria Math" w:cs="Times New Roman"/>
                  <w:szCs w:val="24"/>
                </w:rPr>
                <m:t>sec</m:t>
              </m:r>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3</m:t>
                  </m:r>
                </m:sup>
              </m:sSup>
            </m:num>
            <m:den>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2</m:t>
                  </m:r>
                </m:sup>
              </m:sSup>
            </m:den>
          </m:f>
          <m:r>
            <w:rPr>
              <w:rFonts w:ascii="Cambria Math" w:hAnsi="Cambria Math" w:cs="Times New Roman"/>
              <w:szCs w:val="24"/>
            </w:rPr>
            <m:t>*α</m:t>
          </m:r>
        </m:oMath>
      </m:oMathPara>
    </w:p>
    <w:p w14:paraId="3B1A759B" w14:textId="77777777" w:rsidR="00803ACF" w:rsidRPr="0092265B" w:rsidRDefault="00803ACF" w:rsidP="00803ACF">
      <w:pPr>
        <w:widowControl w:val="0"/>
        <w:autoSpaceDE w:val="0"/>
        <w:autoSpaceDN w:val="0"/>
        <w:adjustRightInd w:val="0"/>
        <w:spacing w:after="0" w:line="240" w:lineRule="auto"/>
        <w:rPr>
          <w:rFonts w:cs="Times New Roman"/>
          <w:szCs w:val="24"/>
        </w:rPr>
      </w:pPr>
      <w:r w:rsidRPr="0092265B">
        <w:rPr>
          <w:rFonts w:cs="Times New Roman"/>
          <w:szCs w:val="24"/>
        </w:rPr>
        <w:t xml:space="preserve">where </w:t>
      </w:r>
      <w:r w:rsidRPr="0092265B">
        <w:rPr>
          <w:rFonts w:cs="Times New Roman"/>
          <w:i/>
          <w:iCs/>
          <w:szCs w:val="24"/>
        </w:rPr>
        <w:t xml:space="preserve">F </w:t>
      </w:r>
      <w:r w:rsidRPr="0092265B">
        <w:rPr>
          <w:rFonts w:cs="Times New Roman"/>
          <w:szCs w:val="24"/>
        </w:rPr>
        <w:t>is the gas production rate (mg m</w:t>
      </w:r>
      <w:r w:rsidRPr="0092265B">
        <w:rPr>
          <w:rFonts w:cs="Times New Roman"/>
          <w:szCs w:val="24"/>
          <w:vertAlign w:val="superscript"/>
        </w:rPr>
        <w:t>−2</w:t>
      </w:r>
      <w:r w:rsidRPr="0092265B">
        <w:rPr>
          <w:rFonts w:cs="Times New Roman"/>
          <w:szCs w:val="24"/>
        </w:rPr>
        <w:t xml:space="preserve"> sec</w:t>
      </w:r>
      <w:r w:rsidRPr="0092265B">
        <w:rPr>
          <w:rFonts w:cs="Times New Roman"/>
          <w:szCs w:val="24"/>
          <w:vertAlign w:val="superscript"/>
        </w:rPr>
        <w:t>−1</w:t>
      </w:r>
      <w:r w:rsidRPr="0092265B">
        <w:rPr>
          <w:rFonts w:cs="Times New Roman"/>
          <w:szCs w:val="24"/>
        </w:rPr>
        <w:t>), Δ</w:t>
      </w:r>
      <w:r w:rsidRPr="0092265B">
        <w:rPr>
          <w:rFonts w:cs="Times New Roman"/>
          <w:i/>
          <w:iCs/>
          <w:szCs w:val="24"/>
        </w:rPr>
        <w:t>C</w:t>
      </w:r>
      <w:r w:rsidRPr="0092265B">
        <w:rPr>
          <w:rFonts w:cs="Times New Roman"/>
          <w:szCs w:val="24"/>
        </w:rPr>
        <w:t>/Δ</w:t>
      </w:r>
      <w:r w:rsidRPr="0092265B">
        <w:rPr>
          <w:rFonts w:cs="Times New Roman"/>
          <w:i/>
          <w:iCs/>
          <w:szCs w:val="24"/>
        </w:rPr>
        <w:t xml:space="preserve">t </w:t>
      </w:r>
      <w:r w:rsidRPr="0092265B">
        <w:rPr>
          <w:rFonts w:cs="Times New Roman"/>
          <w:szCs w:val="24"/>
        </w:rPr>
        <w:t>denotes the increase/decrease of gas concentration in the chamber (mg m</w:t>
      </w:r>
      <w:r w:rsidRPr="0092265B">
        <w:rPr>
          <w:rFonts w:cs="Times New Roman"/>
          <w:szCs w:val="24"/>
          <w:vertAlign w:val="superscript"/>
        </w:rPr>
        <w:t>-3</w:t>
      </w:r>
      <w:r w:rsidRPr="0092265B">
        <w:rPr>
          <w:rFonts w:cs="Times New Roman"/>
          <w:szCs w:val="24"/>
        </w:rPr>
        <w:t xml:space="preserve"> sec</w:t>
      </w:r>
      <w:r w:rsidRPr="0092265B">
        <w:rPr>
          <w:rFonts w:cs="Times New Roman"/>
          <w:szCs w:val="24"/>
          <w:vertAlign w:val="superscript"/>
        </w:rPr>
        <w:t xml:space="preserve">−1 </w:t>
      </w:r>
      <w:r w:rsidRPr="0092265B">
        <w:rPr>
          <w:rFonts w:cs="Times New Roman"/>
          <w:szCs w:val="24"/>
        </w:rPr>
        <w:t xml:space="preserve">), </w:t>
      </w:r>
      <w:r w:rsidRPr="0092265B">
        <w:rPr>
          <w:rFonts w:cs="Times New Roman"/>
          <w:i/>
          <w:iCs/>
          <w:szCs w:val="24"/>
        </w:rPr>
        <w:t xml:space="preserve">V </w:t>
      </w:r>
      <w:r w:rsidRPr="0092265B">
        <w:rPr>
          <w:rFonts w:cs="Times New Roman"/>
          <w:szCs w:val="24"/>
        </w:rPr>
        <w:t>is the chamber volume (in m</w:t>
      </w:r>
      <w:r w:rsidRPr="0092265B">
        <w:rPr>
          <w:rFonts w:cs="Times New Roman"/>
          <w:szCs w:val="24"/>
          <w:vertAlign w:val="superscript"/>
        </w:rPr>
        <w:t>3</w:t>
      </w:r>
      <w:r w:rsidRPr="0092265B">
        <w:rPr>
          <w:rFonts w:cs="Times New Roman"/>
          <w:szCs w:val="24"/>
        </w:rPr>
        <w:t xml:space="preserve">), </w:t>
      </w:r>
      <w:r w:rsidRPr="0092265B">
        <w:rPr>
          <w:rFonts w:cs="Times New Roman"/>
          <w:i/>
          <w:iCs/>
          <w:szCs w:val="24"/>
        </w:rPr>
        <w:t xml:space="preserve">A </w:t>
      </w:r>
      <w:r w:rsidRPr="0092265B">
        <w:rPr>
          <w:rFonts w:cs="Times New Roman"/>
          <w:szCs w:val="24"/>
        </w:rPr>
        <w:t>is the chamber soil surface area (in m</w:t>
      </w:r>
      <w:r w:rsidRPr="0092265B">
        <w:rPr>
          <w:rFonts w:cs="Times New Roman"/>
          <w:szCs w:val="24"/>
          <w:vertAlign w:val="superscript"/>
        </w:rPr>
        <w:t>2</w:t>
      </w:r>
      <w:r w:rsidRPr="0092265B">
        <w:rPr>
          <w:rFonts w:cs="Times New Roman"/>
          <w:szCs w:val="24"/>
        </w:rPr>
        <w:t>), and α is a conversion coefficient (28/44 for N</w:t>
      </w:r>
      <w:r w:rsidRPr="0092265B">
        <w:rPr>
          <w:rFonts w:cs="Times New Roman"/>
          <w:szCs w:val="24"/>
          <w:vertAlign w:val="subscript"/>
        </w:rPr>
        <w:t>2</w:t>
      </w:r>
      <w:r w:rsidRPr="0092265B">
        <w:rPr>
          <w:rFonts w:cs="Times New Roman"/>
          <w:szCs w:val="24"/>
        </w:rPr>
        <w:t>O-N; 12/44 for CO</w:t>
      </w:r>
      <w:r w:rsidRPr="0092265B">
        <w:rPr>
          <w:rFonts w:cs="Times New Roman"/>
          <w:szCs w:val="24"/>
          <w:vertAlign w:val="subscript"/>
        </w:rPr>
        <w:t>2</w:t>
      </w:r>
      <w:r w:rsidRPr="0092265B">
        <w:rPr>
          <w:rFonts w:cs="Times New Roman"/>
          <w:szCs w:val="24"/>
        </w:rPr>
        <w:t xml:space="preserve">-C). </w:t>
      </w:r>
    </w:p>
    <w:p w14:paraId="011E93F4" w14:textId="77777777" w:rsidR="00803ACF" w:rsidRPr="0092265B" w:rsidRDefault="00803ACF" w:rsidP="00803ACF">
      <w:pPr>
        <w:pStyle w:val="MDPI31text"/>
      </w:pPr>
      <w:r w:rsidRPr="0092265B">
        <w:lastRenderedPageBreak/>
        <w:t>Example calculation:   slope*44*(1/24.04)*0.17779*(12/44)*60*60</w:t>
      </w:r>
    </w:p>
    <w:p w14:paraId="0D1EA68D" w14:textId="77777777" w:rsidR="00803ACF" w:rsidRPr="0092265B" w:rsidRDefault="00803ACF" w:rsidP="00803ACF">
      <w:pPr>
        <w:pStyle w:val="MDPI31text"/>
      </w:pPr>
      <w:r w:rsidRPr="0092265B">
        <w:t>molecular weight of gas = 44 (CO2 or N2O)</w:t>
      </w:r>
    </w:p>
    <w:p w14:paraId="6BE81775" w14:textId="77777777" w:rsidR="00803ACF" w:rsidRPr="0092265B" w:rsidRDefault="00803ACF" w:rsidP="00803ACF">
      <w:pPr>
        <w:pStyle w:val="MDPI31text"/>
      </w:pPr>
      <w:r w:rsidRPr="0092265B">
        <w:t>1/24.04 = PAS conversion (see above)</w:t>
      </w:r>
    </w:p>
    <w:p w14:paraId="41D8DD9A" w14:textId="77777777" w:rsidR="00803ACF" w:rsidRPr="0092265B" w:rsidRDefault="00803ACF" w:rsidP="00803ACF">
      <w:pPr>
        <w:pStyle w:val="MDPI31text"/>
      </w:pPr>
      <w:r w:rsidRPr="0092265B">
        <w:t>chamber m3/m2 = 0.17779</w:t>
      </w:r>
    </w:p>
    <w:p w14:paraId="37BA2301" w14:textId="77777777" w:rsidR="00803ACF" w:rsidRPr="0092265B" w:rsidRDefault="00803ACF" w:rsidP="00803ACF">
      <w:pPr>
        <w:pStyle w:val="MDPI31text"/>
      </w:pPr>
      <w:r w:rsidRPr="0092265B">
        <w:t>12/44 = conversion to CO</w:t>
      </w:r>
      <w:r w:rsidRPr="0092265B">
        <w:rPr>
          <w:vertAlign w:val="subscript"/>
        </w:rPr>
        <w:t>2</w:t>
      </w:r>
      <w:r w:rsidRPr="0092265B">
        <w:t xml:space="preserve">-C </w:t>
      </w:r>
    </w:p>
    <w:p w14:paraId="7ADDB0D5" w14:textId="77777777" w:rsidR="00803ACF" w:rsidRPr="0092265B" w:rsidRDefault="00803ACF" w:rsidP="00803ACF">
      <w:pPr>
        <w:pStyle w:val="MDPI31text"/>
      </w:pPr>
      <w:r w:rsidRPr="0092265B">
        <w:t>*60*60 converts from seconds to hour</w:t>
      </w:r>
    </w:p>
    <w:p w14:paraId="25D5C28F" w14:textId="77777777" w:rsidR="00803ACF" w:rsidRPr="0092265B" w:rsidRDefault="00803ACF" w:rsidP="00803ACF">
      <w:pPr>
        <w:pStyle w:val="MDPI22heading2"/>
      </w:pPr>
      <w:r w:rsidRPr="0092265B">
        <w:rPr>
          <w:b/>
        </w:rPr>
        <w:t>Supplement 3.</w:t>
      </w:r>
      <w:r w:rsidRPr="0092265B">
        <w:t xml:space="preserve"> Chloroform-fumigation extraction method.</w:t>
      </w:r>
    </w:p>
    <w:p w14:paraId="1495A013" w14:textId="77777777" w:rsidR="00803ACF" w:rsidRPr="0092265B" w:rsidRDefault="00803ACF" w:rsidP="00803ACF">
      <w:pPr>
        <w:pStyle w:val="MDPI31text"/>
      </w:pPr>
      <w:r w:rsidRPr="0092265B">
        <w:t xml:space="preserve">Following GHG sampling, three random subsamples of soil was collected from the ambient high and low diversity vegetation plots (V1 and V2) for soil microbial biomass (SMB) carbon (C) determination monthly from May to November in 2015. Monthly SMB was also measured in year 2014. Chloroform fumigation-incubation method (Vance et al. 1987, Jenkinson and Powlson 1976) was used to determine SMB. Analysis was done on field-moist soil within several hours from collection. Chloroform fumigation is done to kill and lyse microbial cell membranes in the soil sample. Soils (11-12 grams) for fumigation were placed into 50 ml beakers and put in a vacuum desiccator. 20 ml of chloroform and some boiling chips were added to a beaker and placed in the center of the desiccator.  The dessicator was sealed and evacuated using a vacuum pump for 2-3 minutes causing the chloroform to boil, exposing the samples to chloroform vapor (Alessi et al. 2011). This was followed by release of the vacuum to vent the desiccator. This step was repeated five times, not venting the last time. The desiccator was left under vacuum and stored in a dark box for 5 days before the vacuum was released again. Non-fumigated samples (10-11 grams) were weighted into 50 ml beakers but not fumigated. Chloroform fumigated and non-fumigated (control) soils were extracted with 50 ml of 0.5 M K2SO4. After shaking using a mechanical shaker and settling, the samples were passed through a pre-wetted (with 0.5 M K2SO4) Whatman 1 filter paper. The filtrate was frozen until ready to be determined for total organic carbon (TOC) on the TOC analyzer (TOC-L Shimadzu TOC Analyzer, Shimadzu Corporation). Control blanks containing only 0.5 M K2SO4 were included with every batch of samples. Blanks were subtracted from the data to correct for any background C present in the reagent. The difference in TOC between the chloroform-fumigated and non-fumigated soils is the chloroform-labile C pool (EC), and is proportional to microbial biomass C (Vance et al. 1987, Allison 2008). Moisture-correction was done for each sample to correct for differences in soil water content and to express final results in dry weight equivalents. </w:t>
      </w:r>
    </w:p>
    <w:p w14:paraId="4B2AAE40" w14:textId="77777777" w:rsidR="00803ACF" w:rsidRDefault="00803ACF" w:rsidP="00803ACF">
      <w:pPr>
        <w:pStyle w:val="MDPI52figure"/>
      </w:pPr>
      <w:r>
        <w:object w:dxaOrig="14179" w:dyaOrig="11088" w14:anchorId="14B43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251.55pt" o:ole="" filled="t">
            <v:imagedata r:id="rId8" o:title=""/>
          </v:shape>
          <o:OLEObject Type="Embed" ProgID="Prism7.Document" ShapeID="_x0000_i1025" DrawAspect="Content" ObjectID="_1579114373" r:id="rId9"/>
        </w:object>
      </w:r>
    </w:p>
    <w:p w14:paraId="3F6BB3AD" w14:textId="77777777" w:rsidR="00803ACF" w:rsidRPr="002876AE" w:rsidRDefault="00803ACF" w:rsidP="00803ACF">
      <w:pPr>
        <w:pStyle w:val="MDPI51figurecaption"/>
      </w:pPr>
      <w:r w:rsidRPr="00803ACF">
        <w:rPr>
          <w:b/>
        </w:rPr>
        <w:lastRenderedPageBreak/>
        <w:t>S</w:t>
      </w:r>
      <w:r>
        <w:rPr>
          <w:b/>
        </w:rPr>
        <w:t xml:space="preserve">upplement 4 </w:t>
      </w:r>
      <w:r w:rsidRPr="002876AE">
        <w:rPr>
          <w:b/>
        </w:rPr>
        <w:t xml:space="preserve">Fig. </w:t>
      </w:r>
      <w:r w:rsidRPr="002876AE">
        <w:rPr>
          <w:b/>
        </w:rPr>
        <w:fldChar w:fldCharType="begin"/>
      </w:r>
      <w:r w:rsidRPr="002876AE">
        <w:rPr>
          <w:b/>
        </w:rPr>
        <w:instrText xml:space="preserve"> SEQ Figure \* ARABIC </w:instrText>
      </w:r>
      <w:r w:rsidRPr="002876AE">
        <w:rPr>
          <w:b/>
        </w:rPr>
        <w:fldChar w:fldCharType="separate"/>
      </w:r>
      <w:r w:rsidRPr="002876AE">
        <w:rPr>
          <w:b/>
          <w:noProof/>
        </w:rPr>
        <w:t>1</w:t>
      </w:r>
      <w:r w:rsidRPr="002876AE">
        <w:rPr>
          <w:b/>
        </w:rPr>
        <w:fldChar w:fldCharType="end"/>
      </w:r>
      <w:r w:rsidRPr="002876AE">
        <w:rPr>
          <w:b/>
        </w:rPr>
        <w:t>.</w:t>
      </w:r>
      <w:r w:rsidRPr="002876AE">
        <w:t xml:space="preserve"> Soil NH</w:t>
      </w:r>
      <w:r w:rsidRPr="002876AE">
        <w:rPr>
          <w:vertAlign w:val="subscript"/>
        </w:rPr>
        <w:t>4</w:t>
      </w:r>
      <w:r w:rsidRPr="002876AE">
        <w:rPr>
          <w:vertAlign w:val="superscript"/>
        </w:rPr>
        <w:t>+</w:t>
      </w:r>
      <w:r w:rsidRPr="002876AE">
        <w:t xml:space="preserve"> and NO</w:t>
      </w:r>
      <w:r w:rsidRPr="002876AE">
        <w:rPr>
          <w:vertAlign w:val="subscript"/>
        </w:rPr>
        <w:t>3</w:t>
      </w:r>
      <w:r w:rsidRPr="002876AE">
        <w:rPr>
          <w:vertAlign w:val="superscript"/>
        </w:rPr>
        <w:t>-</w:t>
      </w:r>
      <w:r w:rsidRPr="002876AE">
        <w:rPr>
          <w:vertAlign w:val="subscript"/>
        </w:rPr>
        <w:t xml:space="preserve"> </w:t>
      </w:r>
      <w:r w:rsidRPr="002876AE">
        <w:t xml:space="preserve">concentrations </w:t>
      </w:r>
      <w:r>
        <w:t>averaged across three sampling dates (</w:t>
      </w:r>
      <w:r w:rsidRPr="002876AE">
        <w:t>June 9, July 28, and November 2, 2016</w:t>
      </w:r>
      <w:r>
        <w:t>)</w:t>
      </w:r>
      <w:r w:rsidRPr="002876AE">
        <w:t>. VL= vegetation low diversity, VH= vegetation high diversity, RR= enhanced rainfall+runoff, SM= SorbtiveMedia</w:t>
      </w:r>
      <w:r w:rsidRPr="00736E0E">
        <w:rPr>
          <w:vertAlign w:val="superscript"/>
        </w:rPr>
        <w:t>TM</w:t>
      </w:r>
      <w:r>
        <w:t xml:space="preserve">. </w:t>
      </w:r>
    </w:p>
    <w:p w14:paraId="17153691" w14:textId="77777777" w:rsidR="00803ACF" w:rsidRPr="00374BDE" w:rsidRDefault="00803ACF" w:rsidP="00803ACF">
      <w:pPr>
        <w:pStyle w:val="MDPI22heading2"/>
      </w:pPr>
      <w:r>
        <w:rPr>
          <w:b/>
        </w:rPr>
        <w:t xml:space="preserve">Supplement 5. </w:t>
      </w:r>
      <w:r w:rsidRPr="00671C40">
        <w:t>E</w:t>
      </w:r>
      <w:r>
        <w:t xml:space="preserve">stimation of </w:t>
      </w:r>
      <w:r w:rsidRPr="00374BDE">
        <w:t>carbon and nitrogen stocks in soil</w:t>
      </w:r>
      <w:r>
        <w:t xml:space="preserve"> media layers, microbial biomass </w:t>
      </w:r>
      <w:r w:rsidRPr="00374BDE">
        <w:t>and plants.</w:t>
      </w:r>
    </w:p>
    <w:p w14:paraId="23DB191E" w14:textId="77777777" w:rsidR="00803ACF" w:rsidRPr="00977CCF" w:rsidRDefault="00803ACF" w:rsidP="00803ACF">
      <w:pPr>
        <w:pStyle w:val="MDPI23heading3"/>
      </w:pPr>
      <w:r w:rsidRPr="00977CCF">
        <w:t>Soil</w:t>
      </w:r>
    </w:p>
    <w:p w14:paraId="275F4F78" w14:textId="77777777" w:rsidR="00803ACF" w:rsidRPr="00977CCF" w:rsidRDefault="00803ACF" w:rsidP="00803ACF">
      <w:pPr>
        <w:pStyle w:val="MDPI31text"/>
      </w:pPr>
      <w:r w:rsidRPr="00977CCF">
        <w:t>Total volume of upper 30 cm soil media and lower 30 cm soil media = 1132674 cm</w:t>
      </w:r>
      <w:r w:rsidRPr="00977CCF">
        <w:rPr>
          <w:vertAlign w:val="superscript"/>
        </w:rPr>
        <w:t>3</w:t>
      </w:r>
    </w:p>
    <w:p w14:paraId="0E787195" w14:textId="77777777" w:rsidR="00803ACF" w:rsidRPr="00B5653B" w:rsidRDefault="00803ACF" w:rsidP="00803ACF">
      <w:pPr>
        <w:pStyle w:val="MDPI31text"/>
      </w:pPr>
      <w:r w:rsidRPr="00977CCF">
        <w:t>Total weight of upper 30 cm soil media = 1347.882 kg, given the bulk density 1.19 g cm</w:t>
      </w:r>
      <w:r w:rsidRPr="00977CCF">
        <w:rPr>
          <w:vertAlign w:val="superscript"/>
        </w:rPr>
        <w:t>-3</w:t>
      </w:r>
      <w:r>
        <w:rPr>
          <w:vertAlign w:val="superscript"/>
        </w:rPr>
        <w:t xml:space="preserve"> </w:t>
      </w:r>
      <w:r>
        <w:t>(bulk density here is average bulk density and empirically derived from soil measurements taken on two separate occasions)</w:t>
      </w:r>
    </w:p>
    <w:p w14:paraId="3DAA2371" w14:textId="77777777" w:rsidR="00803ACF" w:rsidRPr="00D449EE" w:rsidRDefault="00803ACF" w:rsidP="00803ACF">
      <w:pPr>
        <w:pStyle w:val="MDPI31text"/>
      </w:pPr>
      <w:r w:rsidRPr="00977CCF">
        <w:t>Total weight of lower 30 cm soil media = 1800.951 kg, given the bulk density 1.</w:t>
      </w:r>
      <w:r>
        <w:t>59</w:t>
      </w:r>
      <w:r w:rsidRPr="00977CCF">
        <w:t xml:space="preserve"> g cm</w:t>
      </w:r>
      <w:r w:rsidRPr="00977CCF">
        <w:rPr>
          <w:vertAlign w:val="superscript"/>
        </w:rPr>
        <w:t>-3</w:t>
      </w:r>
      <w:r>
        <w:rPr>
          <w:vertAlign w:val="superscript"/>
        </w:rPr>
        <w:t xml:space="preserve"> </w:t>
      </w:r>
      <w:r>
        <w:t>(bulk density here is taken from USDA NRCS laboratory data</w:t>
      </w:r>
      <w:r>
        <w:rPr>
          <w:rStyle w:val="FootnoteReference"/>
          <w:szCs w:val="24"/>
        </w:rPr>
        <w:footnoteReference w:id="1"/>
      </w:r>
      <w:r>
        <w:t>)</w:t>
      </w:r>
    </w:p>
    <w:p w14:paraId="431E7660" w14:textId="77777777" w:rsidR="00803ACF" w:rsidRPr="00977CCF" w:rsidRDefault="00803ACF" w:rsidP="00803ACF">
      <w:pPr>
        <w:pStyle w:val="MDPI23heading3"/>
      </w:pPr>
      <w:r w:rsidRPr="00977CCF">
        <w:t>Plants</w:t>
      </w:r>
    </w:p>
    <w:p w14:paraId="02B00FEE" w14:textId="77777777" w:rsidR="00803ACF" w:rsidRPr="00A46B44" w:rsidRDefault="00803ACF" w:rsidP="00803ACF">
      <w:pPr>
        <w:pStyle w:val="MDPI31text"/>
      </w:pPr>
      <w:r w:rsidRPr="00A46B44">
        <w:t>Total cell area = 3.72 m</w:t>
      </w:r>
      <w:r w:rsidRPr="00A46B44">
        <w:rPr>
          <w:vertAlign w:val="superscript"/>
        </w:rPr>
        <w:t>2</w:t>
      </w:r>
    </w:p>
    <w:p w14:paraId="375FC2C7" w14:textId="77777777" w:rsidR="00803ACF" w:rsidRPr="00A46B44" w:rsidRDefault="00803ACF" w:rsidP="00803ACF">
      <w:pPr>
        <w:pStyle w:val="MDPI31text"/>
      </w:pPr>
      <w:r w:rsidRPr="001175CD">
        <w:rPr>
          <w:i/>
        </w:rPr>
        <w:t>Panicum</w:t>
      </w:r>
      <w:r>
        <w:t xml:space="preserve"> (s</w:t>
      </w:r>
      <w:r w:rsidRPr="00A46B44">
        <w:t>witchgrass</w:t>
      </w:r>
      <w:r>
        <w:t>)</w:t>
      </w:r>
      <w:r w:rsidRPr="00A46B44">
        <w:t xml:space="preserve"> coverage of cell area:  55% of 3.72 = 2.046 m</w:t>
      </w:r>
      <w:r w:rsidRPr="00A46B44">
        <w:rPr>
          <w:vertAlign w:val="superscript"/>
        </w:rPr>
        <w:t>2</w:t>
      </w:r>
    </w:p>
    <w:p w14:paraId="6FC0114D" w14:textId="77777777" w:rsidR="00803ACF" w:rsidRPr="00A46B44" w:rsidRDefault="00803ACF" w:rsidP="00803ACF">
      <w:pPr>
        <w:pStyle w:val="MDPI31text"/>
      </w:pPr>
      <w:r w:rsidRPr="001175CD">
        <w:rPr>
          <w:i/>
        </w:rPr>
        <w:t>Hemerocallis</w:t>
      </w:r>
      <w:r>
        <w:t xml:space="preserve"> (d</w:t>
      </w:r>
      <w:r w:rsidRPr="00A46B44">
        <w:t>aylily</w:t>
      </w:r>
      <w:r>
        <w:t>)</w:t>
      </w:r>
      <w:r w:rsidRPr="00A46B44">
        <w:t xml:space="preserve"> coverage of cell area: 45% of 3.72 = 1.674 m</w:t>
      </w:r>
      <w:r w:rsidRPr="00A46B44">
        <w:rPr>
          <w:vertAlign w:val="superscript"/>
        </w:rPr>
        <w:t>2</w:t>
      </w:r>
      <w:r w:rsidRPr="00A46B44">
        <w:t xml:space="preserve"> </w:t>
      </w:r>
    </w:p>
    <w:p w14:paraId="3664B2FB" w14:textId="77777777" w:rsidR="00803ACF" w:rsidRPr="00A46B44" w:rsidRDefault="00803ACF" w:rsidP="00803ACF">
      <w:pPr>
        <w:pStyle w:val="MDPI31text"/>
      </w:pPr>
      <w:r w:rsidRPr="00A46B44">
        <w:t xml:space="preserve">Total biomass of </w:t>
      </w:r>
      <w:r w:rsidRPr="001175CD">
        <w:rPr>
          <w:i/>
        </w:rPr>
        <w:t>Panicum</w:t>
      </w:r>
      <w:r>
        <w:t xml:space="preserve"> per year</w:t>
      </w:r>
      <w:r w:rsidRPr="00A46B44">
        <w:t xml:space="preserve"> = 10 kg m</w:t>
      </w:r>
      <w:r w:rsidRPr="00A46B44">
        <w:rPr>
          <w:vertAlign w:val="superscript"/>
        </w:rPr>
        <w:t xml:space="preserve">-2 </w:t>
      </w:r>
      <w:r w:rsidRPr="00A46B44">
        <w:t>(extrapolated from Heaton et al., 2004)</w:t>
      </w:r>
    </w:p>
    <w:p w14:paraId="50331256" w14:textId="77777777" w:rsidR="00803ACF" w:rsidRPr="00A46B44" w:rsidRDefault="00803ACF" w:rsidP="00803ACF">
      <w:pPr>
        <w:pStyle w:val="MDPI31text"/>
      </w:pPr>
      <w:r w:rsidRPr="00A46B44">
        <w:t xml:space="preserve">Total biomass of </w:t>
      </w:r>
      <w:r w:rsidRPr="001175CD">
        <w:rPr>
          <w:i/>
        </w:rPr>
        <w:t>Hemerocallis</w:t>
      </w:r>
      <w:r>
        <w:t xml:space="preserve"> per year</w:t>
      </w:r>
      <w:r w:rsidRPr="00A46B44">
        <w:t xml:space="preserve"> = 5 kg m</w:t>
      </w:r>
      <w:r w:rsidRPr="00A46B44">
        <w:rPr>
          <w:vertAlign w:val="superscript"/>
        </w:rPr>
        <w:t>-2</w:t>
      </w:r>
      <w:r w:rsidRPr="00A46B44">
        <w:t xml:space="preserve"> (assumed to be half of </w:t>
      </w:r>
      <w:r w:rsidRPr="001175CD">
        <w:rPr>
          <w:i/>
        </w:rPr>
        <w:t>Panicum</w:t>
      </w:r>
      <w:r w:rsidRPr="00A46B44">
        <w:t xml:space="preserve"> as their height is measured to be half as well)</w:t>
      </w:r>
    </w:p>
    <w:p w14:paraId="52534E33" w14:textId="77777777" w:rsidR="00803ACF" w:rsidRPr="00A46B44" w:rsidRDefault="00803ACF" w:rsidP="00803ACF">
      <w:pPr>
        <w:pStyle w:val="MDPI31text"/>
      </w:pPr>
      <w:r w:rsidRPr="00A46B44">
        <w:t xml:space="preserve">Total biomass of </w:t>
      </w:r>
      <w:r w:rsidRPr="001175CD">
        <w:rPr>
          <w:i/>
        </w:rPr>
        <w:t>Panicum</w:t>
      </w:r>
      <w:r w:rsidRPr="00A46B44">
        <w:t xml:space="preserve"> at plot coverage level = 20.46 kg</w:t>
      </w:r>
      <w:r>
        <w:t xml:space="preserve"> (2.046 m</w:t>
      </w:r>
      <w:r w:rsidRPr="00BA3574">
        <w:rPr>
          <w:vertAlign w:val="superscript"/>
        </w:rPr>
        <w:t>-2</w:t>
      </w:r>
      <w:r>
        <w:t xml:space="preserve"> x 10 kg m</w:t>
      </w:r>
      <w:r w:rsidRPr="00BA3574">
        <w:rPr>
          <w:vertAlign w:val="superscript"/>
        </w:rPr>
        <w:t>-2</w:t>
      </w:r>
      <w:r>
        <w:t>)</w:t>
      </w:r>
    </w:p>
    <w:p w14:paraId="60EBD603" w14:textId="77777777" w:rsidR="00803ACF" w:rsidRPr="00A46B44" w:rsidRDefault="00803ACF" w:rsidP="00803ACF">
      <w:pPr>
        <w:pStyle w:val="MDPI31text"/>
      </w:pPr>
      <w:r w:rsidRPr="00A46B44">
        <w:t xml:space="preserve">Total biomass of </w:t>
      </w:r>
      <w:r w:rsidRPr="001175CD">
        <w:rPr>
          <w:i/>
        </w:rPr>
        <w:t>Hemerocallis</w:t>
      </w:r>
      <w:r w:rsidRPr="00A46B44">
        <w:t xml:space="preserve"> at plot coverage level = 8.37 kg</w:t>
      </w:r>
      <w:r>
        <w:t xml:space="preserve"> (1.674 m</w:t>
      </w:r>
      <w:r w:rsidRPr="00BA3574">
        <w:rPr>
          <w:vertAlign w:val="superscript"/>
        </w:rPr>
        <w:t>-2</w:t>
      </w:r>
      <w:r>
        <w:t xml:space="preserve"> x 5 kg m</w:t>
      </w:r>
      <w:r w:rsidRPr="00BA3574">
        <w:rPr>
          <w:vertAlign w:val="superscript"/>
        </w:rPr>
        <w:t>-2</w:t>
      </w:r>
      <w:r>
        <w:t>)</w:t>
      </w:r>
    </w:p>
    <w:p w14:paraId="527E28F9" w14:textId="77777777" w:rsidR="00803ACF" w:rsidRPr="00BF38CE" w:rsidRDefault="00803ACF" w:rsidP="00803ACF">
      <w:pPr>
        <w:pStyle w:val="MDPI31text"/>
      </w:pPr>
      <w:r>
        <w:t xml:space="preserve">Average </w:t>
      </w:r>
      <w:r w:rsidRPr="001175CD">
        <w:rPr>
          <w:i/>
        </w:rPr>
        <w:t>Panicum</w:t>
      </w:r>
      <w:r>
        <w:t xml:space="preserve"> C &amp; N concentration: </w:t>
      </w:r>
      <w:r w:rsidRPr="00BF38CE">
        <w:t>453.5</w:t>
      </w:r>
      <w:r>
        <w:t xml:space="preserve"> and 8.625</w:t>
      </w:r>
      <w:r w:rsidRPr="00BF38CE">
        <w:t xml:space="preserve"> g kg</w:t>
      </w:r>
      <w:r w:rsidRPr="00BF38CE">
        <w:rPr>
          <w:vertAlign w:val="superscript"/>
        </w:rPr>
        <w:t>-1</w:t>
      </w:r>
      <w:r w:rsidRPr="00BF38CE">
        <w:t xml:space="preserve"> dry plant</w:t>
      </w:r>
    </w:p>
    <w:p w14:paraId="4CF6CA46" w14:textId="77777777" w:rsidR="00803ACF" w:rsidRDefault="00803ACF" w:rsidP="00803ACF">
      <w:pPr>
        <w:pStyle w:val="MDPI31text"/>
      </w:pPr>
      <w:r>
        <w:t xml:space="preserve">Average </w:t>
      </w:r>
      <w:r w:rsidRPr="001175CD">
        <w:rPr>
          <w:i/>
        </w:rPr>
        <w:t>Hemerocallis</w:t>
      </w:r>
      <w:r>
        <w:t xml:space="preserve"> C &amp; N concentration: 447 and 17.18 </w:t>
      </w:r>
      <w:r w:rsidRPr="00BF38CE">
        <w:t>g kg</w:t>
      </w:r>
      <w:r w:rsidRPr="00BF38CE">
        <w:rPr>
          <w:vertAlign w:val="superscript"/>
        </w:rPr>
        <w:t>-1</w:t>
      </w:r>
      <w:r w:rsidRPr="00BF38CE">
        <w:t xml:space="preserve"> dry plant</w:t>
      </w:r>
    </w:p>
    <w:p w14:paraId="32BAB5E6" w14:textId="77777777" w:rsidR="00803ACF" w:rsidRDefault="00803ACF" w:rsidP="00803ACF">
      <w:pPr>
        <w:pStyle w:val="MDPI23heading3"/>
      </w:pPr>
      <w:r w:rsidRPr="009168A9">
        <w:t>Loss from gas fluxes</w:t>
      </w:r>
    </w:p>
    <w:p w14:paraId="3FE1038F" w14:textId="77777777" w:rsidR="00803ACF" w:rsidRPr="00445D15" w:rsidRDefault="00803ACF" w:rsidP="00803ACF">
      <w:pPr>
        <w:pStyle w:val="MDPI32textnoindent"/>
      </w:pPr>
      <w:r w:rsidRPr="00445D15">
        <w:t>CO</w:t>
      </w:r>
      <w:r w:rsidRPr="00445D15">
        <w:rPr>
          <w:vertAlign w:val="subscript"/>
        </w:rPr>
        <w:t>2</w:t>
      </w:r>
      <w:r>
        <w:rPr>
          <w:vertAlign w:val="subscript"/>
        </w:rPr>
        <w:t xml:space="preserve"> </w:t>
      </w:r>
      <w:r w:rsidRPr="00445D15">
        <w:t>flux:</w:t>
      </w:r>
    </w:p>
    <w:p w14:paraId="365257F8" w14:textId="77777777" w:rsidR="00803ACF" w:rsidRPr="00445D15" w:rsidRDefault="00803ACF" w:rsidP="00803ACF">
      <w:pPr>
        <w:pStyle w:val="MDPI31text"/>
        <w:rPr>
          <w:vertAlign w:val="superscript"/>
        </w:rPr>
      </w:pPr>
      <w:r w:rsidRPr="00445D15">
        <w:t>Average flux is 194±7 mg m</w:t>
      </w:r>
      <w:r w:rsidRPr="00445D15">
        <w:rPr>
          <w:vertAlign w:val="superscript"/>
        </w:rPr>
        <w:t>2</w:t>
      </w:r>
      <w:r w:rsidRPr="00445D15">
        <w:t xml:space="preserve"> hr</w:t>
      </w:r>
      <w:r w:rsidRPr="00445D15">
        <w:rPr>
          <w:vertAlign w:val="superscript"/>
        </w:rPr>
        <w:t>-1</w:t>
      </w:r>
    </w:p>
    <w:p w14:paraId="1005A8D4" w14:textId="77777777" w:rsidR="00803ACF" w:rsidRPr="00445D15" w:rsidRDefault="00803ACF" w:rsidP="00803ACF">
      <w:pPr>
        <w:pStyle w:val="MDPI31text"/>
      </w:pPr>
      <w:r w:rsidRPr="00445D15">
        <w:t xml:space="preserve">Average loss of </w:t>
      </w:r>
      <w:r>
        <w:t xml:space="preserve">C from </w:t>
      </w:r>
      <w:r w:rsidRPr="00445D15">
        <w:t>CO</w:t>
      </w:r>
      <w:r w:rsidRPr="00445D15">
        <w:rPr>
          <w:vertAlign w:val="subscript"/>
        </w:rPr>
        <w:t>2</w:t>
      </w:r>
      <w:r w:rsidRPr="00445D15">
        <w:t xml:space="preserve"> </w:t>
      </w:r>
      <w:r>
        <w:t xml:space="preserve">flux </w:t>
      </w:r>
      <w:r w:rsidRPr="00445D15">
        <w:t>at plot level of 3.72 m</w:t>
      </w:r>
      <w:r w:rsidRPr="00AE24BB">
        <w:rPr>
          <w:vertAlign w:val="superscript"/>
        </w:rPr>
        <w:t>2</w:t>
      </w:r>
      <w:r w:rsidRPr="00445D15">
        <w:t xml:space="preserve"> per day = 17.32 g</w:t>
      </w:r>
    </w:p>
    <w:p w14:paraId="442A776D" w14:textId="77777777" w:rsidR="00803ACF" w:rsidRPr="00445D15" w:rsidRDefault="00803ACF" w:rsidP="00803ACF">
      <w:pPr>
        <w:pStyle w:val="MDPI32textnoindent"/>
      </w:pPr>
      <w:r w:rsidRPr="00445D15">
        <w:t>N</w:t>
      </w:r>
      <w:r w:rsidRPr="00445D15">
        <w:rPr>
          <w:vertAlign w:val="subscript"/>
        </w:rPr>
        <w:t>2</w:t>
      </w:r>
      <w:r w:rsidRPr="00445D15">
        <w:t>O flux:</w:t>
      </w:r>
    </w:p>
    <w:p w14:paraId="2C346318" w14:textId="77777777" w:rsidR="00803ACF" w:rsidRPr="00445D15" w:rsidRDefault="00803ACF" w:rsidP="00803ACF">
      <w:pPr>
        <w:pStyle w:val="MDPI31text"/>
        <w:rPr>
          <w:vertAlign w:val="superscript"/>
        </w:rPr>
      </w:pPr>
      <w:r w:rsidRPr="00445D15">
        <w:t>Average flux is 0.01±0.02 mg m</w:t>
      </w:r>
      <w:r w:rsidRPr="00445D15">
        <w:rPr>
          <w:vertAlign w:val="superscript"/>
        </w:rPr>
        <w:t>2</w:t>
      </w:r>
      <w:r w:rsidRPr="00445D15">
        <w:t xml:space="preserve"> hr</w:t>
      </w:r>
      <w:r w:rsidRPr="00445D15">
        <w:rPr>
          <w:vertAlign w:val="superscript"/>
        </w:rPr>
        <w:t>-1</w:t>
      </w:r>
    </w:p>
    <w:p w14:paraId="70CA6908" w14:textId="77777777" w:rsidR="00803ACF" w:rsidRPr="00445D15" w:rsidRDefault="00803ACF" w:rsidP="00803ACF">
      <w:pPr>
        <w:pStyle w:val="MDPI31text"/>
      </w:pPr>
      <w:r w:rsidRPr="00445D15">
        <w:t xml:space="preserve">Average loss of </w:t>
      </w:r>
      <w:r>
        <w:t>N from N</w:t>
      </w:r>
      <w:r w:rsidRPr="00445D15">
        <w:rPr>
          <w:vertAlign w:val="subscript"/>
        </w:rPr>
        <w:t>2</w:t>
      </w:r>
      <w:r>
        <w:t xml:space="preserve">O flux </w:t>
      </w:r>
      <w:r w:rsidRPr="00445D15">
        <w:t>at plot level per day = 0.893 mg</w:t>
      </w:r>
    </w:p>
    <w:p w14:paraId="202C4587" w14:textId="77777777" w:rsidR="00803ACF" w:rsidRPr="00F32E70" w:rsidRDefault="00803ACF" w:rsidP="00803ACF">
      <w:pPr>
        <w:pStyle w:val="MDPI22heading2"/>
        <w:rPr>
          <w:b/>
          <w:szCs w:val="24"/>
        </w:rPr>
      </w:pPr>
      <w:r>
        <w:rPr>
          <w:b/>
          <w:szCs w:val="24"/>
        </w:rPr>
        <w:t xml:space="preserve">Supplement 6. </w:t>
      </w:r>
      <w:r>
        <w:t>Soil C and N content (</w:t>
      </w:r>
      <w:r w:rsidRPr="00A54CAA">
        <w:rPr>
          <w:szCs w:val="24"/>
        </w:rPr>
        <w:t>g kg</w:t>
      </w:r>
      <w:r w:rsidRPr="00A54CAA">
        <w:rPr>
          <w:szCs w:val="24"/>
          <w:vertAlign w:val="superscript"/>
        </w:rPr>
        <w:t xml:space="preserve">-1 </w:t>
      </w:r>
      <w:r>
        <w:rPr>
          <w:szCs w:val="24"/>
        </w:rPr>
        <w:t>dry soil</w:t>
      </w:r>
      <w:r>
        <w:t>) and CN</w:t>
      </w:r>
      <w:r w:rsidRPr="002A40FC">
        <w:t xml:space="preserve"> ratio</w:t>
      </w:r>
      <w:r>
        <w:t xml:space="preserve"> measured from the top 10 cm</w:t>
      </w:r>
      <w:r w:rsidRPr="002A40FC">
        <w:t xml:space="preserve"> of</w:t>
      </w:r>
      <w:r>
        <w:t xml:space="preserve"> the bioretention soil media</w:t>
      </w:r>
      <w:r w:rsidRPr="002A40FC">
        <w:t xml:space="preserve"> in year 2014 and 2016. </w:t>
      </w:r>
    </w:p>
    <w:tbl>
      <w:tblPr>
        <w:tblStyle w:val="Mdeck5tablebodythreelines"/>
        <w:tblW w:w="7980" w:type="dxa"/>
        <w:tblLook w:val="04A0" w:firstRow="1" w:lastRow="0" w:firstColumn="1" w:lastColumn="0" w:noHBand="0" w:noVBand="1"/>
      </w:tblPr>
      <w:tblGrid>
        <w:gridCol w:w="1725"/>
        <w:gridCol w:w="675"/>
        <w:gridCol w:w="927"/>
        <w:gridCol w:w="733"/>
        <w:gridCol w:w="1000"/>
        <w:gridCol w:w="1018"/>
        <w:gridCol w:w="842"/>
        <w:gridCol w:w="1060"/>
      </w:tblGrid>
      <w:tr w:rsidR="00803ACF" w:rsidRPr="00803ACF" w14:paraId="7AA946ED" w14:textId="77777777" w:rsidTr="00803ACF">
        <w:trPr>
          <w:cnfStyle w:val="100000000000" w:firstRow="1" w:lastRow="0" w:firstColumn="0" w:lastColumn="0" w:oddVBand="0" w:evenVBand="0" w:oddHBand="0" w:evenHBand="0" w:firstRowFirstColumn="0" w:firstRowLastColumn="0" w:lastRowFirstColumn="0" w:lastRowLastColumn="0"/>
          <w:trHeight w:val="300"/>
        </w:trPr>
        <w:tc>
          <w:tcPr>
            <w:tcW w:w="1725" w:type="dxa"/>
            <w:noWrap/>
            <w:hideMark/>
          </w:tcPr>
          <w:p w14:paraId="5D741BFD" w14:textId="77777777" w:rsidR="00803ACF" w:rsidRPr="00803ACF" w:rsidRDefault="00803ACF" w:rsidP="00803ACF">
            <w:pPr>
              <w:pStyle w:val="MDPI42tablebody"/>
              <w:spacing w:line="240" w:lineRule="auto"/>
              <w:rPr>
                <w:b/>
                <w:sz w:val="20"/>
              </w:rPr>
            </w:pPr>
            <w:r w:rsidRPr="00803ACF">
              <w:rPr>
                <w:b/>
                <w:sz w:val="20"/>
              </w:rPr>
              <w:t> </w:t>
            </w:r>
          </w:p>
        </w:tc>
        <w:tc>
          <w:tcPr>
            <w:tcW w:w="675" w:type="dxa"/>
            <w:noWrap/>
            <w:hideMark/>
          </w:tcPr>
          <w:p w14:paraId="4A62B1D8" w14:textId="77777777" w:rsidR="00803ACF" w:rsidRPr="00803ACF" w:rsidRDefault="00803ACF" w:rsidP="00803ACF">
            <w:pPr>
              <w:pStyle w:val="MDPI42tablebody"/>
              <w:spacing w:line="240" w:lineRule="auto"/>
              <w:rPr>
                <w:b/>
                <w:sz w:val="20"/>
              </w:rPr>
            </w:pPr>
            <w:r w:rsidRPr="00803ACF">
              <w:rPr>
                <w:b/>
                <w:sz w:val="20"/>
              </w:rPr>
              <w:t> </w:t>
            </w:r>
          </w:p>
        </w:tc>
        <w:tc>
          <w:tcPr>
            <w:tcW w:w="1660" w:type="dxa"/>
            <w:gridSpan w:val="2"/>
            <w:noWrap/>
            <w:hideMark/>
          </w:tcPr>
          <w:p w14:paraId="474D8BC0" w14:textId="77777777" w:rsidR="00803ACF" w:rsidRPr="00803ACF" w:rsidRDefault="00803ACF" w:rsidP="00803ACF">
            <w:pPr>
              <w:pStyle w:val="MDPI42tablebody"/>
              <w:spacing w:line="240" w:lineRule="auto"/>
              <w:rPr>
                <w:b/>
                <w:sz w:val="20"/>
              </w:rPr>
            </w:pPr>
            <w:r w:rsidRPr="00803ACF">
              <w:rPr>
                <w:b/>
                <w:sz w:val="20"/>
              </w:rPr>
              <w:t>2014</w:t>
            </w:r>
          </w:p>
        </w:tc>
        <w:tc>
          <w:tcPr>
            <w:tcW w:w="1000" w:type="dxa"/>
            <w:noWrap/>
            <w:hideMark/>
          </w:tcPr>
          <w:p w14:paraId="04F72E41" w14:textId="77777777" w:rsidR="00803ACF" w:rsidRPr="00803ACF" w:rsidRDefault="00803ACF" w:rsidP="00803ACF">
            <w:pPr>
              <w:pStyle w:val="MDPI42tablebody"/>
              <w:spacing w:line="240" w:lineRule="auto"/>
              <w:rPr>
                <w:b/>
                <w:sz w:val="20"/>
              </w:rPr>
            </w:pPr>
            <w:r w:rsidRPr="00803ACF">
              <w:rPr>
                <w:b/>
                <w:sz w:val="20"/>
              </w:rPr>
              <w:t> </w:t>
            </w:r>
          </w:p>
        </w:tc>
        <w:tc>
          <w:tcPr>
            <w:tcW w:w="1860" w:type="dxa"/>
            <w:gridSpan w:val="2"/>
            <w:noWrap/>
            <w:hideMark/>
          </w:tcPr>
          <w:p w14:paraId="19B61D80" w14:textId="77777777" w:rsidR="00803ACF" w:rsidRPr="00803ACF" w:rsidRDefault="00803ACF" w:rsidP="00803ACF">
            <w:pPr>
              <w:pStyle w:val="MDPI42tablebody"/>
              <w:spacing w:line="240" w:lineRule="auto"/>
              <w:rPr>
                <w:b/>
                <w:sz w:val="20"/>
              </w:rPr>
            </w:pPr>
            <w:r w:rsidRPr="00803ACF">
              <w:rPr>
                <w:b/>
                <w:sz w:val="20"/>
              </w:rPr>
              <w:t>2016</w:t>
            </w:r>
          </w:p>
        </w:tc>
        <w:tc>
          <w:tcPr>
            <w:tcW w:w="1060" w:type="dxa"/>
            <w:noWrap/>
            <w:hideMark/>
          </w:tcPr>
          <w:p w14:paraId="7A967F94" w14:textId="77777777" w:rsidR="00803ACF" w:rsidRPr="00803ACF" w:rsidRDefault="00803ACF" w:rsidP="00803ACF">
            <w:pPr>
              <w:pStyle w:val="MDPI42tablebody"/>
              <w:spacing w:line="240" w:lineRule="auto"/>
              <w:rPr>
                <w:b/>
                <w:sz w:val="20"/>
              </w:rPr>
            </w:pPr>
            <w:r w:rsidRPr="00803ACF">
              <w:rPr>
                <w:b/>
                <w:sz w:val="20"/>
              </w:rPr>
              <w:t> </w:t>
            </w:r>
          </w:p>
        </w:tc>
      </w:tr>
      <w:tr w:rsidR="00803ACF" w:rsidRPr="00803ACF" w14:paraId="25E5A8CA" w14:textId="77777777" w:rsidTr="00803ACF">
        <w:trPr>
          <w:trHeight w:val="300"/>
        </w:trPr>
        <w:tc>
          <w:tcPr>
            <w:tcW w:w="1725" w:type="dxa"/>
            <w:noWrap/>
            <w:hideMark/>
          </w:tcPr>
          <w:p w14:paraId="4B12DD2B" w14:textId="77777777" w:rsidR="00803ACF" w:rsidRPr="00803ACF" w:rsidRDefault="00803ACF" w:rsidP="00803ACF">
            <w:pPr>
              <w:pStyle w:val="MDPI42tablebody"/>
              <w:spacing w:line="240" w:lineRule="auto"/>
            </w:pPr>
            <w:r w:rsidRPr="00803ACF">
              <w:rPr>
                <w:vertAlign w:val="superscript"/>
              </w:rPr>
              <w:t>*</w:t>
            </w:r>
            <w:r w:rsidRPr="00803ACF">
              <w:t>Trt</w:t>
            </w:r>
          </w:p>
        </w:tc>
        <w:tc>
          <w:tcPr>
            <w:tcW w:w="675" w:type="dxa"/>
            <w:noWrap/>
            <w:hideMark/>
          </w:tcPr>
          <w:p w14:paraId="2DBBAA31" w14:textId="77777777" w:rsidR="00803ACF" w:rsidRPr="00803ACF" w:rsidRDefault="00803ACF" w:rsidP="00803ACF">
            <w:pPr>
              <w:pStyle w:val="MDPI42tablebody"/>
              <w:spacing w:line="240" w:lineRule="auto"/>
            </w:pPr>
            <w:r w:rsidRPr="00803ACF">
              <w:t>n</w:t>
            </w:r>
          </w:p>
        </w:tc>
        <w:tc>
          <w:tcPr>
            <w:tcW w:w="927" w:type="dxa"/>
            <w:noWrap/>
            <w:hideMark/>
          </w:tcPr>
          <w:p w14:paraId="137CDF0A" w14:textId="77777777" w:rsidR="00803ACF" w:rsidRPr="00803ACF" w:rsidRDefault="00803ACF" w:rsidP="00803ACF">
            <w:pPr>
              <w:pStyle w:val="MDPI42tablebody"/>
              <w:spacing w:line="240" w:lineRule="auto"/>
            </w:pPr>
            <w:r w:rsidRPr="00803ACF">
              <w:t>C</w:t>
            </w:r>
          </w:p>
        </w:tc>
        <w:tc>
          <w:tcPr>
            <w:tcW w:w="733" w:type="dxa"/>
            <w:noWrap/>
            <w:hideMark/>
          </w:tcPr>
          <w:p w14:paraId="38852FD1" w14:textId="77777777" w:rsidR="00803ACF" w:rsidRPr="00803ACF" w:rsidRDefault="00803ACF" w:rsidP="00803ACF">
            <w:pPr>
              <w:pStyle w:val="MDPI42tablebody"/>
              <w:spacing w:line="240" w:lineRule="auto"/>
            </w:pPr>
            <w:r w:rsidRPr="00803ACF">
              <w:t>N</w:t>
            </w:r>
          </w:p>
        </w:tc>
        <w:tc>
          <w:tcPr>
            <w:tcW w:w="1000" w:type="dxa"/>
            <w:noWrap/>
            <w:hideMark/>
          </w:tcPr>
          <w:p w14:paraId="68882CB4" w14:textId="77777777" w:rsidR="00803ACF" w:rsidRPr="00803ACF" w:rsidRDefault="00803ACF" w:rsidP="00803ACF">
            <w:pPr>
              <w:pStyle w:val="MDPI42tablebody"/>
              <w:spacing w:line="240" w:lineRule="auto"/>
            </w:pPr>
            <w:r w:rsidRPr="00803ACF">
              <w:t>CN ratio</w:t>
            </w:r>
          </w:p>
        </w:tc>
        <w:tc>
          <w:tcPr>
            <w:tcW w:w="1018" w:type="dxa"/>
            <w:noWrap/>
            <w:hideMark/>
          </w:tcPr>
          <w:p w14:paraId="4B27F60B" w14:textId="77777777" w:rsidR="00803ACF" w:rsidRPr="00803ACF" w:rsidRDefault="00803ACF" w:rsidP="00803ACF">
            <w:pPr>
              <w:pStyle w:val="MDPI42tablebody"/>
              <w:spacing w:line="240" w:lineRule="auto"/>
            </w:pPr>
            <w:r w:rsidRPr="00803ACF">
              <w:t>C</w:t>
            </w:r>
          </w:p>
        </w:tc>
        <w:tc>
          <w:tcPr>
            <w:tcW w:w="842" w:type="dxa"/>
            <w:noWrap/>
            <w:hideMark/>
          </w:tcPr>
          <w:p w14:paraId="5716D91D" w14:textId="77777777" w:rsidR="00803ACF" w:rsidRPr="00803ACF" w:rsidRDefault="00803ACF" w:rsidP="00803ACF">
            <w:pPr>
              <w:pStyle w:val="MDPI42tablebody"/>
              <w:spacing w:line="240" w:lineRule="auto"/>
            </w:pPr>
            <w:r w:rsidRPr="00803ACF">
              <w:t>N</w:t>
            </w:r>
          </w:p>
        </w:tc>
        <w:tc>
          <w:tcPr>
            <w:tcW w:w="1060" w:type="dxa"/>
            <w:noWrap/>
            <w:hideMark/>
          </w:tcPr>
          <w:p w14:paraId="22941490" w14:textId="77777777" w:rsidR="00803ACF" w:rsidRPr="00803ACF" w:rsidRDefault="00803ACF" w:rsidP="00803ACF">
            <w:pPr>
              <w:pStyle w:val="MDPI42tablebody"/>
              <w:spacing w:line="240" w:lineRule="auto"/>
            </w:pPr>
            <w:r w:rsidRPr="00803ACF">
              <w:t>CN ratio</w:t>
            </w:r>
          </w:p>
        </w:tc>
      </w:tr>
      <w:tr w:rsidR="00803ACF" w:rsidRPr="00803ACF" w14:paraId="3DBEED89" w14:textId="77777777" w:rsidTr="00803ACF">
        <w:trPr>
          <w:trHeight w:val="300"/>
        </w:trPr>
        <w:tc>
          <w:tcPr>
            <w:tcW w:w="1725" w:type="dxa"/>
            <w:noWrap/>
            <w:hideMark/>
          </w:tcPr>
          <w:p w14:paraId="76890401" w14:textId="77777777" w:rsidR="00803ACF" w:rsidRPr="00803ACF" w:rsidRDefault="00803ACF" w:rsidP="00803ACF">
            <w:pPr>
              <w:pStyle w:val="MDPI42tablebody"/>
              <w:spacing w:line="240" w:lineRule="auto"/>
            </w:pPr>
            <w:r w:rsidRPr="00803ACF">
              <w:t>VH</w:t>
            </w:r>
          </w:p>
        </w:tc>
        <w:tc>
          <w:tcPr>
            <w:tcW w:w="675" w:type="dxa"/>
            <w:noWrap/>
            <w:hideMark/>
          </w:tcPr>
          <w:p w14:paraId="016B842B" w14:textId="77777777" w:rsidR="00803ACF" w:rsidRPr="00803ACF" w:rsidRDefault="00803ACF" w:rsidP="00803ACF">
            <w:pPr>
              <w:pStyle w:val="MDPI42tablebody"/>
              <w:spacing w:line="240" w:lineRule="auto"/>
            </w:pPr>
            <w:r w:rsidRPr="00803ACF">
              <w:t>2</w:t>
            </w:r>
          </w:p>
        </w:tc>
        <w:tc>
          <w:tcPr>
            <w:tcW w:w="927" w:type="dxa"/>
            <w:noWrap/>
            <w:hideMark/>
          </w:tcPr>
          <w:p w14:paraId="14BA0505" w14:textId="77777777" w:rsidR="00803ACF" w:rsidRPr="00803ACF" w:rsidRDefault="00803ACF" w:rsidP="00803ACF">
            <w:pPr>
              <w:pStyle w:val="MDPI42tablebody"/>
              <w:spacing w:line="240" w:lineRule="auto"/>
            </w:pPr>
            <w:r w:rsidRPr="00803ACF">
              <w:t>17.78</w:t>
            </w:r>
          </w:p>
        </w:tc>
        <w:tc>
          <w:tcPr>
            <w:tcW w:w="733" w:type="dxa"/>
            <w:noWrap/>
            <w:hideMark/>
          </w:tcPr>
          <w:p w14:paraId="3F5F486A" w14:textId="77777777" w:rsidR="00803ACF" w:rsidRPr="00803ACF" w:rsidRDefault="00803ACF" w:rsidP="00803ACF">
            <w:pPr>
              <w:pStyle w:val="MDPI42tablebody"/>
              <w:spacing w:line="240" w:lineRule="auto"/>
            </w:pPr>
            <w:r w:rsidRPr="00803ACF">
              <w:t>1.63</w:t>
            </w:r>
          </w:p>
        </w:tc>
        <w:tc>
          <w:tcPr>
            <w:tcW w:w="1000" w:type="dxa"/>
            <w:noWrap/>
            <w:hideMark/>
          </w:tcPr>
          <w:p w14:paraId="4569E74E" w14:textId="77777777" w:rsidR="00803ACF" w:rsidRPr="00803ACF" w:rsidRDefault="00803ACF" w:rsidP="00803ACF">
            <w:pPr>
              <w:pStyle w:val="MDPI42tablebody"/>
              <w:spacing w:line="240" w:lineRule="auto"/>
            </w:pPr>
            <w:r w:rsidRPr="00803ACF">
              <w:t>11.1</w:t>
            </w:r>
          </w:p>
        </w:tc>
        <w:tc>
          <w:tcPr>
            <w:tcW w:w="1018" w:type="dxa"/>
            <w:noWrap/>
            <w:hideMark/>
          </w:tcPr>
          <w:p w14:paraId="0ADB86F0" w14:textId="77777777" w:rsidR="00803ACF" w:rsidRPr="00803ACF" w:rsidRDefault="00803ACF" w:rsidP="00803ACF">
            <w:pPr>
              <w:pStyle w:val="MDPI42tablebody"/>
              <w:spacing w:line="240" w:lineRule="auto"/>
            </w:pPr>
            <w:r w:rsidRPr="00803ACF">
              <w:t>16.66</w:t>
            </w:r>
          </w:p>
        </w:tc>
        <w:tc>
          <w:tcPr>
            <w:tcW w:w="842" w:type="dxa"/>
            <w:noWrap/>
            <w:hideMark/>
          </w:tcPr>
          <w:p w14:paraId="22D4525F" w14:textId="77777777" w:rsidR="00803ACF" w:rsidRPr="00803ACF" w:rsidRDefault="00803ACF" w:rsidP="00803ACF">
            <w:pPr>
              <w:pStyle w:val="MDPI42tablebody"/>
              <w:spacing w:line="240" w:lineRule="auto"/>
            </w:pPr>
            <w:r w:rsidRPr="00803ACF">
              <w:t>1.055</w:t>
            </w:r>
          </w:p>
        </w:tc>
        <w:tc>
          <w:tcPr>
            <w:tcW w:w="1060" w:type="dxa"/>
            <w:noWrap/>
            <w:hideMark/>
          </w:tcPr>
          <w:p w14:paraId="4668CE4B" w14:textId="77777777" w:rsidR="00803ACF" w:rsidRPr="00803ACF" w:rsidRDefault="00803ACF" w:rsidP="00803ACF">
            <w:pPr>
              <w:pStyle w:val="MDPI42tablebody"/>
              <w:spacing w:line="240" w:lineRule="auto"/>
            </w:pPr>
            <w:r w:rsidRPr="00803ACF">
              <w:t>15.8</w:t>
            </w:r>
          </w:p>
        </w:tc>
      </w:tr>
      <w:tr w:rsidR="00803ACF" w:rsidRPr="00803ACF" w14:paraId="6EBBB302" w14:textId="77777777" w:rsidTr="00803ACF">
        <w:trPr>
          <w:trHeight w:val="300"/>
        </w:trPr>
        <w:tc>
          <w:tcPr>
            <w:tcW w:w="1725" w:type="dxa"/>
            <w:noWrap/>
            <w:hideMark/>
          </w:tcPr>
          <w:p w14:paraId="60AB75E3" w14:textId="77777777" w:rsidR="00803ACF" w:rsidRPr="00803ACF" w:rsidRDefault="00803ACF" w:rsidP="00803ACF">
            <w:pPr>
              <w:pStyle w:val="MDPI42tablebody"/>
              <w:spacing w:line="240" w:lineRule="auto"/>
            </w:pPr>
            <w:r w:rsidRPr="00803ACF">
              <w:t>VH RR</w:t>
            </w:r>
          </w:p>
        </w:tc>
        <w:tc>
          <w:tcPr>
            <w:tcW w:w="675" w:type="dxa"/>
            <w:noWrap/>
            <w:hideMark/>
          </w:tcPr>
          <w:p w14:paraId="2CD66C7E" w14:textId="77777777" w:rsidR="00803ACF" w:rsidRPr="00803ACF" w:rsidRDefault="00803ACF" w:rsidP="00803ACF">
            <w:pPr>
              <w:pStyle w:val="MDPI42tablebody"/>
              <w:spacing w:line="240" w:lineRule="auto"/>
            </w:pPr>
            <w:r w:rsidRPr="00803ACF">
              <w:t>2</w:t>
            </w:r>
          </w:p>
        </w:tc>
        <w:tc>
          <w:tcPr>
            <w:tcW w:w="927" w:type="dxa"/>
            <w:noWrap/>
            <w:hideMark/>
          </w:tcPr>
          <w:p w14:paraId="390CEE3F" w14:textId="77777777" w:rsidR="00803ACF" w:rsidRPr="00803ACF" w:rsidRDefault="00803ACF" w:rsidP="00803ACF">
            <w:pPr>
              <w:pStyle w:val="MDPI42tablebody"/>
              <w:spacing w:line="240" w:lineRule="auto"/>
            </w:pPr>
            <w:r w:rsidRPr="00803ACF">
              <w:t>18.9</w:t>
            </w:r>
          </w:p>
        </w:tc>
        <w:tc>
          <w:tcPr>
            <w:tcW w:w="733" w:type="dxa"/>
            <w:noWrap/>
            <w:hideMark/>
          </w:tcPr>
          <w:p w14:paraId="401CC3E0" w14:textId="77777777" w:rsidR="00803ACF" w:rsidRPr="00803ACF" w:rsidRDefault="00803ACF" w:rsidP="00803ACF">
            <w:pPr>
              <w:pStyle w:val="MDPI42tablebody"/>
              <w:spacing w:line="240" w:lineRule="auto"/>
            </w:pPr>
            <w:r w:rsidRPr="00803ACF">
              <w:t>1.66</w:t>
            </w:r>
          </w:p>
        </w:tc>
        <w:tc>
          <w:tcPr>
            <w:tcW w:w="1000" w:type="dxa"/>
            <w:noWrap/>
            <w:hideMark/>
          </w:tcPr>
          <w:p w14:paraId="2A932BD0" w14:textId="77777777" w:rsidR="00803ACF" w:rsidRPr="00803ACF" w:rsidRDefault="00803ACF" w:rsidP="00803ACF">
            <w:pPr>
              <w:pStyle w:val="MDPI42tablebody"/>
              <w:spacing w:line="240" w:lineRule="auto"/>
            </w:pPr>
            <w:r w:rsidRPr="00803ACF">
              <w:t>11.7</w:t>
            </w:r>
          </w:p>
        </w:tc>
        <w:tc>
          <w:tcPr>
            <w:tcW w:w="1018" w:type="dxa"/>
            <w:noWrap/>
            <w:hideMark/>
          </w:tcPr>
          <w:p w14:paraId="6B049052" w14:textId="77777777" w:rsidR="00803ACF" w:rsidRPr="00803ACF" w:rsidRDefault="00803ACF" w:rsidP="00803ACF">
            <w:pPr>
              <w:pStyle w:val="MDPI42tablebody"/>
              <w:spacing w:line="240" w:lineRule="auto"/>
            </w:pPr>
            <w:r w:rsidRPr="00803ACF">
              <w:t>17.355</w:t>
            </w:r>
          </w:p>
        </w:tc>
        <w:tc>
          <w:tcPr>
            <w:tcW w:w="842" w:type="dxa"/>
            <w:noWrap/>
            <w:hideMark/>
          </w:tcPr>
          <w:p w14:paraId="292177C0" w14:textId="77777777" w:rsidR="00803ACF" w:rsidRPr="00803ACF" w:rsidRDefault="00803ACF" w:rsidP="00803ACF">
            <w:pPr>
              <w:pStyle w:val="MDPI42tablebody"/>
              <w:spacing w:line="240" w:lineRule="auto"/>
            </w:pPr>
            <w:r w:rsidRPr="00803ACF">
              <w:t>1.15</w:t>
            </w:r>
          </w:p>
        </w:tc>
        <w:tc>
          <w:tcPr>
            <w:tcW w:w="1060" w:type="dxa"/>
            <w:noWrap/>
            <w:hideMark/>
          </w:tcPr>
          <w:p w14:paraId="03FBD233" w14:textId="77777777" w:rsidR="00803ACF" w:rsidRPr="00803ACF" w:rsidRDefault="00803ACF" w:rsidP="00803ACF">
            <w:pPr>
              <w:pStyle w:val="MDPI42tablebody"/>
              <w:spacing w:line="240" w:lineRule="auto"/>
            </w:pPr>
            <w:r w:rsidRPr="00803ACF">
              <w:t>15.25</w:t>
            </w:r>
          </w:p>
        </w:tc>
      </w:tr>
      <w:tr w:rsidR="00803ACF" w:rsidRPr="00803ACF" w14:paraId="6EAE0401" w14:textId="77777777" w:rsidTr="00803ACF">
        <w:trPr>
          <w:trHeight w:val="300"/>
        </w:trPr>
        <w:tc>
          <w:tcPr>
            <w:tcW w:w="1725" w:type="dxa"/>
            <w:noWrap/>
            <w:hideMark/>
          </w:tcPr>
          <w:p w14:paraId="31CF54AE" w14:textId="77777777" w:rsidR="00803ACF" w:rsidRPr="00803ACF" w:rsidRDefault="00803ACF" w:rsidP="00803ACF">
            <w:pPr>
              <w:pStyle w:val="MDPI42tablebody"/>
              <w:spacing w:line="240" w:lineRule="auto"/>
            </w:pPr>
            <w:r w:rsidRPr="00803ACF">
              <w:t>VH SM</w:t>
            </w:r>
          </w:p>
        </w:tc>
        <w:tc>
          <w:tcPr>
            <w:tcW w:w="675" w:type="dxa"/>
            <w:noWrap/>
            <w:hideMark/>
          </w:tcPr>
          <w:p w14:paraId="79F061E9" w14:textId="77777777" w:rsidR="00803ACF" w:rsidRPr="00803ACF" w:rsidRDefault="00803ACF" w:rsidP="00803ACF">
            <w:pPr>
              <w:pStyle w:val="MDPI42tablebody"/>
              <w:spacing w:line="240" w:lineRule="auto"/>
            </w:pPr>
            <w:r w:rsidRPr="00803ACF">
              <w:t>1</w:t>
            </w:r>
          </w:p>
        </w:tc>
        <w:tc>
          <w:tcPr>
            <w:tcW w:w="927" w:type="dxa"/>
            <w:noWrap/>
            <w:hideMark/>
          </w:tcPr>
          <w:p w14:paraId="15E92B85" w14:textId="77777777" w:rsidR="00803ACF" w:rsidRPr="00803ACF" w:rsidRDefault="00803ACF" w:rsidP="00803ACF">
            <w:pPr>
              <w:pStyle w:val="MDPI42tablebody"/>
              <w:spacing w:line="240" w:lineRule="auto"/>
            </w:pPr>
            <w:r w:rsidRPr="00803ACF">
              <w:t>15.57</w:t>
            </w:r>
          </w:p>
        </w:tc>
        <w:tc>
          <w:tcPr>
            <w:tcW w:w="733" w:type="dxa"/>
            <w:noWrap/>
            <w:hideMark/>
          </w:tcPr>
          <w:p w14:paraId="2D375B2B" w14:textId="77777777" w:rsidR="00803ACF" w:rsidRPr="00803ACF" w:rsidRDefault="00803ACF" w:rsidP="00803ACF">
            <w:pPr>
              <w:pStyle w:val="MDPI42tablebody"/>
              <w:spacing w:line="240" w:lineRule="auto"/>
            </w:pPr>
            <w:r w:rsidRPr="00803ACF">
              <w:t>1.49</w:t>
            </w:r>
          </w:p>
        </w:tc>
        <w:tc>
          <w:tcPr>
            <w:tcW w:w="1000" w:type="dxa"/>
            <w:noWrap/>
            <w:hideMark/>
          </w:tcPr>
          <w:p w14:paraId="3FB14FE5" w14:textId="77777777" w:rsidR="00803ACF" w:rsidRPr="00803ACF" w:rsidRDefault="00803ACF" w:rsidP="00803ACF">
            <w:pPr>
              <w:pStyle w:val="MDPI42tablebody"/>
              <w:spacing w:line="240" w:lineRule="auto"/>
            </w:pPr>
            <w:r w:rsidRPr="00803ACF">
              <w:t>10.4</w:t>
            </w:r>
          </w:p>
        </w:tc>
        <w:tc>
          <w:tcPr>
            <w:tcW w:w="1018" w:type="dxa"/>
            <w:noWrap/>
            <w:hideMark/>
          </w:tcPr>
          <w:p w14:paraId="1052E4C7" w14:textId="77777777" w:rsidR="00803ACF" w:rsidRPr="00803ACF" w:rsidRDefault="00803ACF" w:rsidP="00803ACF">
            <w:pPr>
              <w:pStyle w:val="MDPI42tablebody"/>
              <w:spacing w:line="240" w:lineRule="auto"/>
            </w:pPr>
            <w:r w:rsidRPr="00803ACF">
              <w:t>14.65</w:t>
            </w:r>
          </w:p>
        </w:tc>
        <w:tc>
          <w:tcPr>
            <w:tcW w:w="842" w:type="dxa"/>
            <w:noWrap/>
            <w:hideMark/>
          </w:tcPr>
          <w:p w14:paraId="571F5EF0" w14:textId="77777777" w:rsidR="00803ACF" w:rsidRPr="00803ACF" w:rsidRDefault="00803ACF" w:rsidP="00803ACF">
            <w:pPr>
              <w:pStyle w:val="MDPI42tablebody"/>
              <w:spacing w:line="240" w:lineRule="auto"/>
            </w:pPr>
            <w:r w:rsidRPr="00803ACF">
              <w:t>0.94</w:t>
            </w:r>
          </w:p>
        </w:tc>
        <w:tc>
          <w:tcPr>
            <w:tcW w:w="1060" w:type="dxa"/>
            <w:noWrap/>
            <w:hideMark/>
          </w:tcPr>
          <w:p w14:paraId="698A0350" w14:textId="77777777" w:rsidR="00803ACF" w:rsidRPr="00803ACF" w:rsidRDefault="00803ACF" w:rsidP="00803ACF">
            <w:pPr>
              <w:pStyle w:val="MDPI42tablebody"/>
              <w:spacing w:line="240" w:lineRule="auto"/>
            </w:pPr>
            <w:r w:rsidRPr="00803ACF">
              <w:t>15.6</w:t>
            </w:r>
          </w:p>
        </w:tc>
      </w:tr>
      <w:tr w:rsidR="00803ACF" w:rsidRPr="00803ACF" w14:paraId="30D1F3A4" w14:textId="77777777" w:rsidTr="00803ACF">
        <w:trPr>
          <w:trHeight w:val="300"/>
        </w:trPr>
        <w:tc>
          <w:tcPr>
            <w:tcW w:w="1725" w:type="dxa"/>
            <w:noWrap/>
            <w:hideMark/>
          </w:tcPr>
          <w:p w14:paraId="24DC8271" w14:textId="77777777" w:rsidR="00803ACF" w:rsidRPr="00803ACF" w:rsidRDefault="00803ACF" w:rsidP="00803ACF">
            <w:pPr>
              <w:pStyle w:val="MDPI42tablebody"/>
              <w:spacing w:line="240" w:lineRule="auto"/>
            </w:pPr>
            <w:r w:rsidRPr="00803ACF">
              <w:t>VH SMRR60</w:t>
            </w:r>
          </w:p>
        </w:tc>
        <w:tc>
          <w:tcPr>
            <w:tcW w:w="675" w:type="dxa"/>
            <w:noWrap/>
            <w:hideMark/>
          </w:tcPr>
          <w:p w14:paraId="3A84E811" w14:textId="77777777" w:rsidR="00803ACF" w:rsidRPr="00803ACF" w:rsidRDefault="00803ACF" w:rsidP="00803ACF">
            <w:pPr>
              <w:pStyle w:val="MDPI42tablebody"/>
              <w:spacing w:line="240" w:lineRule="auto"/>
            </w:pPr>
            <w:r w:rsidRPr="00803ACF">
              <w:t>1</w:t>
            </w:r>
          </w:p>
        </w:tc>
        <w:tc>
          <w:tcPr>
            <w:tcW w:w="927" w:type="dxa"/>
            <w:noWrap/>
            <w:hideMark/>
          </w:tcPr>
          <w:p w14:paraId="17C7A4CD" w14:textId="77777777" w:rsidR="00803ACF" w:rsidRPr="00803ACF" w:rsidRDefault="00803ACF" w:rsidP="00803ACF">
            <w:pPr>
              <w:pStyle w:val="MDPI42tablebody"/>
              <w:spacing w:line="240" w:lineRule="auto"/>
            </w:pPr>
            <w:r w:rsidRPr="00803ACF">
              <w:t>17.34</w:t>
            </w:r>
          </w:p>
        </w:tc>
        <w:tc>
          <w:tcPr>
            <w:tcW w:w="733" w:type="dxa"/>
            <w:noWrap/>
            <w:hideMark/>
          </w:tcPr>
          <w:p w14:paraId="610A1108" w14:textId="77777777" w:rsidR="00803ACF" w:rsidRPr="00803ACF" w:rsidRDefault="00803ACF" w:rsidP="00803ACF">
            <w:pPr>
              <w:pStyle w:val="MDPI42tablebody"/>
              <w:spacing w:line="240" w:lineRule="auto"/>
            </w:pPr>
            <w:r w:rsidRPr="00803ACF">
              <w:t>1.64</w:t>
            </w:r>
          </w:p>
        </w:tc>
        <w:tc>
          <w:tcPr>
            <w:tcW w:w="1000" w:type="dxa"/>
            <w:noWrap/>
            <w:hideMark/>
          </w:tcPr>
          <w:p w14:paraId="5A3C4176" w14:textId="77777777" w:rsidR="00803ACF" w:rsidRPr="00803ACF" w:rsidRDefault="00803ACF" w:rsidP="00803ACF">
            <w:pPr>
              <w:pStyle w:val="MDPI42tablebody"/>
              <w:spacing w:line="240" w:lineRule="auto"/>
            </w:pPr>
            <w:r w:rsidRPr="00803ACF">
              <w:t>10.6</w:t>
            </w:r>
          </w:p>
        </w:tc>
        <w:tc>
          <w:tcPr>
            <w:tcW w:w="1018" w:type="dxa"/>
            <w:noWrap/>
            <w:hideMark/>
          </w:tcPr>
          <w:p w14:paraId="54A838BD" w14:textId="77777777" w:rsidR="00803ACF" w:rsidRPr="00803ACF" w:rsidRDefault="00803ACF" w:rsidP="00803ACF">
            <w:pPr>
              <w:pStyle w:val="MDPI42tablebody"/>
              <w:spacing w:line="240" w:lineRule="auto"/>
            </w:pPr>
            <w:r w:rsidRPr="00803ACF">
              <w:t>13.76</w:t>
            </w:r>
          </w:p>
        </w:tc>
        <w:tc>
          <w:tcPr>
            <w:tcW w:w="842" w:type="dxa"/>
            <w:noWrap/>
            <w:hideMark/>
          </w:tcPr>
          <w:p w14:paraId="54958193" w14:textId="77777777" w:rsidR="00803ACF" w:rsidRPr="00803ACF" w:rsidRDefault="00803ACF" w:rsidP="00803ACF">
            <w:pPr>
              <w:pStyle w:val="MDPI42tablebody"/>
              <w:spacing w:line="240" w:lineRule="auto"/>
            </w:pPr>
            <w:r w:rsidRPr="00803ACF">
              <w:t>0.82</w:t>
            </w:r>
          </w:p>
        </w:tc>
        <w:tc>
          <w:tcPr>
            <w:tcW w:w="1060" w:type="dxa"/>
            <w:noWrap/>
            <w:hideMark/>
          </w:tcPr>
          <w:p w14:paraId="0698D938" w14:textId="77777777" w:rsidR="00803ACF" w:rsidRPr="00803ACF" w:rsidRDefault="00803ACF" w:rsidP="00803ACF">
            <w:pPr>
              <w:pStyle w:val="MDPI42tablebody"/>
              <w:spacing w:line="240" w:lineRule="auto"/>
            </w:pPr>
            <w:r w:rsidRPr="00803ACF">
              <w:t>16.8</w:t>
            </w:r>
          </w:p>
        </w:tc>
      </w:tr>
      <w:tr w:rsidR="00803ACF" w:rsidRPr="00803ACF" w14:paraId="5A058F4E" w14:textId="77777777" w:rsidTr="00803ACF">
        <w:trPr>
          <w:trHeight w:val="300"/>
        </w:trPr>
        <w:tc>
          <w:tcPr>
            <w:tcW w:w="1725" w:type="dxa"/>
            <w:noWrap/>
            <w:hideMark/>
          </w:tcPr>
          <w:p w14:paraId="017C9A32" w14:textId="77777777" w:rsidR="00803ACF" w:rsidRPr="00803ACF" w:rsidRDefault="00803ACF" w:rsidP="00803ACF">
            <w:pPr>
              <w:pStyle w:val="MDPI42tablebody"/>
              <w:spacing w:line="240" w:lineRule="auto"/>
            </w:pPr>
            <w:r w:rsidRPr="00803ACF">
              <w:t>VL</w:t>
            </w:r>
          </w:p>
        </w:tc>
        <w:tc>
          <w:tcPr>
            <w:tcW w:w="675" w:type="dxa"/>
            <w:noWrap/>
            <w:hideMark/>
          </w:tcPr>
          <w:p w14:paraId="24342BCF" w14:textId="77777777" w:rsidR="00803ACF" w:rsidRPr="00803ACF" w:rsidRDefault="00803ACF" w:rsidP="00803ACF">
            <w:pPr>
              <w:pStyle w:val="MDPI42tablebody"/>
              <w:spacing w:line="240" w:lineRule="auto"/>
            </w:pPr>
            <w:r w:rsidRPr="00803ACF">
              <w:t>2</w:t>
            </w:r>
          </w:p>
        </w:tc>
        <w:tc>
          <w:tcPr>
            <w:tcW w:w="927" w:type="dxa"/>
            <w:noWrap/>
            <w:hideMark/>
          </w:tcPr>
          <w:p w14:paraId="00816E29" w14:textId="77777777" w:rsidR="00803ACF" w:rsidRPr="00803ACF" w:rsidRDefault="00803ACF" w:rsidP="00803ACF">
            <w:pPr>
              <w:pStyle w:val="MDPI42tablebody"/>
              <w:spacing w:line="240" w:lineRule="auto"/>
            </w:pPr>
            <w:r w:rsidRPr="00803ACF">
              <w:t>18.36</w:t>
            </w:r>
          </w:p>
        </w:tc>
        <w:tc>
          <w:tcPr>
            <w:tcW w:w="733" w:type="dxa"/>
            <w:noWrap/>
            <w:hideMark/>
          </w:tcPr>
          <w:p w14:paraId="006BBE3A" w14:textId="77777777" w:rsidR="00803ACF" w:rsidRPr="00803ACF" w:rsidRDefault="00803ACF" w:rsidP="00803ACF">
            <w:pPr>
              <w:pStyle w:val="MDPI42tablebody"/>
              <w:spacing w:line="240" w:lineRule="auto"/>
            </w:pPr>
            <w:r w:rsidRPr="00803ACF">
              <w:t>1.69</w:t>
            </w:r>
          </w:p>
        </w:tc>
        <w:tc>
          <w:tcPr>
            <w:tcW w:w="1000" w:type="dxa"/>
            <w:noWrap/>
            <w:hideMark/>
          </w:tcPr>
          <w:p w14:paraId="406D700E" w14:textId="77777777" w:rsidR="00803ACF" w:rsidRPr="00803ACF" w:rsidRDefault="00803ACF" w:rsidP="00803ACF">
            <w:pPr>
              <w:pStyle w:val="MDPI42tablebody"/>
              <w:spacing w:line="240" w:lineRule="auto"/>
            </w:pPr>
            <w:r w:rsidRPr="00803ACF">
              <w:t>10.85</w:t>
            </w:r>
          </w:p>
        </w:tc>
        <w:tc>
          <w:tcPr>
            <w:tcW w:w="1018" w:type="dxa"/>
            <w:noWrap/>
            <w:hideMark/>
          </w:tcPr>
          <w:p w14:paraId="4170A086" w14:textId="77777777" w:rsidR="00803ACF" w:rsidRPr="00803ACF" w:rsidRDefault="00803ACF" w:rsidP="00803ACF">
            <w:pPr>
              <w:pStyle w:val="MDPI42tablebody"/>
              <w:spacing w:line="240" w:lineRule="auto"/>
            </w:pPr>
            <w:r w:rsidRPr="00803ACF">
              <w:t>14.17</w:t>
            </w:r>
          </w:p>
        </w:tc>
        <w:tc>
          <w:tcPr>
            <w:tcW w:w="842" w:type="dxa"/>
            <w:noWrap/>
            <w:hideMark/>
          </w:tcPr>
          <w:p w14:paraId="18CB1CE8" w14:textId="77777777" w:rsidR="00803ACF" w:rsidRPr="00803ACF" w:rsidRDefault="00803ACF" w:rsidP="00803ACF">
            <w:pPr>
              <w:pStyle w:val="MDPI42tablebody"/>
              <w:spacing w:line="240" w:lineRule="auto"/>
            </w:pPr>
            <w:r w:rsidRPr="00803ACF">
              <w:t>0.9</w:t>
            </w:r>
          </w:p>
        </w:tc>
        <w:tc>
          <w:tcPr>
            <w:tcW w:w="1060" w:type="dxa"/>
            <w:noWrap/>
            <w:hideMark/>
          </w:tcPr>
          <w:p w14:paraId="4320BD28" w14:textId="77777777" w:rsidR="00803ACF" w:rsidRPr="00803ACF" w:rsidRDefault="00803ACF" w:rsidP="00803ACF">
            <w:pPr>
              <w:pStyle w:val="MDPI42tablebody"/>
              <w:spacing w:line="240" w:lineRule="auto"/>
            </w:pPr>
            <w:r w:rsidRPr="00803ACF">
              <w:t>15.75</w:t>
            </w:r>
          </w:p>
        </w:tc>
      </w:tr>
    </w:tbl>
    <w:p w14:paraId="22579322" w14:textId="77777777" w:rsidR="00803ACF" w:rsidRPr="002A40FC" w:rsidRDefault="00803ACF" w:rsidP="00803ACF">
      <w:pPr>
        <w:pStyle w:val="MDPI32textnoindent"/>
      </w:pPr>
      <w:r w:rsidRPr="002A40FC">
        <w:rPr>
          <w:vertAlign w:val="superscript"/>
        </w:rPr>
        <w:t>*</w:t>
      </w:r>
      <w:r w:rsidRPr="002A40FC">
        <w:t>VH = high diversity, RR= rainfall and runoff, SM= SorbtiveMedia</w:t>
      </w:r>
      <w:r w:rsidRPr="002A40FC">
        <w:rPr>
          <w:vertAlign w:val="superscript"/>
        </w:rPr>
        <w:t>TM</w:t>
      </w:r>
      <w:r w:rsidRPr="002A40FC">
        <w:t>, VL= low diversity</w:t>
      </w:r>
    </w:p>
    <w:sectPr w:rsidR="00803ACF" w:rsidRPr="002A40FC" w:rsidSect="00081109">
      <w:type w:val="continuous"/>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D9EB7" w14:textId="77777777" w:rsidR="00122A06" w:rsidRDefault="00122A06" w:rsidP="00C1340D">
      <w:r>
        <w:separator/>
      </w:r>
    </w:p>
  </w:endnote>
  <w:endnote w:type="continuationSeparator" w:id="0">
    <w:p w14:paraId="19F05E81" w14:textId="77777777" w:rsidR="00122A06" w:rsidRDefault="00122A06"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9686D" w14:textId="77777777" w:rsidR="00122A06" w:rsidRDefault="00122A06" w:rsidP="00C1340D">
      <w:r>
        <w:separator/>
      </w:r>
    </w:p>
  </w:footnote>
  <w:footnote w:type="continuationSeparator" w:id="0">
    <w:p w14:paraId="6FBBFE69" w14:textId="77777777" w:rsidR="00122A06" w:rsidRDefault="00122A06" w:rsidP="00C1340D">
      <w:r>
        <w:continuationSeparator/>
      </w:r>
    </w:p>
  </w:footnote>
  <w:footnote w:id="1">
    <w:p w14:paraId="3D78C3D1" w14:textId="77777777" w:rsidR="00803ACF" w:rsidRDefault="00803ACF" w:rsidP="00803ACF">
      <w:pPr>
        <w:pStyle w:val="MDPI32textnoindent"/>
      </w:pPr>
      <w:r>
        <w:rPr>
          <w:rStyle w:val="FootnoteReference"/>
        </w:rPr>
        <w:footnoteRef/>
      </w:r>
      <w:r>
        <w:t xml:space="preserve"> </w:t>
      </w:r>
      <w:r w:rsidRPr="00803ACF">
        <w:rPr>
          <w:sz w:val="18"/>
        </w:rPr>
        <w:t>https://www.nrcs.usda.gov/wps/portal/nrcs/detail/soils/survey/office/ssr10/tr/?cid=nrcs144p2_074844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340E"/>
    <w:multiLevelType w:val="hybridMultilevel"/>
    <w:tmpl w:val="5D423768"/>
    <w:lvl w:ilvl="0" w:tplc="163A3674">
      <w:start w:val="1"/>
      <w:numFmt w:val="decimal"/>
      <w:lvlText w:val="%1."/>
      <w:lvlJc w:val="left"/>
      <w:pPr>
        <w:ind w:left="473" w:hanging="360"/>
      </w:pPr>
      <w:rPr>
        <w:rFonts w:hint="default"/>
        <w:vertAlign w:val="superscrip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DAE291FC"/>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3C370A"/>
    <w:multiLevelType w:val="hybridMultilevel"/>
    <w:tmpl w:val="881C2586"/>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6DB20A64"/>
    <w:multiLevelType w:val="hybridMultilevel"/>
    <w:tmpl w:val="DCD8DB54"/>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F4"/>
    <w:rsid w:val="00000637"/>
    <w:rsid w:val="000006F8"/>
    <w:rsid w:val="000046B6"/>
    <w:rsid w:val="00004BA7"/>
    <w:rsid w:val="00005FC2"/>
    <w:rsid w:val="00011BC3"/>
    <w:rsid w:val="0001283B"/>
    <w:rsid w:val="0002090C"/>
    <w:rsid w:val="00024621"/>
    <w:rsid w:val="0002467B"/>
    <w:rsid w:val="00025A91"/>
    <w:rsid w:val="00025C56"/>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3A6A"/>
    <w:rsid w:val="0006467F"/>
    <w:rsid w:val="00071D03"/>
    <w:rsid w:val="00073BD9"/>
    <w:rsid w:val="000755AE"/>
    <w:rsid w:val="00077A9D"/>
    <w:rsid w:val="00081109"/>
    <w:rsid w:val="00082D78"/>
    <w:rsid w:val="000833FA"/>
    <w:rsid w:val="000848F9"/>
    <w:rsid w:val="000878F6"/>
    <w:rsid w:val="00094176"/>
    <w:rsid w:val="00096C20"/>
    <w:rsid w:val="000A0E49"/>
    <w:rsid w:val="000A0F29"/>
    <w:rsid w:val="000A3155"/>
    <w:rsid w:val="000A411D"/>
    <w:rsid w:val="000A45A9"/>
    <w:rsid w:val="000A5353"/>
    <w:rsid w:val="000A5FAE"/>
    <w:rsid w:val="000B05D0"/>
    <w:rsid w:val="000B38AC"/>
    <w:rsid w:val="000B529D"/>
    <w:rsid w:val="000B5482"/>
    <w:rsid w:val="000B7EF6"/>
    <w:rsid w:val="000C299D"/>
    <w:rsid w:val="000C4A82"/>
    <w:rsid w:val="000C4B5D"/>
    <w:rsid w:val="000C4FB6"/>
    <w:rsid w:val="000D0305"/>
    <w:rsid w:val="000D0745"/>
    <w:rsid w:val="000D0874"/>
    <w:rsid w:val="000D093A"/>
    <w:rsid w:val="000D166F"/>
    <w:rsid w:val="000D2842"/>
    <w:rsid w:val="000D2F06"/>
    <w:rsid w:val="000D5554"/>
    <w:rsid w:val="000E08FD"/>
    <w:rsid w:val="000E1D69"/>
    <w:rsid w:val="000E35FE"/>
    <w:rsid w:val="000E37D1"/>
    <w:rsid w:val="000E7A5D"/>
    <w:rsid w:val="000F0E85"/>
    <w:rsid w:val="000F0F9F"/>
    <w:rsid w:val="000F4E0E"/>
    <w:rsid w:val="001007DA"/>
    <w:rsid w:val="00100B2F"/>
    <w:rsid w:val="00100FE2"/>
    <w:rsid w:val="00103634"/>
    <w:rsid w:val="00104294"/>
    <w:rsid w:val="001170CF"/>
    <w:rsid w:val="0011779E"/>
    <w:rsid w:val="0012125D"/>
    <w:rsid w:val="00122A06"/>
    <w:rsid w:val="00124285"/>
    <w:rsid w:val="0012462F"/>
    <w:rsid w:val="001268A0"/>
    <w:rsid w:val="00127B58"/>
    <w:rsid w:val="00130F88"/>
    <w:rsid w:val="00131F3D"/>
    <w:rsid w:val="001352B6"/>
    <w:rsid w:val="00135C14"/>
    <w:rsid w:val="00140A39"/>
    <w:rsid w:val="0014158B"/>
    <w:rsid w:val="00143181"/>
    <w:rsid w:val="00144221"/>
    <w:rsid w:val="00144660"/>
    <w:rsid w:val="00144DC5"/>
    <w:rsid w:val="00144E54"/>
    <w:rsid w:val="00145F5A"/>
    <w:rsid w:val="00150342"/>
    <w:rsid w:val="00151E48"/>
    <w:rsid w:val="00152F85"/>
    <w:rsid w:val="00155401"/>
    <w:rsid w:val="00156006"/>
    <w:rsid w:val="0015665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860DD"/>
    <w:rsid w:val="0019129C"/>
    <w:rsid w:val="00192141"/>
    <w:rsid w:val="001929BE"/>
    <w:rsid w:val="00193EBD"/>
    <w:rsid w:val="00194DCB"/>
    <w:rsid w:val="001A0D5B"/>
    <w:rsid w:val="001A103B"/>
    <w:rsid w:val="001A2D5C"/>
    <w:rsid w:val="001A3926"/>
    <w:rsid w:val="001A4A0E"/>
    <w:rsid w:val="001A7D08"/>
    <w:rsid w:val="001B09F9"/>
    <w:rsid w:val="001B22D3"/>
    <w:rsid w:val="001B2E32"/>
    <w:rsid w:val="001B396D"/>
    <w:rsid w:val="001B3A0F"/>
    <w:rsid w:val="001B446E"/>
    <w:rsid w:val="001C0136"/>
    <w:rsid w:val="001C0A1F"/>
    <w:rsid w:val="001C2A2E"/>
    <w:rsid w:val="001C3B86"/>
    <w:rsid w:val="001C6374"/>
    <w:rsid w:val="001D0A2E"/>
    <w:rsid w:val="001D0BD8"/>
    <w:rsid w:val="001D235F"/>
    <w:rsid w:val="001D4C88"/>
    <w:rsid w:val="001D4CBF"/>
    <w:rsid w:val="001D5C83"/>
    <w:rsid w:val="001D5CB0"/>
    <w:rsid w:val="001D7118"/>
    <w:rsid w:val="001D7351"/>
    <w:rsid w:val="001E0BFA"/>
    <w:rsid w:val="001E26BA"/>
    <w:rsid w:val="001E3DBC"/>
    <w:rsid w:val="001F2913"/>
    <w:rsid w:val="001F45A9"/>
    <w:rsid w:val="001F514E"/>
    <w:rsid w:val="001F55DC"/>
    <w:rsid w:val="001F5A4A"/>
    <w:rsid w:val="0020147D"/>
    <w:rsid w:val="002021CF"/>
    <w:rsid w:val="002026F5"/>
    <w:rsid w:val="00206B4D"/>
    <w:rsid w:val="0021202D"/>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9F2"/>
    <w:rsid w:val="00240C8C"/>
    <w:rsid w:val="00241C14"/>
    <w:rsid w:val="002434C9"/>
    <w:rsid w:val="00245D6C"/>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513B"/>
    <w:rsid w:val="0027593D"/>
    <w:rsid w:val="00275F7E"/>
    <w:rsid w:val="00276B71"/>
    <w:rsid w:val="0027713B"/>
    <w:rsid w:val="002775F4"/>
    <w:rsid w:val="002813F6"/>
    <w:rsid w:val="0028335A"/>
    <w:rsid w:val="00285954"/>
    <w:rsid w:val="00285A67"/>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C54"/>
    <w:rsid w:val="002E1F9C"/>
    <w:rsid w:val="002E2696"/>
    <w:rsid w:val="002E45FF"/>
    <w:rsid w:val="002E4AE9"/>
    <w:rsid w:val="002E59FA"/>
    <w:rsid w:val="002E699F"/>
    <w:rsid w:val="002F0022"/>
    <w:rsid w:val="002F1F90"/>
    <w:rsid w:val="002F216A"/>
    <w:rsid w:val="002F30E0"/>
    <w:rsid w:val="002F3A40"/>
    <w:rsid w:val="002F6006"/>
    <w:rsid w:val="002F667B"/>
    <w:rsid w:val="002F6728"/>
    <w:rsid w:val="002F6FC8"/>
    <w:rsid w:val="00300F39"/>
    <w:rsid w:val="0030282D"/>
    <w:rsid w:val="0030286C"/>
    <w:rsid w:val="0030379B"/>
    <w:rsid w:val="00303ABD"/>
    <w:rsid w:val="003053D7"/>
    <w:rsid w:val="00305668"/>
    <w:rsid w:val="003066AC"/>
    <w:rsid w:val="00306771"/>
    <w:rsid w:val="003076AD"/>
    <w:rsid w:val="0030792C"/>
    <w:rsid w:val="00307DAD"/>
    <w:rsid w:val="00312F5B"/>
    <w:rsid w:val="0031308C"/>
    <w:rsid w:val="0031392A"/>
    <w:rsid w:val="003167AC"/>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87959"/>
    <w:rsid w:val="003902E6"/>
    <w:rsid w:val="00391035"/>
    <w:rsid w:val="003911F6"/>
    <w:rsid w:val="00391F71"/>
    <w:rsid w:val="003938E0"/>
    <w:rsid w:val="00394742"/>
    <w:rsid w:val="003A0FDD"/>
    <w:rsid w:val="003A116E"/>
    <w:rsid w:val="003A1FCC"/>
    <w:rsid w:val="003A2168"/>
    <w:rsid w:val="003A3F7E"/>
    <w:rsid w:val="003A445F"/>
    <w:rsid w:val="003A4FD3"/>
    <w:rsid w:val="003A5E59"/>
    <w:rsid w:val="003B2A22"/>
    <w:rsid w:val="003B3A7C"/>
    <w:rsid w:val="003B4E63"/>
    <w:rsid w:val="003B559A"/>
    <w:rsid w:val="003B65E3"/>
    <w:rsid w:val="003C014C"/>
    <w:rsid w:val="003C245C"/>
    <w:rsid w:val="003C2C26"/>
    <w:rsid w:val="003C4A20"/>
    <w:rsid w:val="003C4AAF"/>
    <w:rsid w:val="003C516C"/>
    <w:rsid w:val="003C7C01"/>
    <w:rsid w:val="003D1BCF"/>
    <w:rsid w:val="003D2888"/>
    <w:rsid w:val="003D2BC8"/>
    <w:rsid w:val="003D306D"/>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66AA"/>
    <w:rsid w:val="00446CA3"/>
    <w:rsid w:val="0045011E"/>
    <w:rsid w:val="0045101B"/>
    <w:rsid w:val="004539D4"/>
    <w:rsid w:val="00453CFB"/>
    <w:rsid w:val="0045405C"/>
    <w:rsid w:val="00454A2A"/>
    <w:rsid w:val="00455021"/>
    <w:rsid w:val="00456AB0"/>
    <w:rsid w:val="00456BA6"/>
    <w:rsid w:val="00461413"/>
    <w:rsid w:val="004614D9"/>
    <w:rsid w:val="00461DA2"/>
    <w:rsid w:val="00462789"/>
    <w:rsid w:val="00462F89"/>
    <w:rsid w:val="00467F33"/>
    <w:rsid w:val="00471859"/>
    <w:rsid w:val="00475F95"/>
    <w:rsid w:val="00476172"/>
    <w:rsid w:val="00476A81"/>
    <w:rsid w:val="00477487"/>
    <w:rsid w:val="0048098C"/>
    <w:rsid w:val="00480BAE"/>
    <w:rsid w:val="00481ADA"/>
    <w:rsid w:val="00482266"/>
    <w:rsid w:val="00483436"/>
    <w:rsid w:val="00484615"/>
    <w:rsid w:val="004869B2"/>
    <w:rsid w:val="00492418"/>
    <w:rsid w:val="00492DD6"/>
    <w:rsid w:val="004938FB"/>
    <w:rsid w:val="00495448"/>
    <w:rsid w:val="004971EB"/>
    <w:rsid w:val="004975CF"/>
    <w:rsid w:val="004A070F"/>
    <w:rsid w:val="004A3D67"/>
    <w:rsid w:val="004A3EEB"/>
    <w:rsid w:val="004A44AE"/>
    <w:rsid w:val="004A485C"/>
    <w:rsid w:val="004A6175"/>
    <w:rsid w:val="004A6E3D"/>
    <w:rsid w:val="004A7C02"/>
    <w:rsid w:val="004B1516"/>
    <w:rsid w:val="004B637A"/>
    <w:rsid w:val="004B664F"/>
    <w:rsid w:val="004C16C9"/>
    <w:rsid w:val="004C1961"/>
    <w:rsid w:val="004C1A82"/>
    <w:rsid w:val="004C1AB7"/>
    <w:rsid w:val="004C1B70"/>
    <w:rsid w:val="004C3D4B"/>
    <w:rsid w:val="004C6EE2"/>
    <w:rsid w:val="004C71C5"/>
    <w:rsid w:val="004D0408"/>
    <w:rsid w:val="004D0745"/>
    <w:rsid w:val="004D3D30"/>
    <w:rsid w:val="004D464D"/>
    <w:rsid w:val="004D50E0"/>
    <w:rsid w:val="004D6828"/>
    <w:rsid w:val="004E16F5"/>
    <w:rsid w:val="004E70CE"/>
    <w:rsid w:val="004F1511"/>
    <w:rsid w:val="004F41A3"/>
    <w:rsid w:val="004F7B5B"/>
    <w:rsid w:val="00505235"/>
    <w:rsid w:val="005052F4"/>
    <w:rsid w:val="005055B1"/>
    <w:rsid w:val="0050609E"/>
    <w:rsid w:val="00514D19"/>
    <w:rsid w:val="00516FD5"/>
    <w:rsid w:val="005173DA"/>
    <w:rsid w:val="00520C33"/>
    <w:rsid w:val="00523C06"/>
    <w:rsid w:val="00524E78"/>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67E7"/>
    <w:rsid w:val="0059706B"/>
    <w:rsid w:val="0059738E"/>
    <w:rsid w:val="00597A64"/>
    <w:rsid w:val="005A1A79"/>
    <w:rsid w:val="005A42BD"/>
    <w:rsid w:val="005A6846"/>
    <w:rsid w:val="005A791C"/>
    <w:rsid w:val="005B372B"/>
    <w:rsid w:val="005C001C"/>
    <w:rsid w:val="005C1C6F"/>
    <w:rsid w:val="005C2A6C"/>
    <w:rsid w:val="005C5730"/>
    <w:rsid w:val="005D196D"/>
    <w:rsid w:val="005D19D4"/>
    <w:rsid w:val="005D2650"/>
    <w:rsid w:val="005D35BB"/>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60C6"/>
    <w:rsid w:val="00607C65"/>
    <w:rsid w:val="00610143"/>
    <w:rsid w:val="006101B1"/>
    <w:rsid w:val="00610C2F"/>
    <w:rsid w:val="006118C4"/>
    <w:rsid w:val="00612526"/>
    <w:rsid w:val="00612FD7"/>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45E41"/>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1510"/>
    <w:rsid w:val="00682FE2"/>
    <w:rsid w:val="00684284"/>
    <w:rsid w:val="00684579"/>
    <w:rsid w:val="00686750"/>
    <w:rsid w:val="00686CBD"/>
    <w:rsid w:val="00686CC5"/>
    <w:rsid w:val="0068700B"/>
    <w:rsid w:val="0069022D"/>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51D6"/>
    <w:rsid w:val="006C6552"/>
    <w:rsid w:val="006C67DC"/>
    <w:rsid w:val="006C7D91"/>
    <w:rsid w:val="006C7FED"/>
    <w:rsid w:val="006D0C85"/>
    <w:rsid w:val="006D2ED9"/>
    <w:rsid w:val="006D4052"/>
    <w:rsid w:val="006D425B"/>
    <w:rsid w:val="006D6F56"/>
    <w:rsid w:val="006D7D80"/>
    <w:rsid w:val="006E17AC"/>
    <w:rsid w:val="006E24C6"/>
    <w:rsid w:val="006E32F6"/>
    <w:rsid w:val="006E60D8"/>
    <w:rsid w:val="006E60E5"/>
    <w:rsid w:val="006F0B83"/>
    <w:rsid w:val="00701836"/>
    <w:rsid w:val="00701987"/>
    <w:rsid w:val="00701F70"/>
    <w:rsid w:val="00702650"/>
    <w:rsid w:val="007062E3"/>
    <w:rsid w:val="00706936"/>
    <w:rsid w:val="0070769C"/>
    <w:rsid w:val="0071275C"/>
    <w:rsid w:val="00715914"/>
    <w:rsid w:val="00716CC2"/>
    <w:rsid w:val="0071759D"/>
    <w:rsid w:val="0072079B"/>
    <w:rsid w:val="00722184"/>
    <w:rsid w:val="007229D7"/>
    <w:rsid w:val="0072401B"/>
    <w:rsid w:val="00724474"/>
    <w:rsid w:val="007269A0"/>
    <w:rsid w:val="00730268"/>
    <w:rsid w:val="00730EDD"/>
    <w:rsid w:val="00734C7C"/>
    <w:rsid w:val="0073535F"/>
    <w:rsid w:val="00736FD6"/>
    <w:rsid w:val="0073714D"/>
    <w:rsid w:val="00737F17"/>
    <w:rsid w:val="0074264B"/>
    <w:rsid w:val="0074415C"/>
    <w:rsid w:val="00746790"/>
    <w:rsid w:val="0074696F"/>
    <w:rsid w:val="00746DFC"/>
    <w:rsid w:val="00747BD5"/>
    <w:rsid w:val="007512D0"/>
    <w:rsid w:val="0075223F"/>
    <w:rsid w:val="00752445"/>
    <w:rsid w:val="00752DCE"/>
    <w:rsid w:val="00753727"/>
    <w:rsid w:val="00754059"/>
    <w:rsid w:val="00755404"/>
    <w:rsid w:val="00755676"/>
    <w:rsid w:val="00760E65"/>
    <w:rsid w:val="00763B07"/>
    <w:rsid w:val="00763D41"/>
    <w:rsid w:val="00766CD4"/>
    <w:rsid w:val="0077147D"/>
    <w:rsid w:val="00774318"/>
    <w:rsid w:val="007814A1"/>
    <w:rsid w:val="007830B4"/>
    <w:rsid w:val="00786C6C"/>
    <w:rsid w:val="00790072"/>
    <w:rsid w:val="00791FB2"/>
    <w:rsid w:val="00792569"/>
    <w:rsid w:val="007936E5"/>
    <w:rsid w:val="00793A96"/>
    <w:rsid w:val="007A29C5"/>
    <w:rsid w:val="007B0185"/>
    <w:rsid w:val="007B0A56"/>
    <w:rsid w:val="007B4B9B"/>
    <w:rsid w:val="007B7493"/>
    <w:rsid w:val="007C425D"/>
    <w:rsid w:val="007C431E"/>
    <w:rsid w:val="007C7E77"/>
    <w:rsid w:val="007D3CF3"/>
    <w:rsid w:val="007D40E6"/>
    <w:rsid w:val="007D41D6"/>
    <w:rsid w:val="007D6401"/>
    <w:rsid w:val="007D76D3"/>
    <w:rsid w:val="007D7ECD"/>
    <w:rsid w:val="007E1C66"/>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06F9"/>
    <w:rsid w:val="0080262B"/>
    <w:rsid w:val="0080381D"/>
    <w:rsid w:val="00803ACF"/>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0B5C"/>
    <w:rsid w:val="00831D40"/>
    <w:rsid w:val="00832530"/>
    <w:rsid w:val="0083491C"/>
    <w:rsid w:val="00834DFD"/>
    <w:rsid w:val="00835DF3"/>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25BD"/>
    <w:rsid w:val="008640E5"/>
    <w:rsid w:val="00864FBB"/>
    <w:rsid w:val="00865499"/>
    <w:rsid w:val="008670AA"/>
    <w:rsid w:val="0086721C"/>
    <w:rsid w:val="00870E00"/>
    <w:rsid w:val="00871C11"/>
    <w:rsid w:val="008777D3"/>
    <w:rsid w:val="008810B3"/>
    <w:rsid w:val="00883797"/>
    <w:rsid w:val="00883B03"/>
    <w:rsid w:val="0088505F"/>
    <w:rsid w:val="0088519A"/>
    <w:rsid w:val="00890C8F"/>
    <w:rsid w:val="00891677"/>
    <w:rsid w:val="00891F22"/>
    <w:rsid w:val="00894D12"/>
    <w:rsid w:val="00894E26"/>
    <w:rsid w:val="00895D2A"/>
    <w:rsid w:val="00896C4C"/>
    <w:rsid w:val="008A1923"/>
    <w:rsid w:val="008A20CD"/>
    <w:rsid w:val="008A26D8"/>
    <w:rsid w:val="008A37CD"/>
    <w:rsid w:val="008A5B8F"/>
    <w:rsid w:val="008A5EC4"/>
    <w:rsid w:val="008A6BDF"/>
    <w:rsid w:val="008A716B"/>
    <w:rsid w:val="008B5B4F"/>
    <w:rsid w:val="008B7538"/>
    <w:rsid w:val="008C0E13"/>
    <w:rsid w:val="008C1305"/>
    <w:rsid w:val="008C2CAB"/>
    <w:rsid w:val="008C3CC7"/>
    <w:rsid w:val="008C5A60"/>
    <w:rsid w:val="008D2721"/>
    <w:rsid w:val="008D4222"/>
    <w:rsid w:val="008D448D"/>
    <w:rsid w:val="008D48DD"/>
    <w:rsid w:val="008D5100"/>
    <w:rsid w:val="008D5B12"/>
    <w:rsid w:val="008D5E3B"/>
    <w:rsid w:val="008E114F"/>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4F08"/>
    <w:rsid w:val="0092599A"/>
    <w:rsid w:val="00926435"/>
    <w:rsid w:val="00930D40"/>
    <w:rsid w:val="009320BE"/>
    <w:rsid w:val="0093245D"/>
    <w:rsid w:val="00932DF7"/>
    <w:rsid w:val="00934A1D"/>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36DF"/>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583A"/>
    <w:rsid w:val="009B75D1"/>
    <w:rsid w:val="009C1EA0"/>
    <w:rsid w:val="009C3A17"/>
    <w:rsid w:val="009C47DE"/>
    <w:rsid w:val="009C4D38"/>
    <w:rsid w:val="009C501E"/>
    <w:rsid w:val="009C50FC"/>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3FF"/>
    <w:rsid w:val="00A10B4B"/>
    <w:rsid w:val="00A12039"/>
    <w:rsid w:val="00A14C60"/>
    <w:rsid w:val="00A15B50"/>
    <w:rsid w:val="00A16B99"/>
    <w:rsid w:val="00A202CE"/>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38A4"/>
    <w:rsid w:val="00A55A64"/>
    <w:rsid w:val="00A570BF"/>
    <w:rsid w:val="00A61DE2"/>
    <w:rsid w:val="00A663C0"/>
    <w:rsid w:val="00A67762"/>
    <w:rsid w:val="00A7295D"/>
    <w:rsid w:val="00A753C9"/>
    <w:rsid w:val="00A75FF2"/>
    <w:rsid w:val="00A808AC"/>
    <w:rsid w:val="00A82ADF"/>
    <w:rsid w:val="00A84F67"/>
    <w:rsid w:val="00A8598D"/>
    <w:rsid w:val="00A861F6"/>
    <w:rsid w:val="00A902DE"/>
    <w:rsid w:val="00A9156B"/>
    <w:rsid w:val="00A91FB2"/>
    <w:rsid w:val="00A95E52"/>
    <w:rsid w:val="00A96386"/>
    <w:rsid w:val="00A96AAA"/>
    <w:rsid w:val="00A96DC0"/>
    <w:rsid w:val="00AA2CBC"/>
    <w:rsid w:val="00AA4CDC"/>
    <w:rsid w:val="00AA534C"/>
    <w:rsid w:val="00AA6D33"/>
    <w:rsid w:val="00AA6D42"/>
    <w:rsid w:val="00AA7D47"/>
    <w:rsid w:val="00AB118B"/>
    <w:rsid w:val="00AB3B2F"/>
    <w:rsid w:val="00AB4374"/>
    <w:rsid w:val="00AB7823"/>
    <w:rsid w:val="00AC0F37"/>
    <w:rsid w:val="00AC1CB6"/>
    <w:rsid w:val="00AC2E74"/>
    <w:rsid w:val="00AC37B2"/>
    <w:rsid w:val="00AD1980"/>
    <w:rsid w:val="00AD323F"/>
    <w:rsid w:val="00AD414A"/>
    <w:rsid w:val="00AD419B"/>
    <w:rsid w:val="00AD452E"/>
    <w:rsid w:val="00AD595E"/>
    <w:rsid w:val="00AD5DDA"/>
    <w:rsid w:val="00AE1FC9"/>
    <w:rsid w:val="00AE26B0"/>
    <w:rsid w:val="00AE481D"/>
    <w:rsid w:val="00AE737B"/>
    <w:rsid w:val="00AF319E"/>
    <w:rsid w:val="00AF3647"/>
    <w:rsid w:val="00AF69A6"/>
    <w:rsid w:val="00AF6B00"/>
    <w:rsid w:val="00AF6F96"/>
    <w:rsid w:val="00AF75FB"/>
    <w:rsid w:val="00AF779A"/>
    <w:rsid w:val="00AF7D31"/>
    <w:rsid w:val="00B00435"/>
    <w:rsid w:val="00B00829"/>
    <w:rsid w:val="00B0158D"/>
    <w:rsid w:val="00B04A30"/>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6FA1"/>
    <w:rsid w:val="00B37511"/>
    <w:rsid w:val="00B41AA4"/>
    <w:rsid w:val="00B451AE"/>
    <w:rsid w:val="00B52973"/>
    <w:rsid w:val="00B52EB1"/>
    <w:rsid w:val="00B5455D"/>
    <w:rsid w:val="00B56B51"/>
    <w:rsid w:val="00B60BC9"/>
    <w:rsid w:val="00B6121E"/>
    <w:rsid w:val="00B61A5C"/>
    <w:rsid w:val="00B62B2E"/>
    <w:rsid w:val="00B637D3"/>
    <w:rsid w:val="00B65A10"/>
    <w:rsid w:val="00B66F4D"/>
    <w:rsid w:val="00B74786"/>
    <w:rsid w:val="00B757FD"/>
    <w:rsid w:val="00B764B2"/>
    <w:rsid w:val="00B770CF"/>
    <w:rsid w:val="00B80F65"/>
    <w:rsid w:val="00B81556"/>
    <w:rsid w:val="00B8162A"/>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E44"/>
    <w:rsid w:val="00BF602D"/>
    <w:rsid w:val="00BF7B4F"/>
    <w:rsid w:val="00C00218"/>
    <w:rsid w:val="00C01305"/>
    <w:rsid w:val="00C01849"/>
    <w:rsid w:val="00C0532A"/>
    <w:rsid w:val="00C05F9F"/>
    <w:rsid w:val="00C06CF0"/>
    <w:rsid w:val="00C07AB8"/>
    <w:rsid w:val="00C07D01"/>
    <w:rsid w:val="00C11FEA"/>
    <w:rsid w:val="00C124C6"/>
    <w:rsid w:val="00C1340D"/>
    <w:rsid w:val="00C14AF9"/>
    <w:rsid w:val="00C152AD"/>
    <w:rsid w:val="00C221B1"/>
    <w:rsid w:val="00C232C0"/>
    <w:rsid w:val="00C236E0"/>
    <w:rsid w:val="00C23CA1"/>
    <w:rsid w:val="00C23F3D"/>
    <w:rsid w:val="00C258E4"/>
    <w:rsid w:val="00C2593B"/>
    <w:rsid w:val="00C25FEE"/>
    <w:rsid w:val="00C31793"/>
    <w:rsid w:val="00C32AC9"/>
    <w:rsid w:val="00C373FE"/>
    <w:rsid w:val="00C4329A"/>
    <w:rsid w:val="00C45687"/>
    <w:rsid w:val="00C45730"/>
    <w:rsid w:val="00C45A45"/>
    <w:rsid w:val="00C47CCD"/>
    <w:rsid w:val="00C50174"/>
    <w:rsid w:val="00C504B1"/>
    <w:rsid w:val="00C5213B"/>
    <w:rsid w:val="00C52AF1"/>
    <w:rsid w:val="00C53638"/>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74D2"/>
    <w:rsid w:val="00C9168E"/>
    <w:rsid w:val="00C930E0"/>
    <w:rsid w:val="00C937F4"/>
    <w:rsid w:val="00C93855"/>
    <w:rsid w:val="00C94ADE"/>
    <w:rsid w:val="00C9646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31166"/>
    <w:rsid w:val="00D32ECC"/>
    <w:rsid w:val="00D4012B"/>
    <w:rsid w:val="00D4065E"/>
    <w:rsid w:val="00D427F0"/>
    <w:rsid w:val="00D43C23"/>
    <w:rsid w:val="00D4756A"/>
    <w:rsid w:val="00D4787F"/>
    <w:rsid w:val="00D525A8"/>
    <w:rsid w:val="00D52ACF"/>
    <w:rsid w:val="00D53787"/>
    <w:rsid w:val="00D539AF"/>
    <w:rsid w:val="00D5468C"/>
    <w:rsid w:val="00D558C8"/>
    <w:rsid w:val="00D56DA9"/>
    <w:rsid w:val="00D57274"/>
    <w:rsid w:val="00D624EC"/>
    <w:rsid w:val="00D625D4"/>
    <w:rsid w:val="00D64261"/>
    <w:rsid w:val="00D6520A"/>
    <w:rsid w:val="00D66692"/>
    <w:rsid w:val="00D70AE3"/>
    <w:rsid w:val="00D713E4"/>
    <w:rsid w:val="00D727AE"/>
    <w:rsid w:val="00D73B65"/>
    <w:rsid w:val="00D73B8E"/>
    <w:rsid w:val="00D73D41"/>
    <w:rsid w:val="00D751EB"/>
    <w:rsid w:val="00D75A89"/>
    <w:rsid w:val="00D77608"/>
    <w:rsid w:val="00D807CB"/>
    <w:rsid w:val="00D82A79"/>
    <w:rsid w:val="00D83B4E"/>
    <w:rsid w:val="00D84033"/>
    <w:rsid w:val="00D8426C"/>
    <w:rsid w:val="00D90392"/>
    <w:rsid w:val="00D914A3"/>
    <w:rsid w:val="00D915F4"/>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A2F"/>
    <w:rsid w:val="00DD3E4C"/>
    <w:rsid w:val="00DD502C"/>
    <w:rsid w:val="00DD5FC4"/>
    <w:rsid w:val="00DD7120"/>
    <w:rsid w:val="00DD7C63"/>
    <w:rsid w:val="00DE0C52"/>
    <w:rsid w:val="00DE5585"/>
    <w:rsid w:val="00DE5A20"/>
    <w:rsid w:val="00DE691C"/>
    <w:rsid w:val="00DF0811"/>
    <w:rsid w:val="00DF0FE2"/>
    <w:rsid w:val="00DF51EC"/>
    <w:rsid w:val="00DF6E6A"/>
    <w:rsid w:val="00DF7BE7"/>
    <w:rsid w:val="00E00EE7"/>
    <w:rsid w:val="00E01097"/>
    <w:rsid w:val="00E014CB"/>
    <w:rsid w:val="00E1004D"/>
    <w:rsid w:val="00E104D3"/>
    <w:rsid w:val="00E125E4"/>
    <w:rsid w:val="00E12963"/>
    <w:rsid w:val="00E13FF8"/>
    <w:rsid w:val="00E1428A"/>
    <w:rsid w:val="00E145C4"/>
    <w:rsid w:val="00E14BB3"/>
    <w:rsid w:val="00E169AA"/>
    <w:rsid w:val="00E16D8E"/>
    <w:rsid w:val="00E20C0F"/>
    <w:rsid w:val="00E2458B"/>
    <w:rsid w:val="00E2468A"/>
    <w:rsid w:val="00E25085"/>
    <w:rsid w:val="00E31719"/>
    <w:rsid w:val="00E32DAA"/>
    <w:rsid w:val="00E33D63"/>
    <w:rsid w:val="00E36E4C"/>
    <w:rsid w:val="00E3769D"/>
    <w:rsid w:val="00E4022E"/>
    <w:rsid w:val="00E4488A"/>
    <w:rsid w:val="00E54EAF"/>
    <w:rsid w:val="00E558E4"/>
    <w:rsid w:val="00E563E8"/>
    <w:rsid w:val="00E56549"/>
    <w:rsid w:val="00E56680"/>
    <w:rsid w:val="00E56CD6"/>
    <w:rsid w:val="00E576D2"/>
    <w:rsid w:val="00E576D8"/>
    <w:rsid w:val="00E6022B"/>
    <w:rsid w:val="00E60504"/>
    <w:rsid w:val="00E62571"/>
    <w:rsid w:val="00E62DEE"/>
    <w:rsid w:val="00E62F39"/>
    <w:rsid w:val="00E63751"/>
    <w:rsid w:val="00E647C0"/>
    <w:rsid w:val="00E648C4"/>
    <w:rsid w:val="00E71C76"/>
    <w:rsid w:val="00E723A2"/>
    <w:rsid w:val="00E73C28"/>
    <w:rsid w:val="00E74DF7"/>
    <w:rsid w:val="00E75A3D"/>
    <w:rsid w:val="00E762C6"/>
    <w:rsid w:val="00E775FA"/>
    <w:rsid w:val="00E7766F"/>
    <w:rsid w:val="00E77ABB"/>
    <w:rsid w:val="00E805BA"/>
    <w:rsid w:val="00E818F7"/>
    <w:rsid w:val="00E824DD"/>
    <w:rsid w:val="00E82EA8"/>
    <w:rsid w:val="00E83912"/>
    <w:rsid w:val="00E86AAD"/>
    <w:rsid w:val="00E903DB"/>
    <w:rsid w:val="00E90EAE"/>
    <w:rsid w:val="00E9196B"/>
    <w:rsid w:val="00E92812"/>
    <w:rsid w:val="00E943BD"/>
    <w:rsid w:val="00E954F5"/>
    <w:rsid w:val="00EA186E"/>
    <w:rsid w:val="00EA5F8F"/>
    <w:rsid w:val="00EA6423"/>
    <w:rsid w:val="00EB214B"/>
    <w:rsid w:val="00EB30B4"/>
    <w:rsid w:val="00EB6AC4"/>
    <w:rsid w:val="00EB7428"/>
    <w:rsid w:val="00EC0025"/>
    <w:rsid w:val="00EC1380"/>
    <w:rsid w:val="00EC1463"/>
    <w:rsid w:val="00EC3E6A"/>
    <w:rsid w:val="00EC456D"/>
    <w:rsid w:val="00EC5027"/>
    <w:rsid w:val="00EC5ADA"/>
    <w:rsid w:val="00EC5E32"/>
    <w:rsid w:val="00EC7ADC"/>
    <w:rsid w:val="00ED2267"/>
    <w:rsid w:val="00ED2D8B"/>
    <w:rsid w:val="00ED3981"/>
    <w:rsid w:val="00ED3D5E"/>
    <w:rsid w:val="00ED40B7"/>
    <w:rsid w:val="00ED42A7"/>
    <w:rsid w:val="00ED51FC"/>
    <w:rsid w:val="00ED5E55"/>
    <w:rsid w:val="00ED7F7F"/>
    <w:rsid w:val="00EE0626"/>
    <w:rsid w:val="00EE120F"/>
    <w:rsid w:val="00EF0C73"/>
    <w:rsid w:val="00EF36CB"/>
    <w:rsid w:val="00EF5129"/>
    <w:rsid w:val="00EF56B2"/>
    <w:rsid w:val="00EF5F2E"/>
    <w:rsid w:val="00EF6195"/>
    <w:rsid w:val="00F010A9"/>
    <w:rsid w:val="00F0347B"/>
    <w:rsid w:val="00F119E2"/>
    <w:rsid w:val="00F11AA2"/>
    <w:rsid w:val="00F13393"/>
    <w:rsid w:val="00F144F4"/>
    <w:rsid w:val="00F156AC"/>
    <w:rsid w:val="00F21CAD"/>
    <w:rsid w:val="00F2211C"/>
    <w:rsid w:val="00F228FA"/>
    <w:rsid w:val="00F22B53"/>
    <w:rsid w:val="00F23BCE"/>
    <w:rsid w:val="00F2598F"/>
    <w:rsid w:val="00F31901"/>
    <w:rsid w:val="00F31CA9"/>
    <w:rsid w:val="00F3278E"/>
    <w:rsid w:val="00F33C00"/>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987"/>
    <w:rsid w:val="00FA1A57"/>
    <w:rsid w:val="00FA2089"/>
    <w:rsid w:val="00FA2380"/>
    <w:rsid w:val="00FA3B97"/>
    <w:rsid w:val="00FA3F21"/>
    <w:rsid w:val="00FA4839"/>
    <w:rsid w:val="00FA6901"/>
    <w:rsid w:val="00FA6B4F"/>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D1B624"/>
  <w15:docId w15:val="{8BCC27FD-3F9A-4B01-A4C7-119C32D4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5F4"/>
    <w:pPr>
      <w:spacing w:after="160" w:line="259" w:lineRule="auto"/>
    </w:pPr>
    <w:rPr>
      <w:rFonts w:eastAsiaTheme="minorHAnsi"/>
      <w:kern w:val="0"/>
      <w:sz w:val="24"/>
      <w:szCs w:val="22"/>
      <w:lang w:eastAsia="en-US"/>
    </w:rPr>
  </w:style>
  <w:style w:type="paragraph" w:styleId="Heading1">
    <w:name w:val="heading 1"/>
    <w:aliases w:val="x"/>
    <w:basedOn w:val="Normal"/>
    <w:next w:val="Normal"/>
    <w:link w:val="Heading1Char"/>
    <w:uiPriority w:val="9"/>
    <w:qFormat/>
    <w:rsid w:val="00F87A76"/>
    <w:pPr>
      <w:spacing w:before="240"/>
      <w:outlineLvl w:val="0"/>
    </w:pPr>
    <w:rPr>
      <w:rFonts w:ascii="Arial" w:hAnsi="Arial"/>
      <w:b/>
      <w:u w:val="single"/>
    </w:rPr>
  </w:style>
  <w:style w:type="paragraph" w:styleId="Heading2">
    <w:name w:val="heading 2"/>
    <w:basedOn w:val="Normal"/>
    <w:next w:val="Normal"/>
    <w:link w:val="Heading2Char"/>
    <w:uiPriority w:val="9"/>
    <w:qFormat/>
    <w:rsid w:val="00F87A76"/>
    <w:pPr>
      <w:spacing w:before="120"/>
      <w:outlineLvl w:val="1"/>
    </w:pPr>
    <w:rPr>
      <w:rFonts w:ascii="Arial" w:hAnsi="Arial" w:cstheme="majorBidi"/>
      <w:b/>
    </w:rPr>
  </w:style>
  <w:style w:type="paragraph" w:styleId="Heading3">
    <w:name w:val="heading 3"/>
    <w:basedOn w:val="Normal"/>
    <w:next w:val="Normal"/>
    <w:link w:val="Heading3Char"/>
    <w:uiPriority w:val="9"/>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144221"/>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144221"/>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144221"/>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144221"/>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144221"/>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144221"/>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144221"/>
    <w:pPr>
      <w:spacing w:before="240"/>
      <w:ind w:left="113" w:firstLine="0"/>
    </w:pPr>
  </w:style>
  <w:style w:type="paragraph" w:customStyle="1" w:styleId="Mdeck3publcationhistory">
    <w:name w:val="M_deck_3_publcation_history"/>
    <w:next w:val="Normal"/>
    <w:qFormat/>
    <w:rsid w:val="00144221"/>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144221"/>
    <w:pPr>
      <w:spacing w:line="340" w:lineRule="atLeast"/>
      <w:outlineLvl w:val="0"/>
    </w:pPr>
    <w:rPr>
      <w:b/>
      <w:snapToGrid/>
    </w:rPr>
  </w:style>
  <w:style w:type="paragraph" w:customStyle="1" w:styleId="Mdeck4heading2">
    <w:name w:val="M_deck_4_heading_2"/>
    <w:basedOn w:val="MHeading3"/>
    <w:next w:val="Normal"/>
    <w:qFormat/>
    <w:rsid w:val="00144221"/>
    <w:pPr>
      <w:outlineLvl w:val="1"/>
    </w:pPr>
    <w:rPr>
      <w:i/>
      <w:snapToGrid/>
    </w:rPr>
  </w:style>
  <w:style w:type="paragraph" w:customStyle="1" w:styleId="Mdeck4heading3">
    <w:name w:val="M_deck_4_heading_3"/>
    <w:basedOn w:val="Mdeck4text"/>
    <w:next w:val="Normal"/>
    <w:qFormat/>
    <w:rsid w:val="00144221"/>
    <w:pPr>
      <w:spacing w:before="240" w:after="120" w:line="340" w:lineRule="atLeast"/>
      <w:ind w:firstLineChars="50" w:firstLine="50"/>
      <w:outlineLvl w:val="2"/>
    </w:pPr>
    <w:rPr>
      <w:snapToGrid/>
    </w:rPr>
  </w:style>
  <w:style w:type="paragraph" w:customStyle="1" w:styleId="Mdeck4text">
    <w:name w:val="M_deck_4_text"/>
    <w:qFormat/>
    <w:rsid w:val="00144221"/>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144221"/>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144221"/>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144221"/>
    <w:rPr>
      <w:i/>
    </w:rPr>
  </w:style>
  <w:style w:type="paragraph" w:customStyle="1" w:styleId="Mdeck4textlrindent">
    <w:name w:val="M_deck_4_text_lr_indent"/>
    <w:basedOn w:val="Mdeck4text"/>
    <w:qFormat/>
    <w:rsid w:val="00144221"/>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144221"/>
    <w:pPr>
      <w:numPr>
        <w:numId w:val="5"/>
      </w:numPr>
      <w:spacing w:before="120" w:after="120" w:line="340" w:lineRule="atLeast"/>
    </w:pPr>
    <w:rPr>
      <w:snapToGrid/>
    </w:rPr>
  </w:style>
  <w:style w:type="paragraph" w:customStyle="1" w:styleId="Mdeck5tablebody">
    <w:name w:val="M_deck_5_table_body"/>
    <w:qFormat/>
    <w:rsid w:val="00144221"/>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144221"/>
    <w:pPr>
      <w:adjustRightInd w:val="0"/>
      <w:snapToGrid w:val="0"/>
      <w:spacing w:line="300" w:lineRule="exact"/>
      <w:jc w:val="center"/>
    </w:pPr>
    <w:rPr>
      <w:rFonts w:eastAsiaTheme="minorEastAsia"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144221"/>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144221"/>
    <w:pPr>
      <w:spacing w:line="300" w:lineRule="exact"/>
    </w:pPr>
  </w:style>
  <w:style w:type="paragraph" w:customStyle="1" w:styleId="Mdeck5tableheader">
    <w:name w:val="M_deck_5_table_header"/>
    <w:basedOn w:val="Mdeck5tablefooter"/>
    <w:rsid w:val="00144221"/>
  </w:style>
  <w:style w:type="paragraph" w:customStyle="1" w:styleId="Mdeck6figurebody">
    <w:name w:val="M_deck_6_figure_body"/>
    <w:qFormat/>
    <w:rsid w:val="00144221"/>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144221"/>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144221"/>
    <w:pPr>
      <w:spacing w:before="120" w:after="120"/>
      <w:ind w:left="709" w:firstLine="0"/>
      <w:jc w:val="center"/>
    </w:pPr>
    <w:rPr>
      <w:i/>
      <w:snapToGrid/>
      <w:szCs w:val="24"/>
      <w:lang w:eastAsia="en-US"/>
    </w:rPr>
  </w:style>
  <w:style w:type="paragraph" w:customStyle="1" w:styleId="Mdeck8references">
    <w:name w:val="M_deck_8_references"/>
    <w:qFormat/>
    <w:rsid w:val="00144221"/>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uiPriority w:val="9"/>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uiPriority w:val="9"/>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uiPriority w:val="9"/>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uiPriority w:val="99"/>
    <w:rsid w:val="00F87A76"/>
  </w:style>
  <w:style w:type="character" w:customStyle="1" w:styleId="FootnoteTextChar">
    <w:name w:val="Footnote Text Char"/>
    <w:basedOn w:val="DefaultParagraphFont"/>
    <w:link w:val="FootnoteText"/>
    <w:uiPriority w:val="99"/>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style>
  <w:style w:type="character" w:customStyle="1" w:styleId="CommentTextChar">
    <w:name w:val="Comment Text Char"/>
    <w:basedOn w:val="DefaultParagraphFont"/>
    <w:link w:val="CommentText"/>
    <w:uiPriority w:val="99"/>
    <w:rsid w:val="00F87A76"/>
    <w:rPr>
      <w:rFonts w:eastAsia="Times New Roman" w:cs="Times New Roman"/>
      <w:color w:val="000000"/>
      <w:kern w:val="0"/>
      <w:sz w:val="24"/>
      <w:lang w:eastAsia="de-DE"/>
    </w:rPr>
  </w:style>
  <w:style w:type="character" w:styleId="CommentReference">
    <w:name w:val="annotation reference"/>
    <w:basedOn w:val="DefaultParagraphFont"/>
    <w:uiPriority w:val="99"/>
    <w:rsid w:val="00F87A76"/>
    <w:rPr>
      <w:sz w:val="21"/>
      <w:szCs w:val="21"/>
    </w:rPr>
  </w:style>
  <w:style w:type="paragraph" w:styleId="CommentSubject">
    <w:name w:val="annotation subject"/>
    <w:basedOn w:val="CommentText"/>
    <w:next w:val="CommentText"/>
    <w:link w:val="CommentSubjectChar"/>
    <w:uiPriority w:val="99"/>
    <w:rsid w:val="00F87A76"/>
    <w:rPr>
      <w:b/>
      <w:bCs/>
    </w:rPr>
  </w:style>
  <w:style w:type="character" w:customStyle="1" w:styleId="CommentSubjectChar">
    <w:name w:val="Comment Subject Char"/>
    <w:basedOn w:val="CommentTextChar"/>
    <w:link w:val="CommentSubject"/>
    <w:uiPriority w:val="99"/>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unhideWhenUsed/>
    <w:rsid w:val="00F87A76"/>
  </w:style>
  <w:style w:type="paragraph" w:styleId="Caption">
    <w:name w:val="caption"/>
    <w:basedOn w:val="Normal"/>
    <w:next w:val="Normal"/>
    <w:uiPriority w:val="35"/>
    <w:qFormat/>
    <w:rsid w:val="00F87A76"/>
    <w:pPr>
      <w:ind w:left="850" w:hanging="850"/>
      <w:jc w:val="center"/>
    </w:pPr>
    <w:rPr>
      <w:b/>
      <w:bCs/>
      <w:szCs w:val="24"/>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uiPriority w:val="99"/>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144221"/>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1"/>
      </w:numPr>
      <w:ind w:left="425" w:hanging="425"/>
    </w:pPr>
  </w:style>
  <w:style w:type="paragraph" w:customStyle="1" w:styleId="MDPI38bullet">
    <w:name w:val="MDPI_3.8_bullet"/>
    <w:basedOn w:val="MDPI31text"/>
    <w:qFormat/>
    <w:rsid w:val="00B83B50"/>
    <w:pPr>
      <w:numPr>
        <w:numId w:val="2"/>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customStyle="1" w:styleId="Mdeck4ref-citation">
    <w:name w:val="M_deck_4_ref-citation"/>
    <w:basedOn w:val="BodyText"/>
    <w:qFormat/>
    <w:rsid w:val="00144221"/>
    <w:pPr>
      <w:kinsoku w:val="0"/>
      <w:overflowPunct w:val="0"/>
      <w:autoSpaceDE w:val="0"/>
      <w:autoSpaceDN w:val="0"/>
      <w:adjustRightInd w:val="0"/>
      <w:snapToGrid w:val="0"/>
      <w:spacing w:line="320" w:lineRule="atLeast"/>
      <w:ind w:firstLine="425"/>
    </w:pPr>
    <w:rPr>
      <w:rFonts w:ascii="Palatino Linotype" w:eastAsia="Times New Roman" w:hAnsi="Palatino Linotype"/>
      <w:snapToGrid w:val="0"/>
      <w:sz w:val="20"/>
      <w:lang w:bidi="en-US"/>
    </w:rPr>
  </w:style>
  <w:style w:type="paragraph" w:customStyle="1" w:styleId="Mdeck4ref-citation-red">
    <w:name w:val="M_deck_4_ref-citation-red"/>
    <w:basedOn w:val="BodyText"/>
    <w:qFormat/>
    <w:rsid w:val="00144221"/>
    <w:pPr>
      <w:kinsoku w:val="0"/>
      <w:overflowPunct w:val="0"/>
      <w:autoSpaceDE w:val="0"/>
      <w:autoSpaceDN w:val="0"/>
      <w:adjustRightInd w:val="0"/>
      <w:snapToGrid w:val="0"/>
      <w:spacing w:line="320" w:lineRule="atLeast"/>
      <w:ind w:firstLine="425"/>
    </w:pPr>
    <w:rPr>
      <w:rFonts w:ascii="Palatino Linotype" w:eastAsia="Times New Roman" w:hAnsi="Palatino Linotype"/>
      <w:snapToGrid w:val="0"/>
      <w:sz w:val="18"/>
      <w:lang w:bidi="en-US"/>
    </w:rPr>
  </w:style>
  <w:style w:type="character" w:styleId="Emphasis">
    <w:name w:val="Emphasis"/>
    <w:basedOn w:val="DefaultParagraphFont"/>
    <w:uiPriority w:val="20"/>
    <w:qFormat/>
    <w:rsid w:val="00D915F4"/>
    <w:rPr>
      <w:i/>
      <w:iCs/>
    </w:rPr>
  </w:style>
  <w:style w:type="character" w:styleId="FootnoteReference">
    <w:name w:val="footnote reference"/>
    <w:basedOn w:val="DefaultParagraphFont"/>
    <w:uiPriority w:val="99"/>
    <w:semiHidden/>
    <w:unhideWhenUsed/>
    <w:rsid w:val="00D915F4"/>
    <w:rPr>
      <w:vertAlign w:val="superscript"/>
    </w:rPr>
  </w:style>
  <w:style w:type="character" w:customStyle="1" w:styleId="Mention1">
    <w:name w:val="Mention1"/>
    <w:basedOn w:val="DefaultParagraphFont"/>
    <w:uiPriority w:val="99"/>
    <w:semiHidden/>
    <w:unhideWhenUsed/>
    <w:rsid w:val="00D915F4"/>
    <w:rPr>
      <w:color w:val="2B579A"/>
      <w:shd w:val="clear" w:color="auto" w:fill="E6E6E6"/>
    </w:rPr>
  </w:style>
  <w:style w:type="paragraph" w:styleId="Revision">
    <w:name w:val="Revision"/>
    <w:hidden/>
    <w:uiPriority w:val="99"/>
    <w:semiHidden/>
    <w:rsid w:val="00D915F4"/>
    <w:rPr>
      <w:rFonts w:eastAsiaTheme="minorHAnsi"/>
      <w:kern w:val="0"/>
      <w:sz w:val="24"/>
      <w:szCs w:val="22"/>
      <w:lang w:eastAsia="en-US"/>
    </w:rPr>
  </w:style>
  <w:style w:type="character" w:customStyle="1" w:styleId="citationref">
    <w:name w:val="citationref"/>
    <w:basedOn w:val="DefaultParagraphFont"/>
    <w:rsid w:val="00D915F4"/>
  </w:style>
  <w:style w:type="table" w:customStyle="1" w:styleId="TableGrid1">
    <w:name w:val="Table Grid1"/>
    <w:basedOn w:val="TableNormal"/>
    <w:next w:val="TableGrid"/>
    <w:uiPriority w:val="59"/>
    <w:rsid w:val="00D915F4"/>
    <w:rPr>
      <w:rFonts w:asciiTheme="minorHAnsi" w:eastAsiaTheme="minorHAnsi" w:hAnsi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347651">
      <w:bodyDiv w:val="1"/>
      <w:marLeft w:val="0"/>
      <w:marRight w:val="0"/>
      <w:marTop w:val="0"/>
      <w:marBottom w:val="0"/>
      <w:divBdr>
        <w:top w:val="none" w:sz="0" w:space="0" w:color="auto"/>
        <w:left w:val="none" w:sz="0" w:space="0" w:color="auto"/>
        <w:bottom w:val="none" w:sz="0" w:space="0" w:color="auto"/>
        <w:right w:val="none" w:sz="0" w:space="0" w:color="auto"/>
      </w:divBdr>
    </w:div>
    <w:div w:id="746263938">
      <w:bodyDiv w:val="1"/>
      <w:marLeft w:val="0"/>
      <w:marRight w:val="0"/>
      <w:marTop w:val="0"/>
      <w:marBottom w:val="0"/>
      <w:divBdr>
        <w:top w:val="none" w:sz="0" w:space="0" w:color="auto"/>
        <w:left w:val="none" w:sz="0" w:space="0" w:color="auto"/>
        <w:bottom w:val="none" w:sz="0" w:space="0" w:color="auto"/>
        <w:right w:val="none" w:sz="0" w:space="0" w:color="auto"/>
      </w:divBdr>
    </w:div>
    <w:div w:id="1343437676">
      <w:bodyDiv w:val="1"/>
      <w:marLeft w:val="0"/>
      <w:marRight w:val="0"/>
      <w:marTop w:val="0"/>
      <w:marBottom w:val="0"/>
      <w:divBdr>
        <w:top w:val="none" w:sz="0" w:space="0" w:color="auto"/>
        <w:left w:val="none" w:sz="0" w:space="0" w:color="auto"/>
        <w:bottom w:val="none" w:sz="0" w:space="0" w:color="auto"/>
        <w:right w:val="none" w:sz="0" w:space="0" w:color="auto"/>
      </w:divBdr>
    </w:div>
    <w:div w:id="14946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ater-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4C39F-AB4B-41E9-85BC-EBA93229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water-template.dot</Template>
  <TotalTime>0</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cp:lastPrinted>2018-01-03T10:00:00Z</cp:lastPrinted>
  <dcterms:created xsi:type="dcterms:W3CDTF">2018-02-02T14:06:00Z</dcterms:created>
  <dcterms:modified xsi:type="dcterms:W3CDTF">2018-02-02T14:06:00Z</dcterms:modified>
</cp:coreProperties>
</file>