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3D39" w14:textId="77777777" w:rsidR="00FA1481" w:rsidRPr="008C62DB" w:rsidRDefault="00664A12" w:rsidP="00E40896">
      <w:pPr>
        <w:jc w:val="center"/>
        <w:rPr>
          <w:sz w:val="36"/>
          <w:szCs w:val="36"/>
        </w:rPr>
      </w:pPr>
      <w:r w:rsidRPr="008C62DB">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4676B07E" w:rsidR="00CE6EAA" w:rsidRPr="008C62DB" w:rsidRDefault="00C47736" w:rsidP="00FF3503">
      <w:pPr>
        <w:spacing w:before="100" w:beforeAutospacing="1" w:after="100" w:afterAutospacing="1"/>
        <w:jc w:val="center"/>
        <w:rPr>
          <w:i/>
          <w:sz w:val="22"/>
          <w:szCs w:val="22"/>
        </w:rPr>
      </w:pPr>
      <w:r>
        <w:rPr>
          <w:i/>
          <w:sz w:val="22"/>
          <w:szCs w:val="22"/>
        </w:rPr>
        <w:t>JGR: Biogeosciences</w:t>
      </w:r>
    </w:p>
    <w:p w14:paraId="2CB29489" w14:textId="77777777" w:rsidR="00FF3503" w:rsidRPr="008C62DB" w:rsidRDefault="00FF3503" w:rsidP="00FF3503">
      <w:pPr>
        <w:spacing w:before="100" w:beforeAutospacing="1" w:after="100" w:afterAutospacing="1"/>
        <w:jc w:val="center"/>
        <w:rPr>
          <w:sz w:val="22"/>
          <w:szCs w:val="22"/>
        </w:rPr>
      </w:pPr>
      <w:r w:rsidRPr="008C62DB">
        <w:rPr>
          <w:sz w:val="22"/>
          <w:szCs w:val="22"/>
        </w:rPr>
        <w:t>Supporting Information for</w:t>
      </w:r>
    </w:p>
    <w:p w14:paraId="5E96B3D6" w14:textId="77777777" w:rsidR="009916B3" w:rsidRPr="00A22BD7" w:rsidRDefault="009916B3" w:rsidP="00922659">
      <w:pPr>
        <w:jc w:val="center"/>
        <w:rPr>
          <w:b/>
          <w:sz w:val="28"/>
        </w:rPr>
      </w:pPr>
      <w:r w:rsidRPr="00A22BD7">
        <w:rPr>
          <w:b/>
          <w:sz w:val="28"/>
        </w:rPr>
        <w:t>Watershed-scale drivers of air-water CO</w:t>
      </w:r>
      <w:r w:rsidRPr="00A22BD7">
        <w:rPr>
          <w:b/>
          <w:sz w:val="28"/>
          <w:vertAlign w:val="subscript"/>
        </w:rPr>
        <w:t>2</w:t>
      </w:r>
      <w:r w:rsidRPr="00A22BD7">
        <w:rPr>
          <w:b/>
          <w:sz w:val="28"/>
        </w:rPr>
        <w:t xml:space="preserve"> exchanges in two </w:t>
      </w:r>
      <w:proofErr w:type="spellStart"/>
      <w:r w:rsidRPr="00A22BD7">
        <w:rPr>
          <w:b/>
          <w:sz w:val="28"/>
        </w:rPr>
        <w:t>lagoonal</w:t>
      </w:r>
      <w:proofErr w:type="spellEnd"/>
      <w:r w:rsidRPr="00A22BD7">
        <w:rPr>
          <w:b/>
          <w:sz w:val="28"/>
        </w:rPr>
        <w:t>, North Carolina (USA) estuaries</w:t>
      </w:r>
    </w:p>
    <w:p w14:paraId="43A0ABEB" w14:textId="77777777" w:rsidR="00754993" w:rsidRPr="00754993" w:rsidRDefault="00754993" w:rsidP="00C54485">
      <w:pPr>
        <w:pStyle w:val="Authors"/>
        <w:jc w:val="center"/>
        <w:rPr>
          <w:b w:val="0"/>
        </w:rPr>
      </w:pPr>
      <w:r w:rsidRPr="00754993">
        <w:rPr>
          <w:b w:val="0"/>
        </w:rPr>
        <w:t>Bryce R. Van Dam</w:t>
      </w:r>
      <w:r w:rsidRPr="00754993">
        <w:rPr>
          <w:b w:val="0"/>
          <w:vertAlign w:val="superscript"/>
        </w:rPr>
        <w:t>1*</w:t>
      </w:r>
      <w:r w:rsidRPr="00754993">
        <w:rPr>
          <w:b w:val="0"/>
        </w:rPr>
        <w:t>, Joseph R. Crosswell</w:t>
      </w:r>
      <w:r w:rsidRPr="00754993">
        <w:rPr>
          <w:b w:val="0"/>
          <w:vertAlign w:val="superscript"/>
        </w:rPr>
        <w:t>1,2,3</w:t>
      </w:r>
      <w:r w:rsidRPr="00754993">
        <w:rPr>
          <w:b w:val="0"/>
        </w:rPr>
        <w:t>, Iris C. Anderson</w:t>
      </w:r>
      <w:r w:rsidRPr="00754993">
        <w:rPr>
          <w:b w:val="0"/>
          <w:vertAlign w:val="superscript"/>
        </w:rPr>
        <w:t>3</w:t>
      </w:r>
      <w:r w:rsidRPr="00754993">
        <w:rPr>
          <w:b w:val="0"/>
        </w:rPr>
        <w:t>, Hans W. Paerl</w:t>
      </w:r>
      <w:r w:rsidRPr="00754993">
        <w:rPr>
          <w:b w:val="0"/>
          <w:vertAlign w:val="superscript"/>
        </w:rPr>
        <w:t>1</w:t>
      </w:r>
    </w:p>
    <w:p w14:paraId="05F032FD" w14:textId="77777777" w:rsidR="00754993" w:rsidRPr="00F47EE5" w:rsidRDefault="00754993" w:rsidP="0062159C">
      <w:pPr>
        <w:widowControl w:val="0"/>
        <w:rPr>
          <w:szCs w:val="24"/>
        </w:rPr>
      </w:pPr>
      <w:r w:rsidRPr="00F47EE5">
        <w:rPr>
          <w:szCs w:val="24"/>
          <w:vertAlign w:val="superscript"/>
        </w:rPr>
        <w:t>1</w:t>
      </w:r>
      <w:r w:rsidRPr="00F47EE5">
        <w:rPr>
          <w:szCs w:val="24"/>
        </w:rPr>
        <w:t xml:space="preserve"> Institute of Marine Sciences, University of North Carolina at Chapel Hill, Morehead City, NC, USA</w:t>
      </w:r>
    </w:p>
    <w:p w14:paraId="6AE0B480" w14:textId="77777777" w:rsidR="00754993" w:rsidRPr="00F47EE5" w:rsidRDefault="00754993" w:rsidP="0062159C">
      <w:pPr>
        <w:widowControl w:val="0"/>
        <w:outlineLvl w:val="0"/>
        <w:rPr>
          <w:szCs w:val="24"/>
        </w:rPr>
      </w:pPr>
      <w:r w:rsidRPr="00F47EE5">
        <w:rPr>
          <w:szCs w:val="24"/>
          <w:vertAlign w:val="superscript"/>
        </w:rPr>
        <w:t>2</w:t>
      </w:r>
      <w:r w:rsidRPr="00F47EE5">
        <w:rPr>
          <w:szCs w:val="24"/>
        </w:rPr>
        <w:t xml:space="preserve"> CSIRO Oceans and Atmosphere, Brisbane, QLD, Australia</w:t>
      </w:r>
    </w:p>
    <w:p w14:paraId="4979933A" w14:textId="77777777" w:rsidR="00754993" w:rsidRPr="00F47EE5" w:rsidRDefault="00754993" w:rsidP="0062159C">
      <w:pPr>
        <w:pStyle w:val="PlainText"/>
        <w:rPr>
          <w:rFonts w:ascii="Times New Roman" w:hAnsi="Times New Roman" w:cs="Times New Roman"/>
          <w:sz w:val="24"/>
          <w:szCs w:val="24"/>
        </w:rPr>
      </w:pPr>
      <w:r w:rsidRPr="00F47EE5">
        <w:rPr>
          <w:rFonts w:ascii="Times New Roman" w:hAnsi="Times New Roman" w:cs="Times New Roman"/>
          <w:sz w:val="24"/>
          <w:szCs w:val="24"/>
          <w:vertAlign w:val="superscript"/>
        </w:rPr>
        <w:t>3</w:t>
      </w:r>
      <w:r w:rsidRPr="00F47EE5">
        <w:rPr>
          <w:rFonts w:ascii="Times New Roman" w:hAnsi="Times New Roman" w:cs="Times New Roman"/>
          <w:sz w:val="24"/>
          <w:szCs w:val="24"/>
        </w:rPr>
        <w:t xml:space="preserve"> Virginia Institute of Marine Science, College of William &amp; Mary, Gloucester Point, VA, USA</w:t>
      </w:r>
    </w:p>
    <w:p w14:paraId="347237BD" w14:textId="4F7BEF5C" w:rsidR="00094365" w:rsidRDefault="00754993" w:rsidP="00E2752F">
      <w:pPr>
        <w:pStyle w:val="Affiliation"/>
      </w:pPr>
      <w:r w:rsidRPr="004B7E16">
        <w:rPr>
          <w:vertAlign w:val="superscript"/>
        </w:rPr>
        <w:t>*</w:t>
      </w:r>
      <w:r w:rsidRPr="00A22BD7">
        <w:t xml:space="preserve">Corresponding author: </w:t>
      </w:r>
      <w:r>
        <w:t xml:space="preserve">Bryce Van Dam, </w:t>
      </w:r>
      <w:r w:rsidRPr="00A22BD7">
        <w:t>bvandam@live.unc.edu</w:t>
      </w:r>
    </w:p>
    <w:p w14:paraId="609A7DE7" w14:textId="77777777" w:rsidR="00E2752F" w:rsidRPr="00E2752F" w:rsidRDefault="00E2752F" w:rsidP="00E2752F">
      <w:pPr>
        <w:pStyle w:val="Affiliation"/>
      </w:pPr>
    </w:p>
    <w:p w14:paraId="1CD128B3" w14:textId="77777777" w:rsidR="00111843" w:rsidRPr="008C62DB" w:rsidRDefault="00111843" w:rsidP="00111843">
      <w:pPr>
        <w:rPr>
          <w:b/>
        </w:rPr>
      </w:pPr>
      <w:r w:rsidRPr="008C62DB">
        <w:rPr>
          <w:b/>
        </w:rPr>
        <w:t>Contents of this file</w:t>
      </w:r>
      <w:r w:rsidR="00E43D2D" w:rsidRPr="008C62DB">
        <w:rPr>
          <w:b/>
        </w:rPr>
        <w:t xml:space="preserve"> </w:t>
      </w:r>
    </w:p>
    <w:p w14:paraId="1F13291B" w14:textId="77777777" w:rsidR="00E43D2D" w:rsidRPr="008C62DB" w:rsidRDefault="00E43D2D" w:rsidP="00111843"/>
    <w:p w14:paraId="3D1CAEA0" w14:textId="0B2195A0" w:rsidR="00111843" w:rsidRPr="008C62DB" w:rsidRDefault="00621736" w:rsidP="00111843">
      <w:pPr>
        <w:ind w:left="720"/>
        <w:rPr>
          <w:sz w:val="22"/>
          <w:szCs w:val="22"/>
        </w:rPr>
      </w:pPr>
      <w:r>
        <w:rPr>
          <w:sz w:val="22"/>
          <w:szCs w:val="22"/>
        </w:rPr>
        <w:t>Text S1 to S3</w:t>
      </w:r>
    </w:p>
    <w:p w14:paraId="10640459" w14:textId="159C6B3A" w:rsidR="00111843" w:rsidRPr="008C62DB" w:rsidRDefault="00E60F22" w:rsidP="00111843">
      <w:pPr>
        <w:ind w:left="720"/>
        <w:rPr>
          <w:sz w:val="22"/>
          <w:szCs w:val="22"/>
        </w:rPr>
      </w:pPr>
      <w:r>
        <w:rPr>
          <w:sz w:val="22"/>
          <w:szCs w:val="22"/>
        </w:rPr>
        <w:t>Figures S1 to S5</w:t>
      </w:r>
    </w:p>
    <w:p w14:paraId="5049949D" w14:textId="31D71F1B" w:rsidR="000544DC" w:rsidRPr="008C62DB" w:rsidRDefault="00AB23AA" w:rsidP="000544DC">
      <w:pPr>
        <w:ind w:left="720"/>
        <w:rPr>
          <w:sz w:val="22"/>
          <w:szCs w:val="22"/>
        </w:rPr>
      </w:pPr>
      <w:r>
        <w:rPr>
          <w:sz w:val="22"/>
          <w:szCs w:val="22"/>
        </w:rPr>
        <w:t>Table S1</w:t>
      </w:r>
    </w:p>
    <w:p w14:paraId="79042C92" w14:textId="77777777" w:rsidR="00FF3503" w:rsidRPr="008C62DB" w:rsidRDefault="00FF3503" w:rsidP="00FF3503">
      <w:pPr>
        <w:spacing w:before="100" w:beforeAutospacing="1" w:after="100" w:afterAutospacing="1"/>
        <w:rPr>
          <w:b/>
          <w:szCs w:val="24"/>
        </w:rPr>
      </w:pPr>
      <w:r w:rsidRPr="008C62DB">
        <w:rPr>
          <w:b/>
          <w:bCs/>
          <w:szCs w:val="24"/>
        </w:rPr>
        <w:t>Introduction</w:t>
      </w:r>
      <w:r w:rsidRPr="008C62DB">
        <w:rPr>
          <w:b/>
          <w:szCs w:val="24"/>
        </w:rPr>
        <w:t xml:space="preserve"> </w:t>
      </w:r>
    </w:p>
    <w:p w14:paraId="2B074851" w14:textId="519A5B1E" w:rsidR="002C030F" w:rsidRPr="00E95BD3" w:rsidRDefault="00D80663" w:rsidP="001C5DFE">
      <w:pPr>
        <w:spacing w:before="100" w:beforeAutospacing="1" w:after="100" w:afterAutospacing="1"/>
        <w:rPr>
          <w:szCs w:val="24"/>
        </w:rPr>
      </w:pPr>
      <w:r>
        <w:rPr>
          <w:szCs w:val="24"/>
        </w:rPr>
        <w:t>Three</w:t>
      </w:r>
      <w:r w:rsidR="00E65DF7" w:rsidRPr="001C5DFE">
        <w:rPr>
          <w:szCs w:val="24"/>
        </w:rPr>
        <w:t xml:space="preserve"> </w:t>
      </w:r>
      <w:r w:rsidR="002B7F2C">
        <w:rPr>
          <w:szCs w:val="24"/>
        </w:rPr>
        <w:t xml:space="preserve">text sections are included in this Supporting Information document. The first addresses </w:t>
      </w:r>
      <w:r w:rsidR="003349A5">
        <w:rPr>
          <w:szCs w:val="24"/>
        </w:rPr>
        <w:t>methodological concerns with our pCO</w:t>
      </w:r>
      <w:r w:rsidR="003349A5">
        <w:rPr>
          <w:szCs w:val="24"/>
          <w:vertAlign w:val="subscript"/>
        </w:rPr>
        <w:t>2</w:t>
      </w:r>
      <w:r w:rsidR="003349A5">
        <w:rPr>
          <w:szCs w:val="24"/>
        </w:rPr>
        <w:t xml:space="preserve"> analyzer calibration, and includes an assessment of analytical uncertainty that is inherent with this calibration. </w:t>
      </w:r>
      <w:r w:rsidR="00487542">
        <w:rPr>
          <w:szCs w:val="24"/>
        </w:rPr>
        <w:t xml:space="preserve">In the second section, we attempt to </w:t>
      </w:r>
      <w:r w:rsidR="009E2512">
        <w:rPr>
          <w:szCs w:val="24"/>
        </w:rPr>
        <w:t xml:space="preserve">constrain </w:t>
      </w:r>
      <w:r w:rsidR="007C6966">
        <w:rPr>
          <w:szCs w:val="24"/>
        </w:rPr>
        <w:t>other sources of</w:t>
      </w:r>
      <w:r w:rsidR="009E2512">
        <w:rPr>
          <w:szCs w:val="24"/>
        </w:rPr>
        <w:t xml:space="preserve"> </w:t>
      </w:r>
      <w:r w:rsidR="009174EE">
        <w:rPr>
          <w:szCs w:val="24"/>
        </w:rPr>
        <w:t xml:space="preserve">uncertainty in our </w:t>
      </w:r>
      <w:r w:rsidR="007C6966">
        <w:rPr>
          <w:szCs w:val="24"/>
        </w:rPr>
        <w:t>CO</w:t>
      </w:r>
      <w:r w:rsidR="007C6966">
        <w:rPr>
          <w:szCs w:val="24"/>
          <w:vertAlign w:val="subscript"/>
        </w:rPr>
        <w:t>2</w:t>
      </w:r>
      <w:r w:rsidR="007C6966">
        <w:rPr>
          <w:szCs w:val="24"/>
        </w:rPr>
        <w:t xml:space="preserve"> </w:t>
      </w:r>
      <w:r w:rsidR="009174EE">
        <w:rPr>
          <w:szCs w:val="24"/>
        </w:rPr>
        <w:t xml:space="preserve">flux </w:t>
      </w:r>
      <w:r w:rsidR="007C6966" w:rsidRPr="00E95BD3">
        <w:rPr>
          <w:szCs w:val="24"/>
        </w:rPr>
        <w:t>determinations</w:t>
      </w:r>
      <w:r w:rsidR="00D7263C" w:rsidRPr="00E95BD3">
        <w:rPr>
          <w:szCs w:val="24"/>
        </w:rPr>
        <w:t xml:space="preserve">. </w:t>
      </w:r>
      <w:r w:rsidR="005A0947" w:rsidRPr="00E95BD3">
        <w:rPr>
          <w:szCs w:val="24"/>
        </w:rPr>
        <w:t xml:space="preserve">Focus is placed on the impact of different gas transfer velocity parameterizations on calculated fluxes. </w:t>
      </w:r>
      <w:r>
        <w:rPr>
          <w:szCs w:val="24"/>
        </w:rPr>
        <w:t>The last text section (S3) details additional sources of pCO</w:t>
      </w:r>
      <w:r w:rsidRPr="00D80663">
        <w:rPr>
          <w:szCs w:val="24"/>
          <w:vertAlign w:val="subscript"/>
        </w:rPr>
        <w:t>2</w:t>
      </w:r>
      <w:r>
        <w:rPr>
          <w:szCs w:val="24"/>
        </w:rPr>
        <w:t xml:space="preserve"> variability that could not be constrained in the present study, and could </w:t>
      </w:r>
      <w:proofErr w:type="gramStart"/>
      <w:r>
        <w:rPr>
          <w:szCs w:val="24"/>
        </w:rPr>
        <w:t>be considered to be</w:t>
      </w:r>
      <w:proofErr w:type="gramEnd"/>
      <w:r>
        <w:rPr>
          <w:szCs w:val="24"/>
        </w:rPr>
        <w:t xml:space="preserve"> potential limitations. </w:t>
      </w:r>
      <w:r w:rsidR="00966746" w:rsidRPr="00E95BD3">
        <w:rPr>
          <w:szCs w:val="24"/>
        </w:rPr>
        <w:t>Figures S3 and S4 show trends in FW age, CO</w:t>
      </w:r>
      <w:r w:rsidR="00966746" w:rsidRPr="00E95BD3">
        <w:rPr>
          <w:szCs w:val="24"/>
          <w:vertAlign w:val="subscript"/>
        </w:rPr>
        <w:t>2</w:t>
      </w:r>
      <w:r w:rsidR="00966746" w:rsidRPr="00E95BD3">
        <w:rPr>
          <w:szCs w:val="24"/>
        </w:rPr>
        <w:t xml:space="preserve"> flux, and other parameters over time</w:t>
      </w:r>
      <w:r w:rsidR="003057C0">
        <w:rPr>
          <w:szCs w:val="24"/>
        </w:rPr>
        <w:t>. Figure S5 shows anticipated changes in pH across both estuaries in due to anthropogenic CO</w:t>
      </w:r>
      <w:r w:rsidR="003057C0">
        <w:rPr>
          <w:szCs w:val="24"/>
          <w:vertAlign w:val="subscript"/>
        </w:rPr>
        <w:t>2</w:t>
      </w:r>
      <w:r w:rsidR="003057C0">
        <w:rPr>
          <w:szCs w:val="24"/>
        </w:rPr>
        <w:t xml:space="preserve"> additions. Figures S3, S4, and S5</w:t>
      </w:r>
      <w:r w:rsidR="00A949BF" w:rsidRPr="00E95BD3">
        <w:rPr>
          <w:szCs w:val="24"/>
        </w:rPr>
        <w:t xml:space="preserve"> are referenced in the text of the main manuscript. F</w:t>
      </w:r>
      <w:r w:rsidR="005A3439" w:rsidRPr="00E95BD3">
        <w:rPr>
          <w:szCs w:val="24"/>
        </w:rPr>
        <w:t>igures S1-</w:t>
      </w:r>
      <w:r w:rsidR="00611228" w:rsidRPr="00E95BD3">
        <w:rPr>
          <w:szCs w:val="24"/>
        </w:rPr>
        <w:t>S2</w:t>
      </w:r>
      <w:r w:rsidR="005A3439" w:rsidRPr="00E95BD3">
        <w:rPr>
          <w:szCs w:val="24"/>
        </w:rPr>
        <w:t>, and Table S1</w:t>
      </w:r>
      <w:r w:rsidR="00611228" w:rsidRPr="00E95BD3">
        <w:rPr>
          <w:szCs w:val="24"/>
        </w:rPr>
        <w:t xml:space="preserve"> </w:t>
      </w:r>
      <w:r w:rsidR="00F552E2" w:rsidRPr="00E95BD3">
        <w:rPr>
          <w:szCs w:val="24"/>
        </w:rPr>
        <w:t>pertain to text in</w:t>
      </w:r>
      <w:r w:rsidR="009705DF" w:rsidRPr="00E95BD3">
        <w:rPr>
          <w:szCs w:val="24"/>
        </w:rPr>
        <w:t xml:space="preserve"> the Supporting I</w:t>
      </w:r>
      <w:r w:rsidR="006810E3" w:rsidRPr="00E95BD3">
        <w:rPr>
          <w:szCs w:val="24"/>
        </w:rPr>
        <w:t xml:space="preserve">nformation. </w:t>
      </w:r>
      <w:r w:rsidR="00C636D0">
        <w:rPr>
          <w:szCs w:val="24"/>
        </w:rPr>
        <w:t xml:space="preserve">Raw </w:t>
      </w:r>
      <w:r w:rsidR="00C636D0">
        <w:rPr>
          <w:iCs/>
          <w:szCs w:val="24"/>
          <w:shd w:val="clear" w:color="auto" w:fill="FFFFFF"/>
        </w:rPr>
        <w:t xml:space="preserve">data </w:t>
      </w:r>
      <w:r w:rsidR="00C636D0" w:rsidRPr="00B6685E">
        <w:rPr>
          <w:iCs/>
          <w:szCs w:val="24"/>
          <w:shd w:val="clear" w:color="auto" w:fill="FFFFFF"/>
        </w:rPr>
        <w:t xml:space="preserve">used </w:t>
      </w:r>
      <w:r w:rsidR="00C636D0">
        <w:rPr>
          <w:iCs/>
          <w:szCs w:val="24"/>
          <w:shd w:val="clear" w:color="auto" w:fill="FFFFFF"/>
        </w:rPr>
        <w:t xml:space="preserve">in this study, along with most of the relevant calculations, </w:t>
      </w:r>
      <w:r w:rsidR="00C636D0" w:rsidRPr="00B6685E">
        <w:rPr>
          <w:iCs/>
          <w:szCs w:val="24"/>
          <w:shd w:val="clear" w:color="auto" w:fill="FFFFFF"/>
        </w:rPr>
        <w:t xml:space="preserve">are </w:t>
      </w:r>
      <w:r w:rsidR="00C636D0">
        <w:rPr>
          <w:iCs/>
          <w:szCs w:val="24"/>
          <w:shd w:val="clear" w:color="auto" w:fill="FFFFFF"/>
        </w:rPr>
        <w:t xml:space="preserve">provided as a compressed file </w:t>
      </w:r>
      <w:r w:rsidR="004A5036">
        <w:rPr>
          <w:iCs/>
          <w:szCs w:val="24"/>
          <w:shd w:val="clear" w:color="auto" w:fill="FFFFFF"/>
        </w:rPr>
        <w:t>associated with this</w:t>
      </w:r>
      <w:r w:rsidR="00C636D0">
        <w:rPr>
          <w:iCs/>
          <w:szCs w:val="24"/>
          <w:shd w:val="clear" w:color="auto" w:fill="FFFFFF"/>
        </w:rPr>
        <w:t xml:space="preserve"> supporting information; more detailed inquiries may be directed towards</w:t>
      </w:r>
      <w:r w:rsidR="00C636D0" w:rsidRPr="00B6685E">
        <w:rPr>
          <w:iCs/>
          <w:szCs w:val="24"/>
          <w:shd w:val="clear" w:color="auto" w:fill="FFFFFF"/>
        </w:rPr>
        <w:t xml:space="preserve"> the corresponding author.</w:t>
      </w:r>
    </w:p>
    <w:p w14:paraId="21E93E07" w14:textId="184A6C3D" w:rsidR="008C6296" w:rsidRPr="00E95BD3" w:rsidRDefault="00015F74" w:rsidP="00663676">
      <w:pPr>
        <w:pStyle w:val="SMHeading"/>
      </w:pPr>
      <w:r w:rsidRPr="00E95BD3">
        <w:lastRenderedPageBreak/>
        <w:t>Text</w:t>
      </w:r>
      <w:r w:rsidR="00D60BB0" w:rsidRPr="00E95BD3">
        <w:t xml:space="preserve"> S1.</w:t>
      </w:r>
      <w:r w:rsidR="00663676" w:rsidRPr="00E95BD3">
        <w:t xml:space="preserve"> </w:t>
      </w:r>
      <w:r w:rsidR="008C6296" w:rsidRPr="00E95BD3">
        <w:t>Methods</w:t>
      </w:r>
    </w:p>
    <w:p w14:paraId="12C0EDF6" w14:textId="5BD6686E" w:rsidR="008C6296" w:rsidRPr="00AC4FBE" w:rsidRDefault="008C6296" w:rsidP="00E20180">
      <w:r w:rsidRPr="00E95BD3">
        <w:rPr>
          <w:rFonts w:eastAsiaTheme="minorHAnsi"/>
          <w:szCs w:val="24"/>
        </w:rPr>
        <w:t xml:space="preserve">During some cruises, the same standards used for calibration were measured </w:t>
      </w:r>
      <w:r w:rsidRPr="00E95BD3">
        <w:rPr>
          <w:rFonts w:eastAsiaTheme="minorHAnsi"/>
          <w:i/>
          <w:iCs/>
          <w:szCs w:val="24"/>
        </w:rPr>
        <w:t xml:space="preserve">during </w:t>
      </w:r>
      <w:r w:rsidRPr="00E95BD3">
        <w:rPr>
          <w:rFonts w:eastAsiaTheme="minorHAnsi"/>
          <w:szCs w:val="24"/>
        </w:rPr>
        <w:t xml:space="preserve">the trip as check standards, </w:t>
      </w:r>
      <w:proofErr w:type="gramStart"/>
      <w:r w:rsidRPr="00E95BD3">
        <w:rPr>
          <w:rFonts w:eastAsiaTheme="minorHAnsi"/>
          <w:szCs w:val="24"/>
        </w:rPr>
        <w:t>in an attempt to</w:t>
      </w:r>
      <w:proofErr w:type="gramEnd"/>
      <w:r w:rsidRPr="00E95BD3">
        <w:rPr>
          <w:rFonts w:eastAsiaTheme="minorHAnsi"/>
          <w:szCs w:val="24"/>
        </w:rPr>
        <w:t xml:space="preserve"> check the assumption that analytical drift is linear.</w:t>
      </w:r>
      <w:r w:rsidRPr="00AC4FBE">
        <w:rPr>
          <w:rFonts w:eastAsiaTheme="minorHAnsi"/>
        </w:rPr>
        <w:t xml:space="preserve"> The slope and y-intercept that was interpolated linearly through time (same as was used to calibrate SHE pCO</w:t>
      </w:r>
      <w:r w:rsidRPr="00AC4FBE">
        <w:rPr>
          <w:rFonts w:eastAsiaTheme="minorHAnsi"/>
          <w:vertAlign w:val="subscript"/>
        </w:rPr>
        <w:t>2</w:t>
      </w:r>
      <w:r w:rsidRPr="00AC4FBE">
        <w:rPr>
          <w:rFonts w:eastAsiaTheme="minorHAnsi"/>
        </w:rPr>
        <w:t>) was applied to each measured check standard xCO</w:t>
      </w:r>
      <w:r w:rsidRPr="00AC4FBE">
        <w:rPr>
          <w:rFonts w:eastAsiaTheme="minorHAnsi"/>
          <w:vertAlign w:val="subscript"/>
        </w:rPr>
        <w:t>2</w:t>
      </w:r>
      <w:r w:rsidRPr="00AC4FBE">
        <w:rPr>
          <w:rFonts w:eastAsiaTheme="minorHAnsi"/>
        </w:rPr>
        <w:t>. The difference between this calibrated value and the stated standard concentration is a type of analytical error related to both the instrument’s linear response, and the assumption of linear drift. This error is insignificant at high CO</w:t>
      </w:r>
      <w:r w:rsidRPr="00AC4FBE">
        <w:rPr>
          <w:rFonts w:eastAsiaTheme="minorHAnsi"/>
          <w:vertAlign w:val="subscript"/>
        </w:rPr>
        <w:t>2</w:t>
      </w:r>
      <w:r w:rsidRPr="00AC4FBE">
        <w:rPr>
          <w:rFonts w:eastAsiaTheme="minorHAnsi"/>
        </w:rPr>
        <w:t xml:space="preserve"> concentration, but becomes large at low concentration</w:t>
      </w:r>
      <w:r>
        <w:rPr>
          <w:rFonts w:eastAsiaTheme="minorHAnsi"/>
        </w:rPr>
        <w:t xml:space="preserve"> (Figure S1)</w:t>
      </w:r>
      <w:r w:rsidRPr="00AC4FBE">
        <w:rPr>
          <w:rFonts w:eastAsiaTheme="minorHAnsi"/>
        </w:rPr>
        <w:t xml:space="preserve">. The average calibrated concentration for the </w:t>
      </w:r>
      <w:proofErr w:type="gramStart"/>
      <w:r w:rsidRPr="00AC4FBE">
        <w:rPr>
          <w:rFonts w:eastAsiaTheme="minorHAnsi"/>
        </w:rPr>
        <w:t>100 ppm</w:t>
      </w:r>
      <w:proofErr w:type="gramEnd"/>
      <w:r w:rsidRPr="00AC4FBE">
        <w:rPr>
          <w:rFonts w:eastAsiaTheme="minorHAnsi"/>
        </w:rPr>
        <w:t xml:space="preserve"> check standard was 33 ppm, an error of 33%. This error was 3.2% for the 2000 ppm standard, and 0.15% at 5000 ppm</w:t>
      </w:r>
      <w:r>
        <w:rPr>
          <w:rFonts w:eastAsiaTheme="minorHAnsi"/>
        </w:rPr>
        <w:t xml:space="preserve">. </w:t>
      </w:r>
      <w:r w:rsidRPr="00AC4FBE">
        <w:rPr>
          <w:rFonts w:eastAsiaTheme="minorHAnsi"/>
        </w:rPr>
        <w:t>Because this error changes with concentration, the application of a single correction factor to measured values over the entire calibration range wo</w:t>
      </w:r>
      <w:r>
        <w:rPr>
          <w:rFonts w:eastAsiaTheme="minorHAnsi"/>
        </w:rPr>
        <w:t>uld be inappropriate.</w:t>
      </w:r>
      <w:r w:rsidRPr="00AC4FBE">
        <w:rPr>
          <w:rFonts w:eastAsiaTheme="minorHAnsi"/>
          <w:noProof/>
        </w:rPr>
        <w:t xml:space="preserve"> </w:t>
      </w:r>
      <w:r>
        <w:rPr>
          <w:rFonts w:eastAsiaTheme="minorHAnsi"/>
        </w:rPr>
        <w:t>Surface water pCO</w:t>
      </w:r>
      <w:r>
        <w:rPr>
          <w:rFonts w:eastAsiaTheme="minorHAnsi"/>
          <w:vertAlign w:val="subscript"/>
        </w:rPr>
        <w:t>2</w:t>
      </w:r>
      <w:r>
        <w:rPr>
          <w:rFonts w:eastAsiaTheme="minorHAnsi"/>
        </w:rPr>
        <w:t xml:space="preserve"> was occasionally above 5000 µ</w:t>
      </w:r>
      <w:proofErr w:type="spellStart"/>
      <w:r>
        <w:rPr>
          <w:rFonts w:eastAsiaTheme="minorHAnsi"/>
        </w:rPr>
        <w:t>atm</w:t>
      </w:r>
      <w:proofErr w:type="spellEnd"/>
      <w:r>
        <w:rPr>
          <w:rFonts w:eastAsiaTheme="minorHAnsi"/>
        </w:rPr>
        <w:t xml:space="preserve"> (maximum segment-wide average of 5033 µ</w:t>
      </w:r>
      <w:proofErr w:type="spellStart"/>
      <w:r>
        <w:rPr>
          <w:rFonts w:eastAsiaTheme="minorHAnsi"/>
        </w:rPr>
        <w:t>atm</w:t>
      </w:r>
      <w:proofErr w:type="spellEnd"/>
      <w:r>
        <w:rPr>
          <w:rFonts w:eastAsiaTheme="minorHAnsi"/>
        </w:rPr>
        <w:t xml:space="preserve"> in the </w:t>
      </w:r>
      <w:proofErr w:type="spellStart"/>
      <w:r>
        <w:rPr>
          <w:rFonts w:eastAsiaTheme="minorHAnsi"/>
        </w:rPr>
        <w:t>NeuseRE</w:t>
      </w:r>
      <w:proofErr w:type="spellEnd"/>
      <w:r>
        <w:rPr>
          <w:rFonts w:eastAsiaTheme="minorHAnsi"/>
        </w:rPr>
        <w:t xml:space="preserve"> in Sept 2016), beyond the range over which error could be constrained. However, the manufacturer’s stated measurement range extends to 20,000 ppm, so we feel it is reasonable to extend linear calibrations across this range. </w:t>
      </w:r>
    </w:p>
    <w:p w14:paraId="0E75A3ED" w14:textId="2DB5226F" w:rsidR="008C6296" w:rsidRPr="00145ED3" w:rsidRDefault="00663676" w:rsidP="00663676">
      <w:pPr>
        <w:pStyle w:val="SMHeading"/>
      </w:pPr>
      <w:r w:rsidRPr="00145ED3">
        <w:t xml:space="preserve">Text S2. </w:t>
      </w:r>
      <w:r w:rsidR="008C6296" w:rsidRPr="00145ED3">
        <w:t>Uncertainty</w:t>
      </w:r>
    </w:p>
    <w:p w14:paraId="521E7F5B" w14:textId="77777777" w:rsidR="008C6296" w:rsidRPr="00A9417C" w:rsidRDefault="008C6296" w:rsidP="00A94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Cs w:val="24"/>
        </w:rPr>
      </w:pPr>
      <w:r w:rsidRPr="00A9417C">
        <w:rPr>
          <w:rFonts w:eastAsiaTheme="minorHAnsi"/>
          <w:szCs w:val="24"/>
        </w:rPr>
        <w:tab/>
        <w:t>The uncertainty in estimating air-sea gas exchange is complex and stems from multiple sources of error, namely the following: analytical error for equilibrated CO</w:t>
      </w:r>
      <w:r w:rsidRPr="00A9417C">
        <w:rPr>
          <w:rFonts w:eastAsiaTheme="minorHAnsi"/>
          <w:szCs w:val="24"/>
          <w:vertAlign w:val="subscript"/>
        </w:rPr>
        <w:t>2</w:t>
      </w:r>
      <w:r w:rsidRPr="00A9417C">
        <w:rPr>
          <w:rFonts w:eastAsiaTheme="minorHAnsi"/>
          <w:szCs w:val="24"/>
        </w:rPr>
        <w:t>, error in calculating CO</w:t>
      </w:r>
      <w:r w:rsidRPr="00A9417C">
        <w:rPr>
          <w:rFonts w:eastAsiaTheme="minorHAnsi"/>
          <w:szCs w:val="24"/>
          <w:vertAlign w:val="subscript"/>
        </w:rPr>
        <w:t>2</w:t>
      </w:r>
      <w:r w:rsidRPr="00A9417C">
        <w:rPr>
          <w:rFonts w:eastAsiaTheme="minorHAnsi"/>
          <w:szCs w:val="24"/>
        </w:rPr>
        <w:t xml:space="preserve"> solubility (Henry’s Law, and its temperature and salinity dependence), and error in parameterization of the gas transfer velocity. Each of these uncertainty components is composed of error compounded from its own unique sources. For example, when the CO</w:t>
      </w:r>
      <w:r w:rsidRPr="00A9417C">
        <w:rPr>
          <w:rFonts w:eastAsiaTheme="minorHAnsi"/>
          <w:szCs w:val="24"/>
          <w:vertAlign w:val="subscript"/>
        </w:rPr>
        <w:t>2</w:t>
      </w:r>
      <w:r w:rsidRPr="00A9417C">
        <w:rPr>
          <w:rFonts w:eastAsiaTheme="minorHAnsi"/>
          <w:szCs w:val="24"/>
        </w:rPr>
        <w:t xml:space="preserve"> concentration in the SHE headspace is used to estimate pCO</w:t>
      </w:r>
      <w:r w:rsidRPr="00A9417C">
        <w:rPr>
          <w:rFonts w:eastAsiaTheme="minorHAnsi"/>
          <w:szCs w:val="24"/>
          <w:vertAlign w:val="subscript"/>
        </w:rPr>
        <w:t>2</w:t>
      </w:r>
      <w:r w:rsidRPr="00A9417C">
        <w:rPr>
          <w:rFonts w:eastAsiaTheme="minorHAnsi"/>
          <w:szCs w:val="24"/>
        </w:rPr>
        <w:t>, the SHE CO</w:t>
      </w:r>
      <w:r w:rsidRPr="00A9417C">
        <w:rPr>
          <w:rFonts w:eastAsiaTheme="minorHAnsi"/>
          <w:szCs w:val="24"/>
          <w:vertAlign w:val="subscript"/>
        </w:rPr>
        <w:t>2</w:t>
      </w:r>
      <w:r w:rsidRPr="00A9417C">
        <w:rPr>
          <w:rFonts w:eastAsiaTheme="minorHAnsi"/>
          <w:szCs w:val="24"/>
        </w:rPr>
        <w:t xml:space="preserve"> concentration is corrected based on the difference between the in-situ water temperature and that in the SHE (often a difference of &gt; </w:t>
      </w:r>
      <w:proofErr w:type="gramStart"/>
      <w:r w:rsidRPr="00A9417C">
        <w:rPr>
          <w:rFonts w:eastAsiaTheme="minorHAnsi"/>
          <w:szCs w:val="24"/>
        </w:rPr>
        <w:t>1 degree</w:t>
      </w:r>
      <w:proofErr w:type="gramEnd"/>
      <w:r w:rsidRPr="00A9417C">
        <w:rPr>
          <w:rFonts w:eastAsiaTheme="minorHAnsi"/>
          <w:szCs w:val="24"/>
        </w:rPr>
        <w:t xml:space="preserve"> C) using two temperature sensors that have their own, individual error. This temperature difference corrected CO</w:t>
      </w:r>
      <w:r w:rsidRPr="00A9417C">
        <w:rPr>
          <w:rFonts w:eastAsiaTheme="minorHAnsi"/>
          <w:szCs w:val="24"/>
          <w:vertAlign w:val="subscript"/>
        </w:rPr>
        <w:t>2</w:t>
      </w:r>
      <w:r w:rsidRPr="00A9417C">
        <w:rPr>
          <w:rFonts w:eastAsiaTheme="minorHAnsi"/>
          <w:szCs w:val="24"/>
        </w:rPr>
        <w:t xml:space="preserve"> concentration is then used to estimate CO</w:t>
      </w:r>
      <w:r w:rsidRPr="00A9417C">
        <w:rPr>
          <w:rFonts w:eastAsiaTheme="minorHAnsi"/>
          <w:szCs w:val="24"/>
          <w:vertAlign w:val="subscript"/>
        </w:rPr>
        <w:t>2</w:t>
      </w:r>
      <w:r w:rsidRPr="00A9417C">
        <w:rPr>
          <w:rFonts w:eastAsiaTheme="minorHAnsi"/>
          <w:szCs w:val="24"/>
        </w:rPr>
        <w:t xml:space="preserve"> solubility using the salinity and temperature dependence of Henry’s Law that has its own uncertainty. In this section, I seek to determine which sources of uncertainty are the most significant for our attempt to accurately constrain air-water CO</w:t>
      </w:r>
      <w:r w:rsidRPr="00A9417C">
        <w:rPr>
          <w:rFonts w:eastAsiaTheme="minorHAnsi"/>
          <w:szCs w:val="24"/>
          <w:vertAlign w:val="subscript"/>
        </w:rPr>
        <w:t>2</w:t>
      </w:r>
      <w:r w:rsidRPr="00A9417C">
        <w:rPr>
          <w:rFonts w:eastAsiaTheme="minorHAnsi"/>
          <w:szCs w:val="24"/>
        </w:rPr>
        <w:t xml:space="preserve"> exchange. </w:t>
      </w:r>
    </w:p>
    <w:p w14:paraId="7708B21A" w14:textId="1A43390C" w:rsidR="008C6296" w:rsidRPr="00A9417C" w:rsidRDefault="008C6296" w:rsidP="00A94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szCs w:val="24"/>
        </w:rPr>
      </w:pPr>
      <w:r w:rsidRPr="00A9417C">
        <w:rPr>
          <w:rFonts w:eastAsiaTheme="minorHAnsi"/>
          <w:szCs w:val="24"/>
        </w:rPr>
        <w:tab/>
        <w:t>The largest source of error in the estimation of air-sea gas exchange is related to the parameterization of gas transfer velocity (</w:t>
      </w:r>
      <w:proofErr w:type="spellStart"/>
      <w:r w:rsidRPr="00A9417C">
        <w:rPr>
          <w:rFonts w:eastAsiaTheme="minorHAnsi"/>
          <w:szCs w:val="24"/>
        </w:rPr>
        <w:t>Upstill</w:t>
      </w:r>
      <w:proofErr w:type="spellEnd"/>
      <w:r w:rsidRPr="00A9417C">
        <w:rPr>
          <w:rFonts w:eastAsiaTheme="minorHAnsi"/>
          <w:szCs w:val="24"/>
        </w:rPr>
        <w:t xml:space="preserve">-Goddard, 2006; </w:t>
      </w:r>
      <w:proofErr w:type="spellStart"/>
      <w:r w:rsidRPr="00A9417C">
        <w:rPr>
          <w:rFonts w:eastAsiaTheme="minorHAnsi"/>
          <w:szCs w:val="24"/>
        </w:rPr>
        <w:t>Frankignoulle</w:t>
      </w:r>
      <w:proofErr w:type="spellEnd"/>
      <w:r w:rsidRPr="00A9417C">
        <w:rPr>
          <w:rFonts w:eastAsiaTheme="minorHAnsi"/>
          <w:szCs w:val="24"/>
        </w:rPr>
        <w:t xml:space="preserve"> et al., 1998; </w:t>
      </w:r>
      <w:proofErr w:type="spellStart"/>
      <w:r w:rsidRPr="00A9417C">
        <w:rPr>
          <w:rFonts w:eastAsiaTheme="minorHAnsi"/>
          <w:szCs w:val="24"/>
        </w:rPr>
        <w:t>Wanninkhof</w:t>
      </w:r>
      <w:proofErr w:type="spellEnd"/>
      <w:r w:rsidRPr="00A9417C">
        <w:rPr>
          <w:rFonts w:eastAsiaTheme="minorHAnsi"/>
          <w:szCs w:val="24"/>
        </w:rPr>
        <w:t xml:space="preserve"> and </w:t>
      </w:r>
      <w:proofErr w:type="spellStart"/>
      <w:r w:rsidRPr="00A9417C">
        <w:rPr>
          <w:rFonts w:eastAsiaTheme="minorHAnsi"/>
          <w:szCs w:val="24"/>
        </w:rPr>
        <w:t>McGillis</w:t>
      </w:r>
      <w:proofErr w:type="spellEnd"/>
      <w:r w:rsidRPr="00A9417C">
        <w:rPr>
          <w:rFonts w:eastAsiaTheme="minorHAnsi"/>
          <w:szCs w:val="24"/>
        </w:rPr>
        <w:t xml:space="preserve">, 1999). As described in the methods section, gas transfer velocity, </w:t>
      </w:r>
      <w:r w:rsidRPr="00A9417C">
        <w:rPr>
          <w:rFonts w:eastAsiaTheme="minorHAnsi"/>
          <w:i/>
          <w:iCs/>
          <w:szCs w:val="24"/>
        </w:rPr>
        <w:t>k</w:t>
      </w:r>
      <w:r w:rsidRPr="00A9417C">
        <w:rPr>
          <w:rFonts w:eastAsiaTheme="minorHAnsi"/>
          <w:szCs w:val="24"/>
        </w:rPr>
        <w:t>, is parameterized as a non-linear function of wind speed, determined empirically in a diverse suite of marine and fresh systems. This relationship is particularly tenuous in estuaries, where factors like variable fetch (Woolf</w:t>
      </w:r>
      <w:bookmarkStart w:id="0" w:name="_GoBack"/>
      <w:bookmarkEnd w:id="0"/>
      <w:r w:rsidRPr="00A9417C">
        <w:rPr>
          <w:rFonts w:eastAsiaTheme="minorHAnsi"/>
          <w:szCs w:val="24"/>
        </w:rPr>
        <w:t>, 2005; Vachon and Prairie 2013), bottom generated friction (</w:t>
      </w:r>
      <w:proofErr w:type="spellStart"/>
      <w:r w:rsidRPr="00A9417C">
        <w:rPr>
          <w:rFonts w:eastAsiaTheme="minorHAnsi"/>
          <w:szCs w:val="24"/>
        </w:rPr>
        <w:t>Rosentreter</w:t>
      </w:r>
      <w:proofErr w:type="spellEnd"/>
      <w:r w:rsidRPr="00A9417C">
        <w:rPr>
          <w:rFonts w:eastAsiaTheme="minorHAnsi"/>
          <w:szCs w:val="24"/>
        </w:rPr>
        <w:t xml:space="preserve"> et al., 2016), the presence of biological surfactants (</w:t>
      </w:r>
      <w:proofErr w:type="spellStart"/>
      <w:r w:rsidRPr="00A9417C">
        <w:rPr>
          <w:rFonts w:eastAsiaTheme="minorHAnsi"/>
          <w:szCs w:val="24"/>
        </w:rPr>
        <w:t>Wanninkhof</w:t>
      </w:r>
      <w:proofErr w:type="spellEnd"/>
      <w:r w:rsidRPr="00A9417C">
        <w:rPr>
          <w:rFonts w:eastAsiaTheme="minorHAnsi"/>
          <w:szCs w:val="24"/>
        </w:rPr>
        <w:t xml:space="preserve"> et al., 2009), and other chemical and physical factors at the air-water interface introduce uncertainty (Raymond and Cole, 2001). The methods used to determine this relationship are also diverse, including: eddy covariance (and eddy accumulation), natural tracers (</w:t>
      </w:r>
      <w:r w:rsidRPr="00A9417C">
        <w:rPr>
          <w:rFonts w:eastAsiaTheme="minorHAnsi"/>
          <w:szCs w:val="24"/>
          <w:vertAlign w:val="superscript"/>
        </w:rPr>
        <w:t>222</w:t>
      </w:r>
      <w:r w:rsidRPr="00A9417C">
        <w:rPr>
          <w:rFonts w:eastAsiaTheme="minorHAnsi"/>
          <w:szCs w:val="24"/>
        </w:rPr>
        <w:t>Rn or O</w:t>
      </w:r>
      <w:r w:rsidRPr="00A9417C">
        <w:rPr>
          <w:rFonts w:eastAsiaTheme="minorHAnsi"/>
          <w:szCs w:val="24"/>
          <w:vertAlign w:val="subscript"/>
        </w:rPr>
        <w:t>2</w:t>
      </w:r>
      <w:r w:rsidRPr="00A9417C">
        <w:rPr>
          <w:rFonts w:eastAsiaTheme="minorHAnsi"/>
          <w:szCs w:val="24"/>
        </w:rPr>
        <w:t>), artificial tracers (SF</w:t>
      </w:r>
      <w:r w:rsidRPr="00A9417C">
        <w:rPr>
          <w:rFonts w:eastAsiaTheme="minorHAnsi"/>
          <w:szCs w:val="24"/>
          <w:vertAlign w:val="subscript"/>
        </w:rPr>
        <w:t>6</w:t>
      </w:r>
      <w:r w:rsidRPr="00A9417C">
        <w:rPr>
          <w:rFonts w:eastAsiaTheme="minorHAnsi"/>
          <w:szCs w:val="24"/>
        </w:rPr>
        <w:t xml:space="preserve">), and floating domes, each of which have their individual advantages and disadvantages. For example, floating domes are often used in coastal systems because of their ease of deployment and excellent temporal resolution, but can overestimate fluxes by a factor of ~2 due to </w:t>
      </w:r>
      <w:r w:rsidRPr="00A9417C">
        <w:rPr>
          <w:rFonts w:eastAsiaTheme="minorHAnsi"/>
          <w:szCs w:val="24"/>
        </w:rPr>
        <w:lastRenderedPageBreak/>
        <w:t>inflated turbulence at the air-water interface (Raymond and Cole, 2001).</w:t>
      </w:r>
    </w:p>
    <w:p w14:paraId="244B58E9" w14:textId="77777777" w:rsidR="00DF38DC" w:rsidRDefault="008C6296" w:rsidP="00DF38DC">
      <w:pPr>
        <w:rPr>
          <w:rFonts w:eastAsiaTheme="minorHAnsi"/>
          <w:szCs w:val="24"/>
        </w:rPr>
      </w:pPr>
      <w:r w:rsidRPr="00A9417C">
        <w:rPr>
          <w:rFonts w:eastAsiaTheme="minorHAnsi"/>
          <w:szCs w:val="24"/>
        </w:rPr>
        <w:tab/>
        <w:t xml:space="preserve">As seen in </w:t>
      </w:r>
      <w:proofErr w:type="spellStart"/>
      <w:r w:rsidRPr="00A9417C">
        <w:rPr>
          <w:rFonts w:eastAsiaTheme="minorHAnsi"/>
          <w:szCs w:val="24"/>
        </w:rPr>
        <w:t>Wanninkhof</w:t>
      </w:r>
      <w:proofErr w:type="spellEnd"/>
      <w:r w:rsidRPr="00A9417C">
        <w:rPr>
          <w:rFonts w:eastAsiaTheme="minorHAnsi"/>
          <w:szCs w:val="24"/>
        </w:rPr>
        <w:t xml:space="preserve"> et al., 2009, even when </w:t>
      </w:r>
      <w:r w:rsidRPr="00A9417C">
        <w:rPr>
          <w:rFonts w:eastAsiaTheme="minorHAnsi"/>
          <w:i/>
          <w:iCs/>
          <w:szCs w:val="24"/>
        </w:rPr>
        <w:t>k</w:t>
      </w:r>
      <w:r w:rsidRPr="00A9417C">
        <w:rPr>
          <w:rFonts w:eastAsiaTheme="minorHAnsi"/>
          <w:szCs w:val="24"/>
        </w:rPr>
        <w:t xml:space="preserve"> is determined using the same method, different relationships are obtained for different environmental systems for the reasons listed earlier. This makes the parameterization of air-sea CO</w:t>
      </w:r>
      <w:r w:rsidRPr="00A9417C">
        <w:rPr>
          <w:rFonts w:eastAsiaTheme="minorHAnsi"/>
          <w:szCs w:val="24"/>
          <w:vertAlign w:val="subscript"/>
        </w:rPr>
        <w:t>2</w:t>
      </w:r>
      <w:r w:rsidRPr="00A9417C">
        <w:rPr>
          <w:rFonts w:eastAsiaTheme="minorHAnsi"/>
          <w:szCs w:val="24"/>
        </w:rPr>
        <w:t xml:space="preserve"> flux more problematic, because one relationship must be decided on and used consistently. For this reason, a </w:t>
      </w:r>
      <w:r w:rsidRPr="00A9417C">
        <w:rPr>
          <w:rFonts w:eastAsiaTheme="minorHAnsi"/>
          <w:i/>
          <w:iCs/>
          <w:szCs w:val="24"/>
        </w:rPr>
        <w:t>k</w:t>
      </w:r>
      <w:r w:rsidRPr="00A9417C">
        <w:rPr>
          <w:rFonts w:eastAsiaTheme="minorHAnsi"/>
          <w:szCs w:val="24"/>
        </w:rPr>
        <w:t xml:space="preserve"> sensitivity analysis was conducted for both the </w:t>
      </w:r>
      <w:proofErr w:type="spellStart"/>
      <w:r w:rsidRPr="00A9417C">
        <w:rPr>
          <w:rFonts w:eastAsiaTheme="minorHAnsi"/>
          <w:szCs w:val="24"/>
        </w:rPr>
        <w:t>NeuseRE</w:t>
      </w:r>
      <w:proofErr w:type="spellEnd"/>
      <w:r w:rsidRPr="00A9417C">
        <w:rPr>
          <w:rFonts w:eastAsiaTheme="minorHAnsi"/>
          <w:szCs w:val="24"/>
        </w:rPr>
        <w:t xml:space="preserve"> and </w:t>
      </w:r>
      <w:proofErr w:type="spellStart"/>
      <w:r w:rsidRPr="00A9417C">
        <w:rPr>
          <w:szCs w:val="24"/>
        </w:rPr>
        <w:t>NewRE</w:t>
      </w:r>
      <w:proofErr w:type="spellEnd"/>
      <w:r w:rsidRPr="00A9417C">
        <w:rPr>
          <w:rFonts w:eastAsiaTheme="minorHAnsi"/>
          <w:szCs w:val="24"/>
        </w:rPr>
        <w:t xml:space="preserve">. Three gas transfer parameterizations were chosen, spanning the range of reasonable relationships. In order of low to high, these were: Ho et al. (2006), Jiang et al. (2008), and </w:t>
      </w:r>
      <w:proofErr w:type="spellStart"/>
      <w:r w:rsidRPr="00A9417C">
        <w:rPr>
          <w:rFonts w:eastAsiaTheme="minorHAnsi"/>
          <w:szCs w:val="24"/>
        </w:rPr>
        <w:t>Prytherch</w:t>
      </w:r>
      <w:proofErr w:type="spellEnd"/>
      <w:r w:rsidRPr="00A9417C">
        <w:rPr>
          <w:rFonts w:eastAsiaTheme="minorHAnsi"/>
          <w:szCs w:val="24"/>
        </w:rPr>
        <w:t xml:space="preserve"> et al. (2010). The parameterization used for the remainder of this study was Jiang et al. (2008). All parameterizations generate the same trends in CO</w:t>
      </w:r>
      <w:r w:rsidRPr="00A9417C">
        <w:rPr>
          <w:rFonts w:eastAsiaTheme="minorHAnsi"/>
          <w:szCs w:val="24"/>
          <w:vertAlign w:val="subscript"/>
        </w:rPr>
        <w:t>2</w:t>
      </w:r>
      <w:r w:rsidRPr="00A9417C">
        <w:rPr>
          <w:rFonts w:eastAsiaTheme="minorHAnsi"/>
          <w:szCs w:val="24"/>
        </w:rPr>
        <w:t xml:space="preserve"> flux, but the magnitude at any given time is different for each model, particularly when wind speed is high (Figure S2). This sensitivity analysis was collapsed into estimates of annual average fluxes in Table S1. Despite the widely different methods used to produce these parameterizations (</w:t>
      </w:r>
      <w:proofErr w:type="spellStart"/>
      <w:r w:rsidRPr="00A9417C">
        <w:rPr>
          <w:rFonts w:eastAsiaTheme="minorHAnsi"/>
          <w:szCs w:val="24"/>
        </w:rPr>
        <w:t>Prytherch</w:t>
      </w:r>
      <w:proofErr w:type="spellEnd"/>
      <w:r w:rsidRPr="00A9417C">
        <w:rPr>
          <w:rFonts w:eastAsiaTheme="minorHAnsi"/>
          <w:szCs w:val="24"/>
        </w:rPr>
        <w:t xml:space="preserve"> et al. (2010) used an eddy covariance technique, Ho et al. (2006) conducted a dual </w:t>
      </w:r>
      <w:r w:rsidRPr="00A9417C">
        <w:rPr>
          <w:rFonts w:eastAsiaTheme="minorHAnsi"/>
          <w:szCs w:val="24"/>
          <w:vertAlign w:val="superscript"/>
        </w:rPr>
        <w:t>3</w:t>
      </w:r>
      <w:r w:rsidRPr="00A9417C">
        <w:rPr>
          <w:rFonts w:eastAsiaTheme="minorHAnsi"/>
          <w:szCs w:val="24"/>
        </w:rPr>
        <w:t>He/SF</w:t>
      </w:r>
      <w:r w:rsidRPr="00A9417C">
        <w:rPr>
          <w:rFonts w:eastAsiaTheme="minorHAnsi"/>
          <w:szCs w:val="24"/>
          <w:vertAlign w:val="subscript"/>
        </w:rPr>
        <w:t>6</w:t>
      </w:r>
      <w:r w:rsidRPr="00A9417C">
        <w:rPr>
          <w:rFonts w:eastAsiaTheme="minorHAnsi"/>
          <w:szCs w:val="24"/>
        </w:rPr>
        <w:t xml:space="preserve"> tracer experiment, and Jiang et al. (2008) compiled estimates from a literature review), all agreed that both estuaries were small sources of CO</w:t>
      </w:r>
      <w:r w:rsidRPr="00A9417C">
        <w:rPr>
          <w:rFonts w:eastAsiaTheme="minorHAnsi"/>
          <w:szCs w:val="24"/>
          <w:vertAlign w:val="subscript"/>
        </w:rPr>
        <w:t>2</w:t>
      </w:r>
      <w:r w:rsidRPr="00A9417C">
        <w:rPr>
          <w:rFonts w:eastAsiaTheme="minorHAnsi"/>
          <w:szCs w:val="24"/>
        </w:rPr>
        <w:t xml:space="preserve"> to the atmosphere, with the greatest rates occurring in the upper regions. While this analysis does help to quantify the uncertainty in estimated CO</w:t>
      </w:r>
      <w:r w:rsidRPr="00A9417C">
        <w:rPr>
          <w:rFonts w:eastAsiaTheme="minorHAnsi"/>
          <w:szCs w:val="24"/>
          <w:vertAlign w:val="subscript"/>
        </w:rPr>
        <w:t>2</w:t>
      </w:r>
      <w:r w:rsidRPr="00A9417C">
        <w:rPr>
          <w:rFonts w:eastAsiaTheme="minorHAnsi"/>
          <w:szCs w:val="24"/>
        </w:rPr>
        <w:t xml:space="preserve"> fluxes resulting from chosen gas transfer parameterizations, it does not address how analytical error is compounded during these calculations.</w:t>
      </w:r>
    </w:p>
    <w:p w14:paraId="51BDAB61" w14:textId="77777777" w:rsidR="00621736" w:rsidRDefault="00621736" w:rsidP="00DF38DC">
      <w:pPr>
        <w:rPr>
          <w:rFonts w:eastAsiaTheme="minorHAnsi"/>
          <w:szCs w:val="24"/>
        </w:rPr>
      </w:pPr>
    </w:p>
    <w:p w14:paraId="4D833A96" w14:textId="118A00E2" w:rsidR="00621736" w:rsidRPr="00F4668C" w:rsidRDefault="00621736" w:rsidP="00621736">
      <w:pPr>
        <w:rPr>
          <w:b/>
          <w:szCs w:val="24"/>
        </w:rPr>
      </w:pPr>
      <w:r>
        <w:rPr>
          <w:b/>
          <w:szCs w:val="24"/>
        </w:rPr>
        <w:t>Text S3.</w:t>
      </w:r>
      <w:r w:rsidRPr="00F4668C">
        <w:rPr>
          <w:b/>
          <w:szCs w:val="24"/>
        </w:rPr>
        <w:t xml:space="preserve"> Limitations</w:t>
      </w:r>
    </w:p>
    <w:p w14:paraId="3E6B65E2" w14:textId="77777777" w:rsidR="00621736" w:rsidRPr="00531689" w:rsidRDefault="00621736" w:rsidP="00621736">
      <w:pPr>
        <w:ind w:firstLine="720"/>
        <w:rPr>
          <w:szCs w:val="24"/>
        </w:rPr>
      </w:pPr>
      <w:r w:rsidRPr="00531689">
        <w:rPr>
          <w:szCs w:val="24"/>
        </w:rPr>
        <w:t xml:space="preserve">A combination of ecosystem respiration, wetland input, and nonlinearities arising from the mixing of water masses of different carbonate chemistries cause DIC in the upper </w:t>
      </w:r>
      <w:proofErr w:type="spellStart"/>
      <w:r w:rsidRPr="00531689">
        <w:rPr>
          <w:szCs w:val="24"/>
        </w:rPr>
        <w:t>NewRE</w:t>
      </w:r>
      <w:proofErr w:type="spellEnd"/>
      <w:r w:rsidRPr="00531689">
        <w:rPr>
          <w:szCs w:val="24"/>
        </w:rPr>
        <w:t xml:space="preserve"> to exceed what would be suggested by conservative mixing alone. Therefore, the application of conservative mixing plots between DIC and salinity to estimate the riverine end-member DIC concentration (</w:t>
      </w:r>
      <w:proofErr w:type="spellStart"/>
      <w:r w:rsidRPr="00531689">
        <w:rPr>
          <w:szCs w:val="24"/>
        </w:rPr>
        <w:t>DIC</w:t>
      </w:r>
      <w:r w:rsidRPr="00531689">
        <w:rPr>
          <w:szCs w:val="24"/>
          <w:vertAlign w:val="subscript"/>
        </w:rPr>
        <w:t>mixing</w:t>
      </w:r>
      <w:proofErr w:type="spellEnd"/>
      <w:r w:rsidRPr="00531689">
        <w:rPr>
          <w:szCs w:val="24"/>
          <w:vertAlign w:val="subscript"/>
        </w:rPr>
        <w:t xml:space="preserve"> w/R</w:t>
      </w:r>
      <w:r w:rsidRPr="00531689">
        <w:rPr>
          <w:szCs w:val="24"/>
        </w:rPr>
        <w:t>) likely introduced a slight overestimation of [</w:t>
      </w:r>
      <w:proofErr w:type="gramStart"/>
      <w:r w:rsidRPr="00531689">
        <w:rPr>
          <w:szCs w:val="24"/>
        </w:rPr>
        <w:t>CO</w:t>
      </w:r>
      <w:r w:rsidRPr="00531689">
        <w:rPr>
          <w:szCs w:val="24"/>
          <w:vertAlign w:val="subscript"/>
        </w:rPr>
        <w:t>2</w:t>
      </w:r>
      <w:r w:rsidRPr="00531689">
        <w:rPr>
          <w:szCs w:val="24"/>
        </w:rPr>
        <w:t>]</w:t>
      </w:r>
      <w:r w:rsidRPr="00531689">
        <w:rPr>
          <w:szCs w:val="24"/>
          <w:vertAlign w:val="subscript"/>
        </w:rPr>
        <w:t>river</w:t>
      </w:r>
      <w:proofErr w:type="gramEnd"/>
      <w:r w:rsidRPr="00531689">
        <w:rPr>
          <w:szCs w:val="24"/>
        </w:rPr>
        <w:t xml:space="preserve"> in the </w:t>
      </w:r>
      <w:proofErr w:type="spellStart"/>
      <w:r w:rsidRPr="00531689">
        <w:rPr>
          <w:szCs w:val="24"/>
        </w:rPr>
        <w:t>NewRE</w:t>
      </w:r>
      <w:proofErr w:type="spellEnd"/>
      <w:r w:rsidRPr="00531689">
        <w:rPr>
          <w:szCs w:val="24"/>
        </w:rPr>
        <w:t>. Because [</w:t>
      </w:r>
      <w:proofErr w:type="gramStart"/>
      <w:r w:rsidRPr="00531689">
        <w:rPr>
          <w:szCs w:val="24"/>
        </w:rPr>
        <w:t>CO</w:t>
      </w:r>
      <w:r w:rsidRPr="00531689">
        <w:rPr>
          <w:szCs w:val="24"/>
          <w:vertAlign w:val="subscript"/>
        </w:rPr>
        <w:t>2</w:t>
      </w:r>
      <w:r w:rsidRPr="00531689">
        <w:rPr>
          <w:szCs w:val="24"/>
        </w:rPr>
        <w:t>]</w:t>
      </w:r>
      <w:r w:rsidRPr="00531689">
        <w:rPr>
          <w:szCs w:val="24"/>
          <w:vertAlign w:val="subscript"/>
        </w:rPr>
        <w:t>estuary</w:t>
      </w:r>
      <w:proofErr w:type="gramEnd"/>
      <w:r w:rsidRPr="00531689">
        <w:rPr>
          <w:szCs w:val="24"/>
        </w:rPr>
        <w:t xml:space="preserve"> was calculated as the difference between measured [CO</w:t>
      </w:r>
      <w:r w:rsidRPr="00531689">
        <w:rPr>
          <w:szCs w:val="24"/>
          <w:vertAlign w:val="subscript"/>
        </w:rPr>
        <w:t>2</w:t>
      </w:r>
      <w:r w:rsidRPr="00531689">
        <w:rPr>
          <w:szCs w:val="24"/>
        </w:rPr>
        <w:t>] and [CO</w:t>
      </w:r>
      <w:r w:rsidRPr="00531689">
        <w:rPr>
          <w:szCs w:val="24"/>
          <w:vertAlign w:val="subscript"/>
        </w:rPr>
        <w:t>2</w:t>
      </w:r>
      <w:r w:rsidRPr="00531689">
        <w:rPr>
          <w:szCs w:val="24"/>
        </w:rPr>
        <w:t>]</w:t>
      </w:r>
      <w:r w:rsidRPr="00531689">
        <w:rPr>
          <w:szCs w:val="24"/>
          <w:vertAlign w:val="subscript"/>
        </w:rPr>
        <w:t>river</w:t>
      </w:r>
      <w:r w:rsidRPr="00531689">
        <w:rPr>
          <w:szCs w:val="24"/>
        </w:rPr>
        <w:t xml:space="preserve"> (accounting for CO</w:t>
      </w:r>
      <w:r w:rsidRPr="00531689">
        <w:rPr>
          <w:szCs w:val="24"/>
          <w:vertAlign w:val="subscript"/>
        </w:rPr>
        <w:t>2</w:t>
      </w:r>
      <w:r w:rsidRPr="00531689">
        <w:rPr>
          <w:szCs w:val="24"/>
        </w:rPr>
        <w:t xml:space="preserve"> loss to the atmosphere), this estimate of [CO</w:t>
      </w:r>
      <w:r w:rsidRPr="00531689">
        <w:rPr>
          <w:szCs w:val="24"/>
          <w:vertAlign w:val="subscript"/>
        </w:rPr>
        <w:t>2</w:t>
      </w:r>
      <w:r w:rsidRPr="00531689">
        <w:rPr>
          <w:szCs w:val="24"/>
        </w:rPr>
        <w:t>]</w:t>
      </w:r>
      <w:r w:rsidRPr="00531689">
        <w:rPr>
          <w:szCs w:val="24"/>
          <w:vertAlign w:val="subscript"/>
        </w:rPr>
        <w:t>estuary</w:t>
      </w:r>
      <w:r w:rsidRPr="00531689">
        <w:rPr>
          <w:szCs w:val="24"/>
        </w:rPr>
        <w:t xml:space="preserve"> in the </w:t>
      </w:r>
      <w:proofErr w:type="spellStart"/>
      <w:r w:rsidRPr="00531689">
        <w:rPr>
          <w:szCs w:val="24"/>
        </w:rPr>
        <w:t>NewRE</w:t>
      </w:r>
      <w:proofErr w:type="spellEnd"/>
      <w:r w:rsidRPr="00531689">
        <w:rPr>
          <w:szCs w:val="24"/>
        </w:rPr>
        <w:t xml:space="preserve"> is likely an underestimate. It is also important to note that river discharge was above average during the study period, 180 and 153% of the antecedent 10-year average in the New and Neuse River, respectively. During years experiencing more typical discharge conditions, [</w:t>
      </w:r>
      <w:proofErr w:type="gramStart"/>
      <w:r w:rsidRPr="00531689">
        <w:rPr>
          <w:szCs w:val="24"/>
        </w:rPr>
        <w:t>CO</w:t>
      </w:r>
      <w:r w:rsidRPr="00531689">
        <w:rPr>
          <w:szCs w:val="24"/>
          <w:vertAlign w:val="subscript"/>
        </w:rPr>
        <w:t>2</w:t>
      </w:r>
      <w:r w:rsidRPr="00531689">
        <w:rPr>
          <w:szCs w:val="24"/>
        </w:rPr>
        <w:t>]</w:t>
      </w:r>
      <w:r w:rsidRPr="00531689">
        <w:rPr>
          <w:szCs w:val="24"/>
          <w:vertAlign w:val="subscript"/>
        </w:rPr>
        <w:t>river</w:t>
      </w:r>
      <w:proofErr w:type="gramEnd"/>
      <w:r w:rsidRPr="00531689">
        <w:rPr>
          <w:szCs w:val="24"/>
        </w:rPr>
        <w:t xml:space="preserve"> will likely decrease.  Supporting this, </w:t>
      </w:r>
      <w:proofErr w:type="spellStart"/>
      <w:r w:rsidRPr="00531689">
        <w:rPr>
          <w:szCs w:val="24"/>
        </w:rPr>
        <w:t>Crosswell</w:t>
      </w:r>
      <w:proofErr w:type="spellEnd"/>
      <w:r w:rsidRPr="00531689">
        <w:rPr>
          <w:szCs w:val="24"/>
        </w:rPr>
        <w:t xml:space="preserve"> et al. (2012; 2014) found that the </w:t>
      </w:r>
      <w:proofErr w:type="spellStart"/>
      <w:r w:rsidRPr="00531689">
        <w:rPr>
          <w:szCs w:val="24"/>
        </w:rPr>
        <w:t>NeuseRE</w:t>
      </w:r>
      <w:proofErr w:type="spellEnd"/>
      <w:r w:rsidRPr="00531689">
        <w:rPr>
          <w:szCs w:val="24"/>
        </w:rPr>
        <w:t xml:space="preserve"> was a CO</w:t>
      </w:r>
      <w:r w:rsidRPr="00531689">
        <w:rPr>
          <w:szCs w:val="24"/>
          <w:vertAlign w:val="subscript"/>
        </w:rPr>
        <w:t>2</w:t>
      </w:r>
      <w:r w:rsidRPr="00531689">
        <w:rPr>
          <w:szCs w:val="24"/>
        </w:rPr>
        <w:t xml:space="preserve"> sink during a year of drought and a smaller CO</w:t>
      </w:r>
      <w:r w:rsidRPr="00531689">
        <w:rPr>
          <w:szCs w:val="24"/>
          <w:vertAlign w:val="subscript"/>
        </w:rPr>
        <w:t>2</w:t>
      </w:r>
      <w:r w:rsidRPr="00531689">
        <w:rPr>
          <w:szCs w:val="24"/>
        </w:rPr>
        <w:t xml:space="preserve"> source than observed in this study during a year with moderate discharge.</w:t>
      </w:r>
    </w:p>
    <w:p w14:paraId="39305D54" w14:textId="77777777" w:rsidR="00621736" w:rsidRPr="00531689" w:rsidRDefault="00621736" w:rsidP="00621736">
      <w:pPr>
        <w:ind w:firstLine="720"/>
        <w:rPr>
          <w:szCs w:val="24"/>
        </w:rPr>
      </w:pPr>
      <w:r w:rsidRPr="00531689">
        <w:rPr>
          <w:szCs w:val="24"/>
        </w:rPr>
        <w:t>Due to field limitations, it was not possible to constrain pCO</w:t>
      </w:r>
      <w:r w:rsidRPr="00531689">
        <w:rPr>
          <w:szCs w:val="24"/>
          <w:vertAlign w:val="subscript"/>
        </w:rPr>
        <w:t>2</w:t>
      </w:r>
      <w:r w:rsidRPr="00531689">
        <w:rPr>
          <w:szCs w:val="24"/>
        </w:rPr>
        <w:t xml:space="preserve"> variability in the lateral (cross-channel) and vertical dimensions. Previous studies have shown that tidal pumping of salt marshes can be an important source of ‘outwelled’ DIC and DOC, supporting large CO</w:t>
      </w:r>
      <w:r w:rsidRPr="00531689">
        <w:rPr>
          <w:szCs w:val="24"/>
          <w:vertAlign w:val="subscript"/>
        </w:rPr>
        <w:t>2</w:t>
      </w:r>
      <w:r w:rsidRPr="00531689">
        <w:rPr>
          <w:szCs w:val="24"/>
        </w:rPr>
        <w:t xml:space="preserve"> fluxes in estuaries surrounded by wetlands (Cai and Wang 1998; Neubauer and Anderson 2003; Wang and Cai 2004; Jiang et al. 2008). However, neither estuary in this study is bounded by marshes to a significant extent, suggesting that this source of CO</w:t>
      </w:r>
      <w:r w:rsidRPr="00531689">
        <w:rPr>
          <w:szCs w:val="24"/>
          <w:vertAlign w:val="subscript"/>
        </w:rPr>
        <w:t>2</w:t>
      </w:r>
      <w:r w:rsidRPr="00531689">
        <w:rPr>
          <w:szCs w:val="24"/>
        </w:rPr>
        <w:t xml:space="preserve"> is likely small. Tidal exchange could also flush oceanic DIC into the estuary, influencing pCO</w:t>
      </w:r>
      <w:r w:rsidRPr="00531689">
        <w:rPr>
          <w:szCs w:val="24"/>
          <w:vertAlign w:val="subscript"/>
        </w:rPr>
        <w:t>2</w:t>
      </w:r>
      <w:r w:rsidRPr="00531689">
        <w:rPr>
          <w:szCs w:val="24"/>
        </w:rPr>
        <w:t xml:space="preserve">. Hence, variability may also be introduced due to the choice to conduct surveys at the same time of day regardless of tidal stage. This factor can be significant in estuaries, especially those located along active margins during upwelling </w:t>
      </w:r>
      <w:r w:rsidRPr="00531689">
        <w:rPr>
          <w:szCs w:val="24"/>
        </w:rPr>
        <w:lastRenderedPageBreak/>
        <w:t>favorable conditions (Evans et al. 2013; Feely et al. 2010). In this study, however, the pCO</w:t>
      </w:r>
      <w:r w:rsidRPr="00531689">
        <w:rPr>
          <w:szCs w:val="24"/>
          <w:vertAlign w:val="subscript"/>
        </w:rPr>
        <w:t>2</w:t>
      </w:r>
      <w:r w:rsidRPr="00531689">
        <w:rPr>
          <w:szCs w:val="24"/>
        </w:rPr>
        <w:t xml:space="preserve"> range in lower segments was relatively small (263-778 µ</w:t>
      </w:r>
      <w:proofErr w:type="spellStart"/>
      <w:r w:rsidRPr="00531689">
        <w:rPr>
          <w:szCs w:val="24"/>
        </w:rPr>
        <w:t>atm</w:t>
      </w:r>
      <w:proofErr w:type="spellEnd"/>
      <w:r w:rsidRPr="00531689">
        <w:rPr>
          <w:szCs w:val="24"/>
        </w:rPr>
        <w:t xml:space="preserve"> and 236-2426 µ</w:t>
      </w:r>
      <w:proofErr w:type="spellStart"/>
      <w:r w:rsidRPr="00531689">
        <w:rPr>
          <w:szCs w:val="24"/>
        </w:rPr>
        <w:t>atm</w:t>
      </w:r>
      <w:proofErr w:type="spellEnd"/>
      <w:r w:rsidRPr="00531689">
        <w:rPr>
          <w:szCs w:val="24"/>
        </w:rPr>
        <w:t xml:space="preserve"> in the </w:t>
      </w:r>
      <w:proofErr w:type="spellStart"/>
      <w:r w:rsidRPr="00531689">
        <w:rPr>
          <w:szCs w:val="24"/>
        </w:rPr>
        <w:t>NewRE</w:t>
      </w:r>
      <w:proofErr w:type="spellEnd"/>
      <w:r w:rsidRPr="00531689">
        <w:rPr>
          <w:szCs w:val="24"/>
        </w:rPr>
        <w:t xml:space="preserve"> and </w:t>
      </w:r>
      <w:proofErr w:type="spellStart"/>
      <w:r w:rsidRPr="00531689">
        <w:rPr>
          <w:szCs w:val="24"/>
        </w:rPr>
        <w:t>NeuseRE</w:t>
      </w:r>
      <w:proofErr w:type="spellEnd"/>
      <w:r w:rsidRPr="00531689">
        <w:rPr>
          <w:szCs w:val="24"/>
        </w:rPr>
        <w:t xml:space="preserve"> respectively), suggesting that tidal exchange with the ocean was probably not a significant source of DIC to these estuaries. </w:t>
      </w:r>
    </w:p>
    <w:p w14:paraId="0F792B45" w14:textId="77777777" w:rsidR="00621736" w:rsidRPr="00531689" w:rsidRDefault="00621736" w:rsidP="00621736">
      <w:pPr>
        <w:ind w:firstLine="720"/>
        <w:rPr>
          <w:szCs w:val="24"/>
        </w:rPr>
      </w:pPr>
      <w:r w:rsidRPr="00531689">
        <w:rPr>
          <w:szCs w:val="24"/>
        </w:rPr>
        <w:t>While tidal exchange with wetlands and the ocean was likely insignificant, it is well established that biological processes acting on a diel time scale, namely net productivity vs ecosystem respiration,</w:t>
      </w:r>
      <w:r w:rsidRPr="00531689" w:rsidDel="00390FC9">
        <w:rPr>
          <w:szCs w:val="24"/>
        </w:rPr>
        <w:t xml:space="preserve"> </w:t>
      </w:r>
      <w:r w:rsidRPr="00531689">
        <w:rPr>
          <w:szCs w:val="24"/>
        </w:rPr>
        <w:t>may be a significant source of variability in surface water pCO</w:t>
      </w:r>
      <w:r w:rsidRPr="00531689">
        <w:rPr>
          <w:szCs w:val="24"/>
          <w:vertAlign w:val="subscript"/>
        </w:rPr>
        <w:t>2</w:t>
      </w:r>
      <w:r w:rsidRPr="00531689">
        <w:rPr>
          <w:szCs w:val="24"/>
        </w:rPr>
        <w:t xml:space="preserve"> in estuaries (</w:t>
      </w:r>
      <w:proofErr w:type="spellStart"/>
      <w:r w:rsidRPr="00531689">
        <w:rPr>
          <w:szCs w:val="24"/>
        </w:rPr>
        <w:t>Akhand</w:t>
      </w:r>
      <w:proofErr w:type="spellEnd"/>
      <w:r w:rsidRPr="00531689">
        <w:rPr>
          <w:szCs w:val="24"/>
        </w:rPr>
        <w:t xml:space="preserve"> et al. 2016; Baumann et al. 2014; Call et al. 2015; </w:t>
      </w:r>
      <w:proofErr w:type="spellStart"/>
      <w:r w:rsidRPr="00531689">
        <w:rPr>
          <w:szCs w:val="24"/>
        </w:rPr>
        <w:t>Cotovicz</w:t>
      </w:r>
      <w:proofErr w:type="spellEnd"/>
      <w:r w:rsidRPr="00531689">
        <w:rPr>
          <w:szCs w:val="24"/>
        </w:rPr>
        <w:t xml:space="preserve"> et al. 2015; Maher et al.  2015; </w:t>
      </w:r>
      <w:proofErr w:type="spellStart"/>
      <w:r w:rsidRPr="00531689">
        <w:rPr>
          <w:szCs w:val="24"/>
        </w:rPr>
        <w:t>Mørk</w:t>
      </w:r>
      <w:proofErr w:type="spellEnd"/>
      <w:r w:rsidRPr="00531689">
        <w:rPr>
          <w:szCs w:val="24"/>
        </w:rPr>
        <w:t xml:space="preserve"> et al.  2016). Unpublished results of a related study in the </w:t>
      </w:r>
      <w:proofErr w:type="spellStart"/>
      <w:r w:rsidRPr="00531689">
        <w:rPr>
          <w:szCs w:val="24"/>
        </w:rPr>
        <w:t>NewRE</w:t>
      </w:r>
      <w:proofErr w:type="spellEnd"/>
      <w:r w:rsidRPr="00531689">
        <w:rPr>
          <w:szCs w:val="24"/>
        </w:rPr>
        <w:t xml:space="preserve"> show that diel fluctuations in both pH and pCO</w:t>
      </w:r>
      <w:r w:rsidRPr="00531689">
        <w:rPr>
          <w:szCs w:val="24"/>
          <w:vertAlign w:val="subscript"/>
        </w:rPr>
        <w:t>2</w:t>
      </w:r>
      <w:r w:rsidRPr="00531689">
        <w:rPr>
          <w:szCs w:val="24"/>
        </w:rPr>
        <w:t xml:space="preserve"> are large (Anderson et al. </w:t>
      </w:r>
      <w:proofErr w:type="spellStart"/>
      <w:r w:rsidRPr="00531689">
        <w:rPr>
          <w:szCs w:val="24"/>
        </w:rPr>
        <w:t>unpubl</w:t>
      </w:r>
      <w:proofErr w:type="spellEnd"/>
      <w:r w:rsidRPr="00531689">
        <w:rPr>
          <w:szCs w:val="24"/>
        </w:rPr>
        <w:t xml:space="preserve">.), </w:t>
      </w:r>
      <w:proofErr w:type="gramStart"/>
      <w:r w:rsidRPr="00531689">
        <w:rPr>
          <w:szCs w:val="24"/>
        </w:rPr>
        <w:t>similar to</w:t>
      </w:r>
      <w:proofErr w:type="gramEnd"/>
      <w:r w:rsidRPr="00531689">
        <w:rPr>
          <w:szCs w:val="24"/>
        </w:rPr>
        <w:t xml:space="preserve"> other productive estuaries (Maher et al. 2015), and may have contributed to net autotrophy in this estuary during a low discharge year (</w:t>
      </w:r>
      <w:proofErr w:type="spellStart"/>
      <w:r w:rsidRPr="00531689">
        <w:rPr>
          <w:szCs w:val="24"/>
        </w:rPr>
        <w:t>Crosswell</w:t>
      </w:r>
      <w:proofErr w:type="spellEnd"/>
      <w:r w:rsidRPr="00531689">
        <w:rPr>
          <w:szCs w:val="24"/>
        </w:rPr>
        <w:t xml:space="preserve"> et al. 2017 in press). While some surveys in this study were conducted on a dawn-dusk-dawn schedule, with the intention of quantifying diel variability, a detailed analysis of these data is beyond the scope of this study, and is reported in </w:t>
      </w:r>
      <w:proofErr w:type="spellStart"/>
      <w:r w:rsidRPr="00531689">
        <w:rPr>
          <w:szCs w:val="24"/>
        </w:rPr>
        <w:t>Crosswell</w:t>
      </w:r>
      <w:proofErr w:type="spellEnd"/>
      <w:r w:rsidRPr="00531689">
        <w:rPr>
          <w:szCs w:val="24"/>
        </w:rPr>
        <w:t xml:space="preserve"> et al. (2017 in press). Diel vertical migration of motile phytoplankton like dinoflagellates is common in both the </w:t>
      </w:r>
      <w:proofErr w:type="spellStart"/>
      <w:r w:rsidRPr="00531689">
        <w:rPr>
          <w:szCs w:val="24"/>
        </w:rPr>
        <w:t>NewRE</w:t>
      </w:r>
      <w:proofErr w:type="spellEnd"/>
      <w:r w:rsidRPr="00531689">
        <w:rPr>
          <w:szCs w:val="24"/>
        </w:rPr>
        <w:t xml:space="preserve"> and </w:t>
      </w:r>
      <w:proofErr w:type="spellStart"/>
      <w:r w:rsidRPr="00531689">
        <w:rPr>
          <w:szCs w:val="24"/>
        </w:rPr>
        <w:t>NeuseRE</w:t>
      </w:r>
      <w:proofErr w:type="spellEnd"/>
      <w:r w:rsidRPr="00531689">
        <w:rPr>
          <w:szCs w:val="24"/>
        </w:rPr>
        <w:t xml:space="preserve"> (Hall et al. 2015), and may also contribute to variability in any relationship between pCO</w:t>
      </w:r>
      <w:r w:rsidRPr="00531689">
        <w:rPr>
          <w:szCs w:val="24"/>
          <w:vertAlign w:val="subscript"/>
        </w:rPr>
        <w:t>2</w:t>
      </w:r>
      <w:r w:rsidRPr="00531689">
        <w:rPr>
          <w:szCs w:val="24"/>
        </w:rPr>
        <w:t xml:space="preserve"> and </w:t>
      </w:r>
      <w:proofErr w:type="spellStart"/>
      <w:r w:rsidRPr="00531689">
        <w:rPr>
          <w:szCs w:val="24"/>
        </w:rPr>
        <w:t>chl</w:t>
      </w:r>
      <w:proofErr w:type="spellEnd"/>
      <w:r w:rsidRPr="00531689">
        <w:rPr>
          <w:szCs w:val="24"/>
        </w:rPr>
        <w:t>-a.</w:t>
      </w:r>
    </w:p>
    <w:p w14:paraId="74647902" w14:textId="77777777" w:rsidR="00621736" w:rsidRDefault="00621736" w:rsidP="00DF38DC">
      <w:pPr>
        <w:rPr>
          <w:rFonts w:eastAsiaTheme="minorHAnsi"/>
          <w:szCs w:val="24"/>
        </w:rPr>
      </w:pPr>
    </w:p>
    <w:p w14:paraId="55FFFD44" w14:textId="77777777" w:rsidR="00DF38DC" w:rsidRDefault="00DF38DC" w:rsidP="00DF38DC">
      <w:pPr>
        <w:rPr>
          <w:rFonts w:eastAsiaTheme="minorHAnsi"/>
          <w:szCs w:val="24"/>
        </w:rPr>
      </w:pPr>
    </w:p>
    <w:p w14:paraId="3B60EEC9" w14:textId="77777777" w:rsidR="00DF38DC" w:rsidRDefault="00604B4B" w:rsidP="00DF38DC">
      <w:pPr>
        <w:rPr>
          <w:szCs w:val="22"/>
        </w:rPr>
      </w:pPr>
      <w:r w:rsidRPr="00C84A57">
        <w:rPr>
          <w:rFonts w:eastAsiaTheme="minorHAnsi"/>
          <w:noProof/>
        </w:rPr>
        <w:drawing>
          <wp:inline distT="0" distB="0" distL="0" distR="0" wp14:anchorId="47314D67" wp14:editId="472B55EB">
            <wp:extent cx="2512605" cy="1943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592" r="18174"/>
                    <a:stretch/>
                  </pic:blipFill>
                  <pic:spPr bwMode="auto">
                    <a:xfrm>
                      <a:off x="0" y="0"/>
                      <a:ext cx="2514005" cy="194418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73E1BD" w14:textId="77777777" w:rsidR="00DF38DC" w:rsidRDefault="00DF38DC" w:rsidP="00DF38DC">
      <w:pPr>
        <w:rPr>
          <w:szCs w:val="22"/>
        </w:rPr>
      </w:pPr>
    </w:p>
    <w:p w14:paraId="26AB972F" w14:textId="5766D987" w:rsidR="00DF38DC" w:rsidRPr="000C6FE4" w:rsidRDefault="00227D86" w:rsidP="000C6FE4">
      <w:pPr>
        <w:rPr>
          <w:rFonts w:eastAsiaTheme="minorHAnsi"/>
          <w:szCs w:val="24"/>
        </w:rPr>
      </w:pPr>
      <w:r w:rsidRPr="00DF38DC">
        <w:rPr>
          <w:b/>
          <w:szCs w:val="22"/>
        </w:rPr>
        <w:t>Figure S1</w:t>
      </w:r>
      <w:r w:rsidR="003E1980" w:rsidRPr="00DF38DC">
        <w:rPr>
          <w:b/>
          <w:szCs w:val="22"/>
        </w:rPr>
        <w:t>.</w:t>
      </w:r>
      <w:r w:rsidR="003E1980" w:rsidRPr="00DF38DC">
        <w:rPr>
          <w:szCs w:val="22"/>
        </w:rPr>
        <w:t xml:space="preserve"> </w:t>
      </w:r>
      <w:r w:rsidR="008D6F94" w:rsidRPr="00DF38DC">
        <w:rPr>
          <w:szCs w:val="22"/>
        </w:rPr>
        <w:t>Absolute value of the percent difference between calibrated pCO</w:t>
      </w:r>
      <w:r w:rsidR="008D6F94" w:rsidRPr="00DF38DC">
        <w:rPr>
          <w:szCs w:val="22"/>
          <w:vertAlign w:val="subscript"/>
        </w:rPr>
        <w:t>2</w:t>
      </w:r>
      <w:r w:rsidR="008D6F94" w:rsidRPr="00DF38DC">
        <w:rPr>
          <w:szCs w:val="22"/>
        </w:rPr>
        <w:t xml:space="preserve"> and check standard pCO</w:t>
      </w:r>
      <w:r w:rsidR="008D6F94" w:rsidRPr="00DF38DC">
        <w:rPr>
          <w:szCs w:val="22"/>
          <w:vertAlign w:val="subscript"/>
        </w:rPr>
        <w:t>2</w:t>
      </w:r>
      <w:r w:rsidR="008D6F94" w:rsidRPr="00DF38DC">
        <w:rPr>
          <w:szCs w:val="22"/>
        </w:rPr>
        <w:t xml:space="preserve"> at each standard concentration. </w:t>
      </w:r>
    </w:p>
    <w:p w14:paraId="3A4559E0" w14:textId="77777777" w:rsidR="00FC5AB1" w:rsidRDefault="00FC5AB1" w:rsidP="00FC5AB1">
      <w:pPr>
        <w:pStyle w:val="SMHeading"/>
        <w:rPr>
          <w:sz w:val="22"/>
          <w:szCs w:val="22"/>
        </w:rPr>
      </w:pPr>
      <w:r>
        <w:rPr>
          <w:rFonts w:eastAsiaTheme="minorHAnsi"/>
          <w:noProof/>
        </w:rPr>
        <w:lastRenderedPageBreak/>
        <w:drawing>
          <wp:inline distT="0" distB="0" distL="0" distR="0" wp14:anchorId="3E963CDC" wp14:editId="24A9917A">
            <wp:extent cx="4632233" cy="33147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760" cy="3315077"/>
                    </a:xfrm>
                    <a:prstGeom prst="rect">
                      <a:avLst/>
                    </a:prstGeom>
                    <a:noFill/>
                    <a:ln>
                      <a:noFill/>
                    </a:ln>
                  </pic:spPr>
                </pic:pic>
              </a:graphicData>
            </a:graphic>
          </wp:inline>
        </w:drawing>
      </w:r>
    </w:p>
    <w:p w14:paraId="1F934728" w14:textId="6BE1AF00" w:rsidR="00FC5AB1" w:rsidRDefault="00066818" w:rsidP="00FC5AB1">
      <w:pPr>
        <w:pStyle w:val="SMHeading"/>
        <w:rPr>
          <w:b w:val="0"/>
          <w:szCs w:val="22"/>
        </w:rPr>
      </w:pPr>
      <w:r w:rsidRPr="002816E6">
        <w:rPr>
          <w:szCs w:val="22"/>
        </w:rPr>
        <w:t>Figure S2</w:t>
      </w:r>
      <w:r w:rsidR="00FC5AB1" w:rsidRPr="002816E6">
        <w:rPr>
          <w:szCs w:val="22"/>
        </w:rPr>
        <w:t xml:space="preserve">. </w:t>
      </w:r>
      <w:r w:rsidR="00F7409E" w:rsidRPr="002816E6">
        <w:rPr>
          <w:b w:val="0"/>
          <w:szCs w:val="22"/>
        </w:rPr>
        <w:t xml:space="preserve">Sensitivity of </w:t>
      </w:r>
      <w:r w:rsidR="00C142FD" w:rsidRPr="002816E6">
        <w:rPr>
          <w:b w:val="0"/>
          <w:szCs w:val="22"/>
        </w:rPr>
        <w:t>CO</w:t>
      </w:r>
      <w:r w:rsidR="00C142FD" w:rsidRPr="002816E6">
        <w:rPr>
          <w:b w:val="0"/>
          <w:szCs w:val="22"/>
          <w:vertAlign w:val="subscript"/>
        </w:rPr>
        <w:t>2</w:t>
      </w:r>
      <w:r w:rsidR="00C142FD" w:rsidRPr="002816E6">
        <w:rPr>
          <w:b w:val="0"/>
          <w:szCs w:val="22"/>
        </w:rPr>
        <w:t xml:space="preserve"> flux to different gas transfer velocity parameterizations</w:t>
      </w:r>
      <w:r w:rsidR="00FC5AB1" w:rsidRPr="002816E6">
        <w:rPr>
          <w:b w:val="0"/>
          <w:szCs w:val="22"/>
        </w:rPr>
        <w:t xml:space="preserve"> </w:t>
      </w:r>
    </w:p>
    <w:p w14:paraId="1FB3F75F" w14:textId="77777777" w:rsidR="000C6FE4" w:rsidRPr="002816E6" w:rsidRDefault="000C6FE4" w:rsidP="00FC5AB1">
      <w:pPr>
        <w:pStyle w:val="SMHeading"/>
        <w:rPr>
          <w:b w:val="0"/>
          <w:szCs w:val="22"/>
        </w:rPr>
      </w:pPr>
    </w:p>
    <w:p w14:paraId="2678C2FA" w14:textId="01DCBA41" w:rsidR="003D3B46" w:rsidRDefault="003D3B46" w:rsidP="00FC5AB1">
      <w:pPr>
        <w:pStyle w:val="SMHeading"/>
        <w:rPr>
          <w:sz w:val="22"/>
          <w:szCs w:val="22"/>
        </w:rPr>
      </w:pPr>
      <w:r>
        <w:rPr>
          <w:noProof/>
        </w:rPr>
        <w:drawing>
          <wp:inline distT="0" distB="0" distL="0" distR="0" wp14:anchorId="0BE20364" wp14:editId="24A74DF1">
            <wp:extent cx="5486400" cy="2444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44190"/>
                    </a:xfrm>
                    <a:prstGeom prst="rect">
                      <a:avLst/>
                    </a:prstGeom>
                    <a:noFill/>
                    <a:ln>
                      <a:noFill/>
                    </a:ln>
                  </pic:spPr>
                </pic:pic>
              </a:graphicData>
            </a:graphic>
          </wp:inline>
        </w:drawing>
      </w:r>
    </w:p>
    <w:p w14:paraId="2FFEA860" w14:textId="6F40E4E7" w:rsidR="003D3B46" w:rsidRDefault="003D3B46" w:rsidP="003D3B46">
      <w:pPr>
        <w:pStyle w:val="SMHeading"/>
        <w:rPr>
          <w:b w:val="0"/>
        </w:rPr>
      </w:pPr>
      <w:r>
        <w:rPr>
          <w:sz w:val="22"/>
          <w:szCs w:val="22"/>
        </w:rPr>
        <w:t>Figure S3</w:t>
      </w:r>
      <w:r w:rsidRPr="008C62DB">
        <w:rPr>
          <w:sz w:val="22"/>
          <w:szCs w:val="22"/>
        </w:rPr>
        <w:t xml:space="preserve">. </w:t>
      </w:r>
      <w:r w:rsidR="00BB6EAB" w:rsidRPr="0054741C">
        <w:rPr>
          <w:b w:val="0"/>
        </w:rPr>
        <w:t xml:space="preserve">Time-series plot of average FW age (days) for the </w:t>
      </w:r>
      <w:proofErr w:type="spellStart"/>
      <w:r w:rsidR="00BB6EAB" w:rsidRPr="0054741C">
        <w:rPr>
          <w:b w:val="0"/>
        </w:rPr>
        <w:t>NeuseRE</w:t>
      </w:r>
      <w:proofErr w:type="spellEnd"/>
      <w:r w:rsidR="00BB6EAB" w:rsidRPr="0054741C">
        <w:rPr>
          <w:b w:val="0"/>
        </w:rPr>
        <w:t xml:space="preserve"> (solid line) and </w:t>
      </w:r>
      <w:proofErr w:type="spellStart"/>
      <w:r w:rsidR="00BB6EAB" w:rsidRPr="0054741C">
        <w:rPr>
          <w:b w:val="0"/>
        </w:rPr>
        <w:t>NewRE</w:t>
      </w:r>
      <w:proofErr w:type="spellEnd"/>
      <w:r w:rsidR="00BB6EAB" w:rsidRPr="0054741C">
        <w:rPr>
          <w:b w:val="0"/>
        </w:rPr>
        <w:t xml:space="preserve"> (dashed line).</w:t>
      </w:r>
    </w:p>
    <w:p w14:paraId="083A3D7E" w14:textId="77777777" w:rsidR="00520459" w:rsidRDefault="00520459" w:rsidP="003D3B46">
      <w:pPr>
        <w:pStyle w:val="SMHeading"/>
        <w:rPr>
          <w:b w:val="0"/>
          <w:sz w:val="22"/>
          <w:szCs w:val="22"/>
        </w:rPr>
      </w:pPr>
    </w:p>
    <w:p w14:paraId="4165DCAF" w14:textId="4AE78CF9" w:rsidR="003D3B46" w:rsidRDefault="00846722" w:rsidP="00FC5AB1">
      <w:pPr>
        <w:pStyle w:val="SMHeading"/>
        <w:rPr>
          <w:sz w:val="22"/>
          <w:szCs w:val="22"/>
        </w:rPr>
      </w:pPr>
      <w:r>
        <w:rPr>
          <w:noProof/>
        </w:rPr>
        <w:lastRenderedPageBreak/>
        <w:drawing>
          <wp:inline distT="0" distB="0" distL="0" distR="0" wp14:anchorId="301803AD" wp14:editId="35E95383">
            <wp:extent cx="5486400" cy="3500468"/>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596" t="5019" r="1033" b="6525"/>
                    <a:stretch/>
                  </pic:blipFill>
                  <pic:spPr bwMode="auto">
                    <a:xfrm>
                      <a:off x="0" y="0"/>
                      <a:ext cx="5486400" cy="350046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933D60E" w14:textId="77777777" w:rsidR="00846722" w:rsidRDefault="00846722" w:rsidP="00846722">
      <w:r w:rsidRPr="00846722">
        <w:rPr>
          <w:rFonts w:eastAsiaTheme="minorHAnsi"/>
          <w:b/>
        </w:rPr>
        <w:t>Figure S4.</w:t>
      </w:r>
      <w:r>
        <w:rPr>
          <w:rFonts w:eastAsiaTheme="minorHAnsi"/>
        </w:rPr>
        <w:t xml:space="preserve"> </w:t>
      </w:r>
      <w:r>
        <w:t>Drivers of air-water CO</w:t>
      </w:r>
      <w:r>
        <w:rPr>
          <w:vertAlign w:val="subscript"/>
        </w:rPr>
        <w:t>2</w:t>
      </w:r>
      <w:r>
        <w:t xml:space="preserve"> exchange (solid line, </w:t>
      </w:r>
      <w:proofErr w:type="spellStart"/>
      <w:r>
        <w:t>mmol</w:t>
      </w:r>
      <w:proofErr w:type="spellEnd"/>
      <w:r>
        <w:t xml:space="preserve"> C m</w:t>
      </w:r>
      <w:r>
        <w:rPr>
          <w:vertAlign w:val="superscript"/>
        </w:rPr>
        <w:t>-2</w:t>
      </w:r>
      <w:r>
        <w:t xml:space="preserve"> d</w:t>
      </w:r>
      <w:r>
        <w:rPr>
          <w:vertAlign w:val="superscript"/>
        </w:rPr>
        <w:t>-1</w:t>
      </w:r>
      <w:r>
        <w:t xml:space="preserve">) for the (a) </w:t>
      </w:r>
      <w:proofErr w:type="spellStart"/>
      <w:r>
        <w:t>NewRE</w:t>
      </w:r>
      <w:proofErr w:type="spellEnd"/>
      <w:r>
        <w:t xml:space="preserve"> and (b) </w:t>
      </w:r>
      <w:proofErr w:type="spellStart"/>
      <w:r>
        <w:t>NeuseRE</w:t>
      </w:r>
      <w:proofErr w:type="spellEnd"/>
      <w:r>
        <w:t>. Gas transfer velocity, (k, cm hr</w:t>
      </w:r>
      <w:r>
        <w:rPr>
          <w:vertAlign w:val="superscript"/>
        </w:rPr>
        <w:t>-1</w:t>
      </w:r>
      <w:r>
        <w:t xml:space="preserve">) and </w:t>
      </w:r>
      <w:r w:rsidRPr="007320B8">
        <w:t>∆pCO</w:t>
      </w:r>
      <w:r w:rsidRPr="007320B8">
        <w:rPr>
          <w:vertAlign w:val="subscript"/>
        </w:rPr>
        <w:t>2</w:t>
      </w:r>
      <w:r w:rsidRPr="007320B8">
        <w:t xml:space="preserve"> (</w:t>
      </w:r>
      <w:r w:rsidRPr="00375BA7">
        <w:rPr>
          <w:i/>
        </w:rPr>
        <w:t>µ</w:t>
      </w:r>
      <w:proofErr w:type="spellStart"/>
      <w:r w:rsidRPr="007320B8">
        <w:t>atm</w:t>
      </w:r>
      <w:proofErr w:type="spellEnd"/>
      <w:r w:rsidRPr="007320B8">
        <w:t>)</w:t>
      </w:r>
      <w:r>
        <w:t xml:space="preserve"> are shown as the dotted and dashed lines, respectively.</w:t>
      </w:r>
    </w:p>
    <w:p w14:paraId="308BD505" w14:textId="77777777" w:rsidR="00FF4E9B" w:rsidRDefault="00FF4E9B" w:rsidP="00846722"/>
    <w:p w14:paraId="7F77DD0E" w14:textId="310CC779" w:rsidR="00FF4E9B" w:rsidRDefault="00FF4E9B" w:rsidP="00846722">
      <w:pPr>
        <w:rPr>
          <w:rFonts w:eastAsiaTheme="minorHAnsi"/>
        </w:rPr>
      </w:pPr>
      <w:r w:rsidRPr="00FF4E9B">
        <w:rPr>
          <w:rFonts w:eastAsiaTheme="minorHAnsi"/>
          <w:noProof/>
        </w:rPr>
        <w:drawing>
          <wp:inline distT="0" distB="0" distL="0" distR="0" wp14:anchorId="0FD4C400" wp14:editId="225B98AF">
            <wp:extent cx="3085276" cy="18843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5835" cy="1884666"/>
                    </a:xfrm>
                    <a:prstGeom prst="rect">
                      <a:avLst/>
                    </a:prstGeom>
                    <a:noFill/>
                    <a:ln>
                      <a:noFill/>
                    </a:ln>
                  </pic:spPr>
                </pic:pic>
              </a:graphicData>
            </a:graphic>
          </wp:inline>
        </w:drawing>
      </w:r>
    </w:p>
    <w:p w14:paraId="7526E561" w14:textId="4FC4928B" w:rsidR="00FF4E9B" w:rsidRPr="00FF4E9B" w:rsidRDefault="00FF4E9B" w:rsidP="00FF4E9B">
      <w:r>
        <w:rPr>
          <w:rFonts w:eastAsiaTheme="minorHAnsi"/>
          <w:b/>
        </w:rPr>
        <w:t>Figure S5</w:t>
      </w:r>
      <w:r w:rsidRPr="00846722">
        <w:rPr>
          <w:rFonts w:eastAsiaTheme="minorHAnsi"/>
          <w:b/>
        </w:rPr>
        <w:t>.</w:t>
      </w:r>
      <w:r>
        <w:rPr>
          <w:rFonts w:eastAsiaTheme="minorHAnsi"/>
        </w:rPr>
        <w:t xml:space="preserve"> </w:t>
      </w:r>
      <w:r w:rsidR="001B4C6C">
        <w:t>Modeled</w:t>
      </w:r>
      <w:r>
        <w:t xml:space="preserve"> changes in pH due to an increase in atmospheric pCO</w:t>
      </w:r>
      <w:r>
        <w:rPr>
          <w:vertAlign w:val="subscript"/>
        </w:rPr>
        <w:t>2</w:t>
      </w:r>
      <w:r>
        <w:t xml:space="preserve"> of 380 to 800 µatm.</w:t>
      </w:r>
    </w:p>
    <w:p w14:paraId="530CA1C4" w14:textId="77777777" w:rsidR="0066722B" w:rsidRDefault="0066722B" w:rsidP="00477182">
      <w:pPr>
        <w:pStyle w:val="SMcaption"/>
        <w:rPr>
          <w:b/>
          <w:bCs/>
          <w:kern w:val="32"/>
          <w:sz w:val="22"/>
          <w:szCs w:val="22"/>
        </w:rPr>
      </w:pPr>
    </w:p>
    <w:p w14:paraId="183089E5" w14:textId="77777777" w:rsidR="00576BA6" w:rsidRDefault="00576BA6" w:rsidP="00477182">
      <w:pPr>
        <w:pStyle w:val="SMcaption"/>
        <w:rPr>
          <w:b/>
          <w:bCs/>
          <w:kern w:val="32"/>
          <w:sz w:val="22"/>
          <w:szCs w:val="22"/>
        </w:rPr>
      </w:pPr>
    </w:p>
    <w:p w14:paraId="2248B467" w14:textId="77777777" w:rsidR="00F57E7A" w:rsidRDefault="00F57E7A" w:rsidP="00F57E7A">
      <w:pPr>
        <w:pStyle w:val="SMcaption"/>
        <w:rPr>
          <w:sz w:val="22"/>
          <w:szCs w:val="22"/>
        </w:rPr>
      </w:pPr>
      <w:r>
        <w:rPr>
          <w:rFonts w:eastAsiaTheme="minorHAnsi"/>
          <w:noProof/>
        </w:rPr>
        <w:lastRenderedPageBreak/>
        <w:drawing>
          <wp:inline distT="0" distB="0" distL="0" distR="0" wp14:anchorId="3FA20F39" wp14:editId="2D0CC301">
            <wp:extent cx="3211033" cy="3530009"/>
            <wp:effectExtent l="0" t="0" r="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9680" r="45961" b="39304"/>
                    <a:stretch/>
                  </pic:blipFill>
                  <pic:spPr bwMode="auto">
                    <a:xfrm>
                      <a:off x="0" y="0"/>
                      <a:ext cx="3211858" cy="35309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B5CE6A5" w14:textId="6A6BFA31" w:rsidR="0065415F" w:rsidRPr="0067226D" w:rsidRDefault="0066722B" w:rsidP="00E71F27">
      <w:pPr>
        <w:pStyle w:val="SMcaption"/>
        <w:rPr>
          <w:sz w:val="22"/>
          <w:szCs w:val="22"/>
        </w:rPr>
      </w:pPr>
      <w:r w:rsidRPr="007D566B">
        <w:rPr>
          <w:b/>
          <w:sz w:val="22"/>
          <w:szCs w:val="22"/>
        </w:rPr>
        <w:t>Table S1.</w:t>
      </w:r>
      <w:r w:rsidRPr="007D566B">
        <w:rPr>
          <w:sz w:val="22"/>
          <w:szCs w:val="22"/>
        </w:rPr>
        <w:t xml:space="preserve"> </w:t>
      </w:r>
      <w:r w:rsidR="00F57E7A" w:rsidRPr="007D566B">
        <w:rPr>
          <w:sz w:val="22"/>
          <w:szCs w:val="22"/>
        </w:rPr>
        <w:t xml:space="preserve">Gas transfer velocity sensitivity analysis for the </w:t>
      </w:r>
      <w:proofErr w:type="spellStart"/>
      <w:r w:rsidR="00F57E7A" w:rsidRPr="007D566B">
        <w:rPr>
          <w:sz w:val="22"/>
          <w:szCs w:val="22"/>
        </w:rPr>
        <w:t>NeuseRE</w:t>
      </w:r>
      <w:proofErr w:type="spellEnd"/>
      <w:r w:rsidR="00F57E7A" w:rsidRPr="007D566B">
        <w:rPr>
          <w:sz w:val="22"/>
          <w:szCs w:val="22"/>
        </w:rPr>
        <w:t xml:space="preserve"> (top) and </w:t>
      </w:r>
      <w:proofErr w:type="spellStart"/>
      <w:r w:rsidR="00F57E7A" w:rsidRPr="007D566B">
        <w:rPr>
          <w:sz w:val="22"/>
          <w:szCs w:val="22"/>
        </w:rPr>
        <w:t>NewRE</w:t>
      </w:r>
      <w:proofErr w:type="spellEnd"/>
      <w:r w:rsidR="00F57E7A" w:rsidRPr="007D566B">
        <w:rPr>
          <w:sz w:val="22"/>
          <w:szCs w:val="22"/>
        </w:rPr>
        <w:t xml:space="preserve"> (bottom)</w:t>
      </w:r>
    </w:p>
    <w:sectPr w:rsidR="0065415F" w:rsidRPr="0067226D" w:rsidSect="007649D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A9B5" w14:textId="77777777" w:rsidR="005D1BAA" w:rsidRDefault="005D1BAA">
      <w:r>
        <w:separator/>
      </w:r>
    </w:p>
  </w:endnote>
  <w:endnote w:type="continuationSeparator" w:id="0">
    <w:p w14:paraId="249D563A" w14:textId="77777777" w:rsidR="005D1BAA" w:rsidRDefault="005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102A" w14:textId="77777777" w:rsidR="002B7F2C" w:rsidRDefault="002B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E7ED" w14:textId="57F3DF0C" w:rsidR="002B7F2C" w:rsidRDefault="002B7F2C">
    <w:pPr>
      <w:pStyle w:val="Footer"/>
      <w:jc w:val="right"/>
    </w:pPr>
    <w:r>
      <w:fldChar w:fldCharType="begin"/>
    </w:r>
    <w:r>
      <w:instrText xml:space="preserve"> PAGE   \* MERGEFORMAT </w:instrText>
    </w:r>
    <w:r>
      <w:fldChar w:fldCharType="separate"/>
    </w:r>
    <w:r w:rsidR="005C1F26">
      <w:rPr>
        <w:noProof/>
      </w:rPr>
      <w:t>7</w:t>
    </w:r>
    <w:r>
      <w:fldChar w:fldCharType="end"/>
    </w:r>
  </w:p>
  <w:p w14:paraId="486656F3" w14:textId="77777777" w:rsidR="002B7F2C" w:rsidRDefault="002B7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BCA3" w14:textId="77777777" w:rsidR="002B7F2C" w:rsidRDefault="002B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AF59" w14:textId="77777777" w:rsidR="005D1BAA" w:rsidRDefault="005D1BAA">
      <w:r>
        <w:separator/>
      </w:r>
    </w:p>
  </w:footnote>
  <w:footnote w:type="continuationSeparator" w:id="0">
    <w:p w14:paraId="1A18A936" w14:textId="77777777" w:rsidR="005D1BAA" w:rsidRDefault="005D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EF6B" w14:textId="77777777" w:rsidR="002B7F2C" w:rsidRDefault="002B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23C1C" w14:textId="77777777" w:rsidR="002B7F2C" w:rsidRPr="005001AC" w:rsidRDefault="002B7F2C" w:rsidP="005001AC">
    <w:pPr>
      <w:jc w:val="right"/>
      <w:rPr>
        <w:sz w:val="20"/>
      </w:rPr>
    </w:pPr>
  </w:p>
  <w:p w14:paraId="18F8F636" w14:textId="77777777" w:rsidR="002B7F2C" w:rsidRDefault="002B7F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5ADD" w14:textId="77777777" w:rsidR="002B7F2C" w:rsidRDefault="002B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0636E"/>
    <w:rsid w:val="00015F74"/>
    <w:rsid w:val="00043571"/>
    <w:rsid w:val="000544DC"/>
    <w:rsid w:val="0006206E"/>
    <w:rsid w:val="00065EBD"/>
    <w:rsid w:val="00066818"/>
    <w:rsid w:val="00076427"/>
    <w:rsid w:val="00076AEF"/>
    <w:rsid w:val="00083383"/>
    <w:rsid w:val="00083B44"/>
    <w:rsid w:val="000850DC"/>
    <w:rsid w:val="00085357"/>
    <w:rsid w:val="00094365"/>
    <w:rsid w:val="000B2E64"/>
    <w:rsid w:val="000C2771"/>
    <w:rsid w:val="000C6FE4"/>
    <w:rsid w:val="000D68BD"/>
    <w:rsid w:val="000E25A2"/>
    <w:rsid w:val="000F0DCE"/>
    <w:rsid w:val="000F5B5D"/>
    <w:rsid w:val="00103A84"/>
    <w:rsid w:val="00111619"/>
    <w:rsid w:val="00111843"/>
    <w:rsid w:val="00112C5B"/>
    <w:rsid w:val="00113908"/>
    <w:rsid w:val="00114193"/>
    <w:rsid w:val="001154E6"/>
    <w:rsid w:val="00115A38"/>
    <w:rsid w:val="0011687B"/>
    <w:rsid w:val="00124F82"/>
    <w:rsid w:val="001278E3"/>
    <w:rsid w:val="00130743"/>
    <w:rsid w:val="00130B50"/>
    <w:rsid w:val="00145ED3"/>
    <w:rsid w:val="0016337A"/>
    <w:rsid w:val="00164269"/>
    <w:rsid w:val="001704DA"/>
    <w:rsid w:val="00187E95"/>
    <w:rsid w:val="001966FD"/>
    <w:rsid w:val="00197826"/>
    <w:rsid w:val="001A1BDE"/>
    <w:rsid w:val="001B4C6C"/>
    <w:rsid w:val="001C5DFE"/>
    <w:rsid w:val="001C7B4E"/>
    <w:rsid w:val="001D0B03"/>
    <w:rsid w:val="001E537D"/>
    <w:rsid w:val="001F0876"/>
    <w:rsid w:val="001F0E2B"/>
    <w:rsid w:val="001F167C"/>
    <w:rsid w:val="001F5E91"/>
    <w:rsid w:val="0020183F"/>
    <w:rsid w:val="00205CC0"/>
    <w:rsid w:val="002077B9"/>
    <w:rsid w:val="00221C70"/>
    <w:rsid w:val="002251AF"/>
    <w:rsid w:val="00227D86"/>
    <w:rsid w:val="00243B68"/>
    <w:rsid w:val="00262D72"/>
    <w:rsid w:val="002800B6"/>
    <w:rsid w:val="002816E6"/>
    <w:rsid w:val="00284481"/>
    <w:rsid w:val="002B35D4"/>
    <w:rsid w:val="002B36D8"/>
    <w:rsid w:val="002B7F2C"/>
    <w:rsid w:val="002C030F"/>
    <w:rsid w:val="002F3966"/>
    <w:rsid w:val="003057C0"/>
    <w:rsid w:val="00320E2C"/>
    <w:rsid w:val="00331D75"/>
    <w:rsid w:val="003349A5"/>
    <w:rsid w:val="00355362"/>
    <w:rsid w:val="003579AB"/>
    <w:rsid w:val="00363E44"/>
    <w:rsid w:val="00364364"/>
    <w:rsid w:val="00364E0C"/>
    <w:rsid w:val="00386DDC"/>
    <w:rsid w:val="00395E86"/>
    <w:rsid w:val="003A2FD8"/>
    <w:rsid w:val="003B40E6"/>
    <w:rsid w:val="003B71A8"/>
    <w:rsid w:val="003C007A"/>
    <w:rsid w:val="003D3B46"/>
    <w:rsid w:val="003E1980"/>
    <w:rsid w:val="003F3758"/>
    <w:rsid w:val="003F564D"/>
    <w:rsid w:val="003F6E14"/>
    <w:rsid w:val="00405336"/>
    <w:rsid w:val="004568BC"/>
    <w:rsid w:val="004571D5"/>
    <w:rsid w:val="00462F1B"/>
    <w:rsid w:val="0046356B"/>
    <w:rsid w:val="00477182"/>
    <w:rsid w:val="004779CB"/>
    <w:rsid w:val="00481118"/>
    <w:rsid w:val="00487542"/>
    <w:rsid w:val="004A5036"/>
    <w:rsid w:val="004B2481"/>
    <w:rsid w:val="004D2A8C"/>
    <w:rsid w:val="004E42D8"/>
    <w:rsid w:val="004E7BA2"/>
    <w:rsid w:val="004F7EDF"/>
    <w:rsid w:val="005001AC"/>
    <w:rsid w:val="00517016"/>
    <w:rsid w:val="00520459"/>
    <w:rsid w:val="00527D71"/>
    <w:rsid w:val="00527D84"/>
    <w:rsid w:val="005314B5"/>
    <w:rsid w:val="0054432F"/>
    <w:rsid w:val="00544F1D"/>
    <w:rsid w:val="0054741C"/>
    <w:rsid w:val="00552C23"/>
    <w:rsid w:val="005607DD"/>
    <w:rsid w:val="0056555C"/>
    <w:rsid w:val="00572DFF"/>
    <w:rsid w:val="00576BA6"/>
    <w:rsid w:val="005801F5"/>
    <w:rsid w:val="0058162D"/>
    <w:rsid w:val="005A0947"/>
    <w:rsid w:val="005A3439"/>
    <w:rsid w:val="005A3B3A"/>
    <w:rsid w:val="005A558C"/>
    <w:rsid w:val="005B186E"/>
    <w:rsid w:val="005B7658"/>
    <w:rsid w:val="005C1F26"/>
    <w:rsid w:val="005C6651"/>
    <w:rsid w:val="005D1BAA"/>
    <w:rsid w:val="005D6D71"/>
    <w:rsid w:val="005E28F8"/>
    <w:rsid w:val="005E6513"/>
    <w:rsid w:val="005F1E80"/>
    <w:rsid w:val="00604B4B"/>
    <w:rsid w:val="00611228"/>
    <w:rsid w:val="00611F9E"/>
    <w:rsid w:val="0062159C"/>
    <w:rsid w:val="00621736"/>
    <w:rsid w:val="006237D4"/>
    <w:rsid w:val="00635CB7"/>
    <w:rsid w:val="00635E69"/>
    <w:rsid w:val="00641D4B"/>
    <w:rsid w:val="00651114"/>
    <w:rsid w:val="0065415F"/>
    <w:rsid w:val="006622CF"/>
    <w:rsid w:val="00663676"/>
    <w:rsid w:val="00664A12"/>
    <w:rsid w:val="0066722B"/>
    <w:rsid w:val="00670299"/>
    <w:rsid w:val="0067226D"/>
    <w:rsid w:val="006810E3"/>
    <w:rsid w:val="0068469F"/>
    <w:rsid w:val="00691985"/>
    <w:rsid w:val="006962C1"/>
    <w:rsid w:val="006A1B64"/>
    <w:rsid w:val="006B03AD"/>
    <w:rsid w:val="006C2CFC"/>
    <w:rsid w:val="006C659F"/>
    <w:rsid w:val="006E0B84"/>
    <w:rsid w:val="006F602A"/>
    <w:rsid w:val="006F7E5A"/>
    <w:rsid w:val="007108F5"/>
    <w:rsid w:val="00713AF2"/>
    <w:rsid w:val="00713E5B"/>
    <w:rsid w:val="00714923"/>
    <w:rsid w:val="007402FC"/>
    <w:rsid w:val="007411A1"/>
    <w:rsid w:val="00754993"/>
    <w:rsid w:val="007563F2"/>
    <w:rsid w:val="00764008"/>
    <w:rsid w:val="007649D3"/>
    <w:rsid w:val="00785D0D"/>
    <w:rsid w:val="007A3530"/>
    <w:rsid w:val="007B1839"/>
    <w:rsid w:val="007C1E1F"/>
    <w:rsid w:val="007C6966"/>
    <w:rsid w:val="007D566B"/>
    <w:rsid w:val="007E1DF0"/>
    <w:rsid w:val="00807D35"/>
    <w:rsid w:val="008115D9"/>
    <w:rsid w:val="00825950"/>
    <w:rsid w:val="00846722"/>
    <w:rsid w:val="00852A5F"/>
    <w:rsid w:val="008766EC"/>
    <w:rsid w:val="00885C9B"/>
    <w:rsid w:val="008927D0"/>
    <w:rsid w:val="008A78A9"/>
    <w:rsid w:val="008B6061"/>
    <w:rsid w:val="008C6296"/>
    <w:rsid w:val="008C62DB"/>
    <w:rsid w:val="008D0750"/>
    <w:rsid w:val="008D5D2A"/>
    <w:rsid w:val="008D6F94"/>
    <w:rsid w:val="008E2CF1"/>
    <w:rsid w:val="008F08DC"/>
    <w:rsid w:val="008F5542"/>
    <w:rsid w:val="008F5A8A"/>
    <w:rsid w:val="00901FF2"/>
    <w:rsid w:val="009055D1"/>
    <w:rsid w:val="00914B63"/>
    <w:rsid w:val="009174EE"/>
    <w:rsid w:val="00917C5A"/>
    <w:rsid w:val="00922659"/>
    <w:rsid w:val="00922705"/>
    <w:rsid w:val="00924546"/>
    <w:rsid w:val="00932FE5"/>
    <w:rsid w:val="009354F3"/>
    <w:rsid w:val="009447DC"/>
    <w:rsid w:val="00961BA5"/>
    <w:rsid w:val="00966746"/>
    <w:rsid w:val="009705DF"/>
    <w:rsid w:val="00971069"/>
    <w:rsid w:val="009743A9"/>
    <w:rsid w:val="00975720"/>
    <w:rsid w:val="009859A7"/>
    <w:rsid w:val="009916B3"/>
    <w:rsid w:val="009918CA"/>
    <w:rsid w:val="009925B9"/>
    <w:rsid w:val="009A5287"/>
    <w:rsid w:val="009B2AC5"/>
    <w:rsid w:val="009B7984"/>
    <w:rsid w:val="009E2512"/>
    <w:rsid w:val="009F4BED"/>
    <w:rsid w:val="009F7D93"/>
    <w:rsid w:val="00A276DF"/>
    <w:rsid w:val="00A3084A"/>
    <w:rsid w:val="00A32239"/>
    <w:rsid w:val="00A3403B"/>
    <w:rsid w:val="00A50033"/>
    <w:rsid w:val="00A51A12"/>
    <w:rsid w:val="00A627D4"/>
    <w:rsid w:val="00A74DA2"/>
    <w:rsid w:val="00A92733"/>
    <w:rsid w:val="00A9417C"/>
    <w:rsid w:val="00A94846"/>
    <w:rsid w:val="00A949BF"/>
    <w:rsid w:val="00AA76F3"/>
    <w:rsid w:val="00AB23AA"/>
    <w:rsid w:val="00AC0BEB"/>
    <w:rsid w:val="00AC7DA6"/>
    <w:rsid w:val="00AD499C"/>
    <w:rsid w:val="00AE1566"/>
    <w:rsid w:val="00AF3070"/>
    <w:rsid w:val="00B30334"/>
    <w:rsid w:val="00B3147F"/>
    <w:rsid w:val="00B36869"/>
    <w:rsid w:val="00B43B31"/>
    <w:rsid w:val="00B47CFA"/>
    <w:rsid w:val="00B57F00"/>
    <w:rsid w:val="00B626CB"/>
    <w:rsid w:val="00B7560C"/>
    <w:rsid w:val="00B77E40"/>
    <w:rsid w:val="00B82C22"/>
    <w:rsid w:val="00B932F3"/>
    <w:rsid w:val="00B93DBA"/>
    <w:rsid w:val="00B9440A"/>
    <w:rsid w:val="00B952C1"/>
    <w:rsid w:val="00B968D7"/>
    <w:rsid w:val="00BA3953"/>
    <w:rsid w:val="00BB2D2A"/>
    <w:rsid w:val="00BB6EAB"/>
    <w:rsid w:val="00BD58CF"/>
    <w:rsid w:val="00BF1239"/>
    <w:rsid w:val="00BF1BEB"/>
    <w:rsid w:val="00BF1BF9"/>
    <w:rsid w:val="00C04CC1"/>
    <w:rsid w:val="00C071FC"/>
    <w:rsid w:val="00C142FD"/>
    <w:rsid w:val="00C22C02"/>
    <w:rsid w:val="00C27F6F"/>
    <w:rsid w:val="00C30E83"/>
    <w:rsid w:val="00C43426"/>
    <w:rsid w:val="00C47736"/>
    <w:rsid w:val="00C50C6D"/>
    <w:rsid w:val="00C54485"/>
    <w:rsid w:val="00C600D9"/>
    <w:rsid w:val="00C634D7"/>
    <w:rsid w:val="00C636D0"/>
    <w:rsid w:val="00C73E09"/>
    <w:rsid w:val="00C91AA9"/>
    <w:rsid w:val="00CA012A"/>
    <w:rsid w:val="00CB3B86"/>
    <w:rsid w:val="00CB66B6"/>
    <w:rsid w:val="00CC1384"/>
    <w:rsid w:val="00CD3720"/>
    <w:rsid w:val="00CE1D9D"/>
    <w:rsid w:val="00CE6EAA"/>
    <w:rsid w:val="00CF1848"/>
    <w:rsid w:val="00CF5C2F"/>
    <w:rsid w:val="00D0377E"/>
    <w:rsid w:val="00D04BCF"/>
    <w:rsid w:val="00D10134"/>
    <w:rsid w:val="00D10198"/>
    <w:rsid w:val="00D143D9"/>
    <w:rsid w:val="00D33C23"/>
    <w:rsid w:val="00D4372A"/>
    <w:rsid w:val="00D60BB0"/>
    <w:rsid w:val="00D65708"/>
    <w:rsid w:val="00D7263C"/>
    <w:rsid w:val="00D80663"/>
    <w:rsid w:val="00D8159F"/>
    <w:rsid w:val="00DD1D04"/>
    <w:rsid w:val="00DD79D7"/>
    <w:rsid w:val="00DF38DC"/>
    <w:rsid w:val="00E16EED"/>
    <w:rsid w:val="00E20180"/>
    <w:rsid w:val="00E20431"/>
    <w:rsid w:val="00E257C8"/>
    <w:rsid w:val="00E2752F"/>
    <w:rsid w:val="00E3105E"/>
    <w:rsid w:val="00E40896"/>
    <w:rsid w:val="00E43D2D"/>
    <w:rsid w:val="00E449CB"/>
    <w:rsid w:val="00E501C9"/>
    <w:rsid w:val="00E60F22"/>
    <w:rsid w:val="00E63760"/>
    <w:rsid w:val="00E64049"/>
    <w:rsid w:val="00E65DF7"/>
    <w:rsid w:val="00E71F27"/>
    <w:rsid w:val="00E95BD3"/>
    <w:rsid w:val="00E9773B"/>
    <w:rsid w:val="00EC13A3"/>
    <w:rsid w:val="00EC7C85"/>
    <w:rsid w:val="00ED69CA"/>
    <w:rsid w:val="00EE35AB"/>
    <w:rsid w:val="00EE4FC1"/>
    <w:rsid w:val="00EE68C0"/>
    <w:rsid w:val="00EF25A3"/>
    <w:rsid w:val="00F125EE"/>
    <w:rsid w:val="00F12E98"/>
    <w:rsid w:val="00F22029"/>
    <w:rsid w:val="00F23E46"/>
    <w:rsid w:val="00F3515C"/>
    <w:rsid w:val="00F36F64"/>
    <w:rsid w:val="00F47BA3"/>
    <w:rsid w:val="00F552E2"/>
    <w:rsid w:val="00F56E67"/>
    <w:rsid w:val="00F57E7A"/>
    <w:rsid w:val="00F630EA"/>
    <w:rsid w:val="00F6474F"/>
    <w:rsid w:val="00F7007E"/>
    <w:rsid w:val="00F73193"/>
    <w:rsid w:val="00F7409E"/>
    <w:rsid w:val="00F74F95"/>
    <w:rsid w:val="00F80705"/>
    <w:rsid w:val="00F9350A"/>
    <w:rsid w:val="00FA1481"/>
    <w:rsid w:val="00FB1C42"/>
    <w:rsid w:val="00FB32EC"/>
    <w:rsid w:val="00FC5AB1"/>
    <w:rsid w:val="00FF04E3"/>
    <w:rsid w:val="00FF1AD5"/>
    <w:rsid w:val="00FF3503"/>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D9FF7"/>
  <w15:docId w15:val="{5804DE98-A781-486E-8D21-EE986C9B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uiPriority w:val="99"/>
    <w:semiHidden/>
    <w:rsid w:val="00405336"/>
    <w:rPr>
      <w:rFonts w:ascii="Courier New" w:hAnsi="Courier New" w:cs="Courier New"/>
      <w:sz w:val="20"/>
    </w:rPr>
  </w:style>
  <w:style w:type="character" w:customStyle="1" w:styleId="PlainTextChar">
    <w:name w:val="Plain Text Char"/>
    <w:link w:val="PlainText"/>
    <w:uiPriority w:val="99"/>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Authors">
    <w:name w:val="Authors"/>
    <w:basedOn w:val="Normal"/>
    <w:rsid w:val="00754993"/>
    <w:pPr>
      <w:spacing w:before="120" w:after="360"/>
    </w:pPr>
    <w:rPr>
      <w:b/>
      <w:szCs w:val="24"/>
    </w:rPr>
  </w:style>
  <w:style w:type="paragraph" w:customStyle="1" w:styleId="Affiliation">
    <w:name w:val="Affiliation"/>
    <w:basedOn w:val="Normal"/>
    <w:qFormat/>
    <w:rsid w:val="00754993"/>
    <w:pPr>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Kay, Michael - San Francisco</cp:lastModifiedBy>
  <cp:revision>3</cp:revision>
  <cp:lastPrinted>2014-09-30T16:49:00Z</cp:lastPrinted>
  <dcterms:created xsi:type="dcterms:W3CDTF">2018-01-23T22:55:00Z</dcterms:created>
  <dcterms:modified xsi:type="dcterms:W3CDTF">2018-01-23T22:56:00Z</dcterms:modified>
</cp:coreProperties>
</file>