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EE180" w14:textId="77777777" w:rsidR="00E34C3A" w:rsidRPr="00442140" w:rsidRDefault="00E34C3A" w:rsidP="00E34C3A">
      <w:pPr>
        <w:spacing w:line="480" w:lineRule="auto"/>
        <w:jc w:val="both"/>
        <w:rPr>
          <w:b/>
          <w:color w:val="1F497D"/>
        </w:rPr>
      </w:pPr>
      <w:r>
        <w:rPr>
          <w:b/>
          <w:color w:val="1F497D"/>
        </w:rPr>
        <w:t>Supplementary information</w:t>
      </w:r>
      <w:r w:rsidRPr="00442140">
        <w:rPr>
          <w:b/>
          <w:color w:val="1F497D"/>
        </w:rPr>
        <w:t xml:space="preserve">: An alternative model using a </w:t>
      </w:r>
      <w:proofErr w:type="spellStart"/>
      <w:r w:rsidRPr="00442140">
        <w:rPr>
          <w:b/>
          <w:color w:val="1F497D"/>
        </w:rPr>
        <w:t>Beverton</w:t>
      </w:r>
      <w:proofErr w:type="spellEnd"/>
      <w:r w:rsidRPr="00442140">
        <w:rPr>
          <w:b/>
          <w:color w:val="1F497D"/>
        </w:rPr>
        <w:t>-Holt SRR.</w:t>
      </w:r>
    </w:p>
    <w:p w14:paraId="7BCDAEB5" w14:textId="77777777" w:rsidR="00E34C3A" w:rsidRPr="00925275" w:rsidRDefault="00E34C3A" w:rsidP="00E34C3A">
      <w:pPr>
        <w:spacing w:line="480" w:lineRule="auto"/>
        <w:jc w:val="both"/>
        <w:rPr>
          <w:rFonts w:eastAsiaTheme="minorEastAsia"/>
        </w:rPr>
      </w:pPr>
      <w:r>
        <w:rPr>
          <w:rFonts w:eastAsiaTheme="minorEastAsia"/>
        </w:rPr>
        <w:t>For comparison, we</w:t>
      </w:r>
      <w:r w:rsidRPr="00925275">
        <w:rPr>
          <w:rFonts w:eastAsiaTheme="minorEastAsia"/>
        </w:rPr>
        <w:t xml:space="preserve"> consider a</w:t>
      </w:r>
      <w:r>
        <w:rPr>
          <w:rFonts w:eastAsiaTheme="minorEastAsia"/>
        </w:rPr>
        <w:t xml:space="preserve"> local</w:t>
      </w:r>
      <w:r w:rsidRPr="00925275">
        <w:rPr>
          <w:rFonts w:eastAsiaTheme="minorEastAsia"/>
        </w:rPr>
        <w:t xml:space="preserve"> </w:t>
      </w:r>
      <w:proofErr w:type="spellStart"/>
      <w:r w:rsidRPr="00925275">
        <w:rPr>
          <w:rFonts w:eastAsiaTheme="minorEastAsia"/>
        </w:rPr>
        <w:t>Beverton</w:t>
      </w:r>
      <w:proofErr w:type="spellEnd"/>
      <w:r w:rsidRPr="00925275">
        <w:rPr>
          <w:rFonts w:eastAsiaTheme="minorEastAsia"/>
        </w:rPr>
        <w:t>-Holt SRR, using the paramet</w:t>
      </w:r>
      <w:r>
        <w:rPr>
          <w:rFonts w:eastAsiaTheme="minorEastAsia"/>
        </w:rPr>
        <w:t>e</w:t>
      </w:r>
      <w:r w:rsidRPr="00925275">
        <w:rPr>
          <w:rFonts w:eastAsiaTheme="minorEastAsia"/>
        </w:rPr>
        <w:t>rization</w:t>
      </w:r>
      <w:r>
        <w:rPr>
          <w:rFonts w:eastAsiaTheme="minorEastAsia"/>
        </w:rPr>
        <w:t>:</w:t>
      </w:r>
    </w:p>
    <w:p w14:paraId="1CB45356" w14:textId="3F95798B" w:rsidR="00E34C3A" w:rsidRPr="00925275" w:rsidRDefault="005140AC" w:rsidP="006C14A0">
      <w:pPr>
        <w:spacing w:before="120" w:after="120" w:line="480" w:lineRule="auto"/>
        <w:ind w:firstLine="360"/>
        <w:jc w:val="right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STIXGeneral-Regular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STIXGeneral-Regular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,</m:t>
                </m:r>
                <m:r>
                  <w:rPr>
                    <w:rFonts w:ascii="Cambria Math" w:eastAsiaTheme="minorEastAsia" w:hAnsi="Cambria Math" w:cs="STIXGeneral-Regular"/>
                  </w:rPr>
                  <m:t>t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= </m:t>
            </m:r>
            <m:r>
              <w:rPr>
                <w:rFonts w:ascii="Cambria Math" w:eastAsiaTheme="minorEastAsia" w:hAnsi="Cambria Math" w:cs="STIXGeneral-Regular"/>
              </w:rPr>
              <m:t>α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STIXGeneral-Regular"/>
                  </w:rPr>
                  <m:t>B</m:t>
                </m:r>
                <m:ctrlPr>
                  <w:rPr>
                    <w:rFonts w:ascii="Cambria Math" w:eastAsiaTheme="minorEastAsia" w:hAnsi="Cambria Math" w:cs="STIXGeneral-Regular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 w:cs="STIXGeneral-Regular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,</m:t>
                </m:r>
                <m:r>
                  <w:rPr>
                    <w:rFonts w:ascii="Cambria Math" w:eastAsiaTheme="minorEastAsia" w:hAnsi="Cambria Math" w:cs="STIXGeneral-Regular"/>
                  </w:rPr>
                  <m:t>t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STIXGeneral-Regular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STIXGeneral-Regular"/>
                          </w:rPr>
                          <m:t>i</m:t>
                        </m:r>
                      </m:sub>
                    </m:sSub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</w:rPr>
              <m:t>1+</m:t>
            </m:r>
            <m:r>
              <w:rPr>
                <w:rFonts w:ascii="Cambria Math" w:eastAsiaTheme="minorEastAsia" w:hAnsi="Cambria Math" w:cs="STIXGeneral-Regular"/>
              </w:rPr>
              <m:t>β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STIXGeneral-Regular"/>
                  </w:rPr>
                  <m:t>B</m:t>
                </m:r>
                <m:ctrlPr>
                  <w:rPr>
                    <w:rFonts w:ascii="Cambria Math" w:eastAsiaTheme="minorEastAsia" w:hAnsi="Cambria Math" w:cs="STIXGeneral-Regular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 w:cs="STIXGeneral-Regular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,</m:t>
                </m:r>
                <m:r>
                  <w:rPr>
                    <w:rFonts w:ascii="Cambria Math" w:eastAsiaTheme="minorEastAsia" w:hAnsi="Cambria Math" w:cs="STIXGeneral-Regular"/>
                  </w:rPr>
                  <m:t>t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</m:sub>
            </m:sSub>
          </m:den>
        </m:f>
      </m:oMath>
      <w:r w:rsidR="00E34C3A" w:rsidRPr="00925275">
        <w:rPr>
          <w:rFonts w:eastAsiaTheme="minorEastAsia"/>
        </w:rPr>
        <w:tab/>
      </w:r>
      <w:r w:rsidR="00E34C3A" w:rsidRPr="00925275">
        <w:rPr>
          <w:rFonts w:eastAsiaTheme="minorEastAsia"/>
        </w:rPr>
        <w:tab/>
      </w:r>
      <w:r w:rsidR="00E34C3A" w:rsidRPr="00925275">
        <w:rPr>
          <w:rFonts w:eastAsiaTheme="minorEastAsia"/>
        </w:rPr>
        <w:tab/>
      </w:r>
      <w:r w:rsidR="006C14A0">
        <w:rPr>
          <w:rFonts w:eastAsiaTheme="minorEastAsia"/>
        </w:rPr>
        <w:tab/>
      </w:r>
      <w:r w:rsidR="006C14A0">
        <w:rPr>
          <w:rFonts w:eastAsiaTheme="minorEastAsia"/>
        </w:rPr>
        <w:tab/>
      </w:r>
      <w:r w:rsidR="00E34C3A" w:rsidRPr="00925275">
        <w:rPr>
          <w:rFonts w:eastAsiaTheme="minorEastAsia"/>
        </w:rPr>
        <w:tab/>
        <w:t xml:space="preserve">  (</w:t>
      </w:r>
      <w:r w:rsidR="00E34C3A">
        <w:rPr>
          <w:rFonts w:eastAsiaTheme="minorEastAsia"/>
        </w:rPr>
        <w:t>A1</w:t>
      </w:r>
      <w:r w:rsidR="00E34C3A" w:rsidRPr="00925275">
        <w:rPr>
          <w:rFonts w:eastAsiaTheme="minorEastAsia"/>
        </w:rPr>
        <w:t>)</w:t>
      </w:r>
    </w:p>
    <w:p w14:paraId="4CEDCE34" w14:textId="77777777" w:rsidR="00E34C3A" w:rsidRPr="00925275" w:rsidRDefault="00E34C3A" w:rsidP="00E34C3A">
      <w:pPr>
        <w:spacing w:line="480" w:lineRule="auto"/>
        <w:jc w:val="both"/>
        <w:rPr>
          <w:rFonts w:eastAsiaTheme="minorEastAsia"/>
        </w:rPr>
      </w:pPr>
      <w:r w:rsidRPr="00925275">
        <w:rPr>
          <w:rFonts w:eastAsiaTheme="minorEastAsia"/>
        </w:rPr>
        <w:t xml:space="preserve">where the values of </w:t>
      </w:r>
      <w:proofErr w:type="gramStart"/>
      <w:r w:rsidRPr="00925275">
        <w:rPr>
          <w:rFonts w:eastAsiaTheme="minorEastAsia"/>
          <w:i/>
        </w:rPr>
        <w:t>β</w:t>
      </w:r>
      <w:r w:rsidRPr="00925275" w:rsidDel="000D7E56">
        <w:rPr>
          <w:rFonts w:eastAsiaTheme="minorEastAsia"/>
          <w:i/>
        </w:rPr>
        <w:t xml:space="preserve"> </w:t>
      </w:r>
      <w:r w:rsidRPr="00925275">
        <w:rPr>
          <w:rFonts w:eastAsiaTheme="minorEastAsia"/>
        </w:rPr>
        <w:t xml:space="preserve"> and</w:t>
      </w:r>
      <w:proofErr w:type="gramEnd"/>
      <w:r w:rsidRPr="00925275">
        <w:rPr>
          <w:rFonts w:eastAsiaTheme="minorEastAsia"/>
        </w:rPr>
        <w:t xml:space="preserve"> </w:t>
      </w:r>
      <w:r w:rsidRPr="00925275">
        <w:rPr>
          <w:rFonts w:eastAsiaTheme="minorEastAsia"/>
          <w:i/>
        </w:rPr>
        <w:t>H</w:t>
      </w:r>
      <w:r w:rsidRPr="00925275">
        <w:rPr>
          <w:rFonts w:eastAsiaTheme="minorEastAsia"/>
          <w:i/>
          <w:vertAlign w:val="subscript"/>
        </w:rPr>
        <w:t>i</w:t>
      </w:r>
      <w:r w:rsidRPr="00925275">
        <w:rPr>
          <w:rFonts w:eastAsiaTheme="minorEastAsia"/>
        </w:rPr>
        <w:t xml:space="preserve"> are identical to those used in the Ricker model, and the constant of density dependence is set at a value (</w:t>
      </w:r>
      <w:r>
        <w:rPr>
          <w:rFonts w:eastAsiaTheme="minorEastAsia"/>
        </w:rPr>
        <w:sym w:font="Symbol" w:char="F061"/>
      </w:r>
      <w:r w:rsidRPr="00925275">
        <w:rPr>
          <w:rFonts w:eastAsiaTheme="minorEastAsia"/>
        </w:rPr>
        <w:t>= 0.</w:t>
      </w:r>
      <w:r>
        <w:rPr>
          <w:rFonts w:eastAsiaTheme="minorEastAsia"/>
        </w:rPr>
        <w:t>55</w:t>
      </w:r>
      <w:r w:rsidRPr="00925275">
        <w:rPr>
          <w:rFonts w:eastAsiaTheme="minorEastAsia"/>
        </w:rPr>
        <w:t xml:space="preserve">) that </w:t>
      </w:r>
      <w:r>
        <w:rPr>
          <w:rFonts w:eastAsiaTheme="minorEastAsia"/>
        </w:rPr>
        <w:t>leads to</w:t>
      </w:r>
      <w:r w:rsidRPr="00925275">
        <w:rPr>
          <w:rFonts w:eastAsiaTheme="minorEastAsia"/>
        </w:rPr>
        <w:t xml:space="preserve"> </w:t>
      </w:r>
      <w:r>
        <w:rPr>
          <w:rFonts w:eastAsiaTheme="minorEastAsia"/>
        </w:rPr>
        <w:t xml:space="preserve">the same value for </w:t>
      </w:r>
      <w:r w:rsidRPr="009A638D">
        <w:rPr>
          <w:rFonts w:eastAsiaTheme="minorEastAsia"/>
          <w:i/>
        </w:rPr>
        <w:t>E</w:t>
      </w:r>
      <w:r w:rsidRPr="009A638D">
        <w:rPr>
          <w:rFonts w:eastAsiaTheme="minorEastAsia"/>
          <w:vertAlign w:val="subscript"/>
        </w:rPr>
        <w:t>MSY</w:t>
      </w:r>
      <w:r>
        <w:rPr>
          <w:rFonts w:eastAsiaTheme="minorEastAsia"/>
        </w:rPr>
        <w:t xml:space="preserve"> as</w:t>
      </w:r>
      <w:r w:rsidRPr="00925275">
        <w:rPr>
          <w:rFonts w:eastAsiaTheme="minorEastAsia"/>
        </w:rPr>
        <w:t xml:space="preserve"> th</w:t>
      </w:r>
      <w:r>
        <w:rPr>
          <w:rFonts w:eastAsiaTheme="minorEastAsia"/>
        </w:rPr>
        <w:t>at for</w:t>
      </w:r>
      <w:r w:rsidRPr="00925275">
        <w:rPr>
          <w:rFonts w:eastAsiaTheme="minorEastAsia"/>
        </w:rPr>
        <w:t xml:space="preserve"> the Ricker-based model in Equation (3) under the DIFF </w:t>
      </w:r>
      <w:r>
        <w:rPr>
          <w:rFonts w:eastAsiaTheme="minorEastAsia"/>
        </w:rPr>
        <w:t>strategy</w:t>
      </w:r>
      <w:r w:rsidRPr="00925275">
        <w:rPr>
          <w:rFonts w:eastAsiaTheme="minorEastAsia"/>
        </w:rPr>
        <w:t xml:space="preserve">.  Although </w:t>
      </w:r>
      <w:proofErr w:type="spellStart"/>
      <w:r w:rsidRPr="00925275">
        <w:rPr>
          <w:rFonts w:eastAsiaTheme="minorEastAsia"/>
        </w:rPr>
        <w:t>Beverton</w:t>
      </w:r>
      <w:proofErr w:type="spellEnd"/>
      <w:r w:rsidRPr="00925275">
        <w:rPr>
          <w:rFonts w:eastAsiaTheme="minorEastAsia"/>
        </w:rPr>
        <w:t>-Holt SRR paramet</w:t>
      </w:r>
      <w:r>
        <w:rPr>
          <w:rFonts w:eastAsiaTheme="minorEastAsia"/>
        </w:rPr>
        <w:t>e</w:t>
      </w:r>
      <w:r w:rsidRPr="00925275">
        <w:rPr>
          <w:rFonts w:eastAsiaTheme="minorEastAsia"/>
        </w:rPr>
        <w:t xml:space="preserve">rizations using unfished biomass </w:t>
      </w:r>
      <w:r w:rsidRPr="00925275">
        <w:t xml:space="preserve">(often called </w:t>
      </w:r>
      <w:r w:rsidRPr="00925275">
        <w:rPr>
          <w:i/>
        </w:rPr>
        <w:t>B</w:t>
      </w:r>
      <w:r w:rsidRPr="00925275">
        <w:rPr>
          <w:vertAlign w:val="subscript"/>
        </w:rPr>
        <w:t>0</w:t>
      </w:r>
      <w:r w:rsidRPr="00925275">
        <w:t xml:space="preserve">) </w:t>
      </w:r>
      <w:r w:rsidRPr="00925275">
        <w:rPr>
          <w:rFonts w:eastAsiaTheme="minorEastAsia"/>
        </w:rPr>
        <w:t>and a dimensionless “steepness” parameter are now in popular use, they are inappropriate for spatial models where internally-generated recruitment at some sites may never reach replacement (continued occupancy of the site depend</w:t>
      </w:r>
      <w:r>
        <w:rPr>
          <w:rFonts w:eastAsiaTheme="minorEastAsia"/>
        </w:rPr>
        <w:t>s</w:t>
      </w:r>
      <w:r w:rsidRPr="00925275">
        <w:rPr>
          <w:rFonts w:eastAsiaTheme="minorEastAsia"/>
        </w:rPr>
        <w:t xml:space="preserve"> on </w:t>
      </w:r>
      <w:r>
        <w:rPr>
          <w:rFonts w:eastAsiaTheme="minorEastAsia"/>
        </w:rPr>
        <w:t xml:space="preserve">an influx of </w:t>
      </w:r>
      <w:r w:rsidRPr="00925275">
        <w:rPr>
          <w:rFonts w:eastAsiaTheme="minorEastAsia"/>
        </w:rPr>
        <w:t xml:space="preserve">adult biomass </w:t>
      </w:r>
      <w:r>
        <w:rPr>
          <w:rFonts w:eastAsiaTheme="minorEastAsia"/>
        </w:rPr>
        <w:t>produced at other</w:t>
      </w:r>
      <w:r w:rsidRPr="00925275">
        <w:rPr>
          <w:rFonts w:eastAsiaTheme="minorEastAsia"/>
        </w:rPr>
        <w:t xml:space="preserve"> sites), so that </w:t>
      </w:r>
      <w:r>
        <w:rPr>
          <w:rFonts w:eastAsiaTheme="minorEastAsia"/>
        </w:rPr>
        <w:t xml:space="preserve">site-specific </w:t>
      </w:r>
      <w:r w:rsidRPr="00925275">
        <w:rPr>
          <w:i/>
        </w:rPr>
        <w:t>B</w:t>
      </w:r>
      <w:r w:rsidRPr="00925275">
        <w:rPr>
          <w:vertAlign w:val="subscript"/>
        </w:rPr>
        <w:t>0</w:t>
      </w:r>
      <w:r w:rsidRPr="00925275">
        <w:rPr>
          <w:rFonts w:eastAsiaTheme="minorEastAsia"/>
        </w:rPr>
        <w:t xml:space="preserve"> is not </w:t>
      </w:r>
      <w:r>
        <w:rPr>
          <w:rFonts w:eastAsiaTheme="minorEastAsia"/>
        </w:rPr>
        <w:t xml:space="preserve">independently </w:t>
      </w:r>
      <w:r w:rsidRPr="00925275">
        <w:rPr>
          <w:rFonts w:eastAsiaTheme="minorEastAsia"/>
        </w:rPr>
        <w:t>defined</w:t>
      </w:r>
      <w:r>
        <w:rPr>
          <w:rFonts w:eastAsiaTheme="minorEastAsia"/>
        </w:rPr>
        <w:t>.</w:t>
      </w:r>
    </w:p>
    <w:p w14:paraId="5A0C7110" w14:textId="77777777" w:rsidR="00E34C3A" w:rsidRDefault="00E34C3A" w:rsidP="00E34C3A">
      <w:pPr>
        <w:spacing w:line="480" w:lineRule="auto"/>
        <w:jc w:val="both"/>
      </w:pPr>
    </w:p>
    <w:p w14:paraId="2A5A5A4A" w14:textId="77777777" w:rsidR="00E34C3A" w:rsidRDefault="00E34C3A" w:rsidP="00E34C3A">
      <w:pPr>
        <w:spacing w:line="480" w:lineRule="auto"/>
        <w:jc w:val="both"/>
      </w:pPr>
      <w:r>
        <w:rPr>
          <w:rFonts w:eastAsiaTheme="minorEastAsia"/>
        </w:rPr>
        <w:t>The</w:t>
      </w:r>
      <w:r w:rsidRPr="00925275">
        <w:t xml:space="preserve"> </w:t>
      </w:r>
      <w:r>
        <w:t xml:space="preserve">local </w:t>
      </w:r>
      <w:proofErr w:type="spellStart"/>
      <w:r w:rsidRPr="00925275">
        <w:t>Beverton</w:t>
      </w:r>
      <w:proofErr w:type="spellEnd"/>
      <w:r w:rsidRPr="00925275">
        <w:t xml:space="preserve">-Holt SRR </w:t>
      </w:r>
      <w:r>
        <w:t>leads to</w:t>
      </w:r>
      <w:r w:rsidRPr="00925275">
        <w:t xml:space="preserve"> results very similar to the Ricker </w:t>
      </w:r>
      <w:r>
        <w:t>SRR g</w:t>
      </w:r>
      <w:r w:rsidRPr="00925275">
        <w:t xml:space="preserve">iven the same values of </w:t>
      </w:r>
      <w:r w:rsidRPr="00925275">
        <w:rPr>
          <w:rFonts w:eastAsiaTheme="minorEastAsia"/>
          <w:i/>
        </w:rPr>
        <w:t>H</w:t>
      </w:r>
      <w:r w:rsidRPr="00925275">
        <w:rPr>
          <w:rFonts w:eastAsiaTheme="minorEastAsia"/>
          <w:i/>
          <w:vertAlign w:val="subscript"/>
        </w:rPr>
        <w:t>i</w:t>
      </w:r>
      <w:r w:rsidRPr="00925275">
        <w:rPr>
          <w:rFonts w:eastAsiaTheme="minorEastAsia"/>
        </w:rPr>
        <w:t xml:space="preserve">, </w:t>
      </w:r>
      <w:r w:rsidRPr="00925275">
        <w:t xml:space="preserve">(Figure </w:t>
      </w:r>
      <w:r>
        <w:t>S5</w:t>
      </w:r>
      <w:r w:rsidRPr="00925275">
        <w:t xml:space="preserve">).  The </w:t>
      </w:r>
      <w:r>
        <w:t xml:space="preserve">local </w:t>
      </w:r>
      <w:r w:rsidRPr="00925275">
        <w:t xml:space="preserve">Ricker model </w:t>
      </w:r>
      <w:r>
        <w:t>leads to</w:t>
      </w:r>
      <w:r w:rsidRPr="00925275">
        <w:t xml:space="preserve"> slightly greater spatial contrast in </w:t>
      </w:r>
      <w:r>
        <w:t>biomass</w:t>
      </w:r>
      <w:r w:rsidRPr="00925275">
        <w:t>.</w:t>
      </w:r>
      <w:r>
        <w:t xml:space="preserve">  </w:t>
      </w:r>
    </w:p>
    <w:p w14:paraId="67469CCD" w14:textId="77777777" w:rsidR="00E34C3A" w:rsidRDefault="00E34C3A" w:rsidP="00E34C3A">
      <w:pPr>
        <w:spacing w:line="480" w:lineRule="auto"/>
      </w:pPr>
      <w:r>
        <w:br w:type="page"/>
      </w:r>
    </w:p>
    <w:p w14:paraId="1AFA4F19" w14:textId="77777777" w:rsidR="00E34C3A" w:rsidRDefault="00E34C3A" w:rsidP="00E34C3A">
      <w:pPr>
        <w:jc w:val="both"/>
      </w:pPr>
    </w:p>
    <w:p w14:paraId="0FB937C5" w14:textId="77777777" w:rsidR="00E34C3A" w:rsidRDefault="00E34C3A" w:rsidP="00E34C3A">
      <w:pPr>
        <w:spacing w:line="480" w:lineRule="auto"/>
      </w:pPr>
    </w:p>
    <w:p w14:paraId="4F9D3132" w14:textId="77777777" w:rsidR="00E34C3A" w:rsidRDefault="00E34C3A" w:rsidP="00E34C3A">
      <w:r>
        <w:rPr>
          <w:noProof/>
        </w:rPr>
        <w:drawing>
          <wp:inline distT="0" distB="0" distL="0" distR="0" wp14:anchorId="234B72A7" wp14:editId="207A4783">
            <wp:extent cx="5943600" cy="491871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52095" w14:textId="77777777" w:rsidR="00E34C3A" w:rsidRDefault="00E34C3A" w:rsidP="00E34C3A"/>
    <w:p w14:paraId="146FD0AB" w14:textId="6B0B52CC" w:rsidR="00E34C3A" w:rsidRDefault="00E34C3A" w:rsidP="00E34C3A">
      <w:pPr>
        <w:outlineLvl w:val="0"/>
      </w:pPr>
      <w:r w:rsidRPr="005D01E9">
        <w:t xml:space="preserve">Figure </w:t>
      </w:r>
      <w:r>
        <w:t>S1</w:t>
      </w:r>
      <w:r w:rsidR="00937CDC">
        <w:t>. As for Figure 3</w:t>
      </w:r>
      <w:r w:rsidRPr="005D01E9">
        <w:t xml:space="preserve">, except </w:t>
      </w:r>
      <w:r>
        <w:sym w:font="Symbol" w:char="F062"/>
      </w:r>
      <w:r>
        <w:t>=0.005.</w:t>
      </w:r>
    </w:p>
    <w:p w14:paraId="20A4F01D" w14:textId="77777777" w:rsidR="00E34C3A" w:rsidRDefault="00E34C3A" w:rsidP="00E34C3A">
      <w:r>
        <w:rPr>
          <w:noProof/>
        </w:rPr>
        <w:lastRenderedPageBreak/>
        <w:drawing>
          <wp:inline distT="0" distB="0" distL="0" distR="0" wp14:anchorId="0E163413" wp14:editId="04D87B52">
            <wp:extent cx="5943600" cy="4918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C40A7" w14:textId="77777777" w:rsidR="00E34C3A" w:rsidRDefault="00E34C3A" w:rsidP="00E34C3A"/>
    <w:p w14:paraId="6F6948BE" w14:textId="0B2E0BCB" w:rsidR="00E34C3A" w:rsidRDefault="00E34C3A" w:rsidP="00E34C3A">
      <w:pPr>
        <w:outlineLvl w:val="0"/>
      </w:pPr>
      <w:r w:rsidRPr="005D01E9">
        <w:t xml:space="preserve">Figure </w:t>
      </w:r>
      <w:r>
        <w:t>S2</w:t>
      </w:r>
      <w:r w:rsidR="00937CDC">
        <w:t>. As for Figure 3</w:t>
      </w:r>
      <w:r w:rsidRPr="005D01E9">
        <w:t xml:space="preserve">, except </w:t>
      </w:r>
      <w:r>
        <w:sym w:font="Symbol" w:char="F062"/>
      </w:r>
      <w:r>
        <w:t>=0.015.</w:t>
      </w:r>
    </w:p>
    <w:p w14:paraId="35188774" w14:textId="77777777" w:rsidR="00E34C3A" w:rsidRDefault="00E34C3A" w:rsidP="00E34C3A">
      <w:r w:rsidRPr="00110DC6">
        <w:rPr>
          <w:noProof/>
          <w:lang w:val="en-AU" w:eastAsia="en-AU"/>
        </w:rPr>
        <w:lastRenderedPageBreak/>
        <w:t xml:space="preserve"> </w:t>
      </w:r>
      <w:r>
        <w:rPr>
          <w:noProof/>
        </w:rPr>
        <w:drawing>
          <wp:inline distT="0" distB="0" distL="0" distR="0" wp14:anchorId="7FFFB806" wp14:editId="1043CA13">
            <wp:extent cx="5943600" cy="491871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2C4F" w14:textId="77777777" w:rsidR="00E34C3A" w:rsidRDefault="00E34C3A" w:rsidP="00E34C3A"/>
    <w:p w14:paraId="72DD8AE5" w14:textId="587D1AF3" w:rsidR="00E34C3A" w:rsidRDefault="00E34C3A" w:rsidP="00E34C3A">
      <w:pPr>
        <w:outlineLvl w:val="0"/>
      </w:pPr>
      <w:r>
        <w:t>Figure S3</w:t>
      </w:r>
      <w:r w:rsidR="00937CDC">
        <w:t>. As for Figure 3</w:t>
      </w:r>
      <w:r w:rsidRPr="009A638D">
        <w:t xml:space="preserve">, except </w:t>
      </w:r>
      <w:r>
        <w:sym w:font="Symbol" w:char="F061"/>
      </w:r>
      <w:r>
        <w:t>=0.25.</w:t>
      </w:r>
    </w:p>
    <w:p w14:paraId="382655DF" w14:textId="77777777" w:rsidR="00E34C3A" w:rsidRDefault="00E34C3A" w:rsidP="00E34C3A">
      <w:r w:rsidRPr="00110DC6">
        <w:rPr>
          <w:noProof/>
          <w:lang w:val="en-AU" w:eastAsia="en-AU"/>
        </w:rPr>
        <w:lastRenderedPageBreak/>
        <w:t xml:space="preserve"> </w:t>
      </w:r>
      <w:r>
        <w:rPr>
          <w:noProof/>
        </w:rPr>
        <w:drawing>
          <wp:inline distT="0" distB="0" distL="0" distR="0" wp14:anchorId="13ABF32D" wp14:editId="469CC8A2">
            <wp:extent cx="5943600" cy="491871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92E65" w14:textId="77777777" w:rsidR="00E34C3A" w:rsidRPr="009A638D" w:rsidRDefault="00E34C3A" w:rsidP="00E34C3A"/>
    <w:p w14:paraId="28359F20" w14:textId="0AC4DFA8" w:rsidR="00E34C3A" w:rsidRDefault="00E34C3A" w:rsidP="00E34C3A">
      <w:pPr>
        <w:outlineLvl w:val="0"/>
      </w:pPr>
      <w:r w:rsidRPr="005D01E9">
        <w:t xml:space="preserve">Figure </w:t>
      </w:r>
      <w:r>
        <w:t>S4</w:t>
      </w:r>
      <w:r w:rsidR="00937CDC">
        <w:t>. As for Figure 3</w:t>
      </w:r>
      <w:r w:rsidRPr="005D01E9">
        <w:t xml:space="preserve">, except </w:t>
      </w:r>
      <w:r>
        <w:sym w:font="Symbol" w:char="F061"/>
      </w:r>
      <w:r>
        <w:t>=0.75.</w:t>
      </w:r>
    </w:p>
    <w:p w14:paraId="2C265E93" w14:textId="77777777" w:rsidR="00E34C3A" w:rsidRDefault="00E34C3A" w:rsidP="00E34C3A"/>
    <w:p w14:paraId="5706FFF9" w14:textId="77777777" w:rsidR="00E34C3A" w:rsidRDefault="00E34C3A" w:rsidP="00E34C3A">
      <w:r>
        <w:br w:type="page"/>
      </w:r>
    </w:p>
    <w:p w14:paraId="4296D3BD" w14:textId="77777777" w:rsidR="00E34C3A" w:rsidRDefault="00E34C3A" w:rsidP="00E34C3A">
      <w:pPr>
        <w:spacing w:before="240"/>
        <w:jc w:val="both"/>
      </w:pPr>
      <w:r w:rsidRPr="002329B1">
        <w:rPr>
          <w:noProof/>
          <w:lang w:val="en-AU" w:eastAsia="en-AU"/>
        </w:rPr>
        <w:lastRenderedPageBreak/>
        <w:t xml:space="preserve"> </w:t>
      </w:r>
      <w:r>
        <w:rPr>
          <w:noProof/>
        </w:rPr>
        <w:drawing>
          <wp:inline distT="0" distB="0" distL="0" distR="0" wp14:anchorId="07C9CD0A" wp14:editId="63CBB878">
            <wp:extent cx="5943600" cy="49187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5E329" w14:textId="44926CD2" w:rsidR="00E34C3A" w:rsidRPr="00824A9A" w:rsidRDefault="00E34C3A" w:rsidP="00E34C3A">
      <w:pPr>
        <w:spacing w:before="240" w:line="480" w:lineRule="auto"/>
        <w:jc w:val="both"/>
      </w:pPr>
      <w:r>
        <w:t xml:space="preserve"> Figure S5</w:t>
      </w:r>
      <w:r w:rsidRPr="00824A9A">
        <w:t xml:space="preserve">. </w:t>
      </w:r>
      <w:r w:rsidR="00937CDC">
        <w:t>As for Figure 3</w:t>
      </w:r>
      <w:r>
        <w:t xml:space="preserve">, except </w:t>
      </w:r>
      <w:proofErr w:type="spellStart"/>
      <w:r>
        <w:t>Beverton</w:t>
      </w:r>
      <w:proofErr w:type="spellEnd"/>
      <w:r>
        <w:t>-Holt stock-recruitment relationship c</w:t>
      </w:r>
      <w:r w:rsidRPr="00824A9A">
        <w:t xml:space="preserve">omparison of highest local </w:t>
      </w:r>
      <w:r>
        <w:t xml:space="preserve">biomass (left panels), </w:t>
      </w:r>
      <w:r w:rsidRPr="00824A9A">
        <w:t>effective number of occupied spatial sites</w:t>
      </w:r>
      <w:r>
        <w:t xml:space="preserve"> (center panels), and catch (right panels), as a function of fishing mortality (upper panels), and relative total biomass (lower panels). The solid lines are distribution medians, the dark shading cover the central 50% of the distribution, and light shading covers the central 90% of the distributions. Results are shown for GWOF in red and DIFF in blue, and are based on 500 sets of </w:t>
      </w:r>
      <w:r w:rsidRPr="00981EEC">
        <w:rPr>
          <w:i/>
        </w:rPr>
        <w:t>H</w:t>
      </w:r>
      <w:r w:rsidRPr="00981EEC">
        <w:rPr>
          <w:i/>
          <w:vertAlign w:val="subscript"/>
        </w:rPr>
        <w:t>i</w:t>
      </w:r>
      <w:r>
        <w:t xml:space="preserve"> values (and five initial distributions of abundance for GWOF)</w:t>
      </w:r>
      <w:r w:rsidRPr="00824A9A">
        <w:t>.</w:t>
      </w:r>
      <w:r>
        <w:t xml:space="preserve"> </w:t>
      </w:r>
    </w:p>
    <w:p w14:paraId="27286C25" w14:textId="77777777" w:rsidR="00E34C3A" w:rsidRDefault="00E34C3A" w:rsidP="00E34C3A">
      <w:pPr>
        <w:rPr>
          <w:color w:val="1F497D"/>
        </w:rPr>
      </w:pPr>
      <w:r>
        <w:rPr>
          <w:noProof/>
        </w:rPr>
        <w:lastRenderedPageBreak/>
        <w:drawing>
          <wp:inline distT="0" distB="0" distL="0" distR="0" wp14:anchorId="1970CA82" wp14:editId="17159AD2">
            <wp:extent cx="5943600" cy="491871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98F85" w14:textId="77777777" w:rsidR="00E34C3A" w:rsidRDefault="00E34C3A" w:rsidP="00E34C3A">
      <w:pPr>
        <w:rPr>
          <w:color w:val="1F497D"/>
        </w:rPr>
      </w:pPr>
    </w:p>
    <w:p w14:paraId="5393D77A" w14:textId="61C1D8CE" w:rsidR="00E34C3A" w:rsidRDefault="00E34C3A" w:rsidP="00E34C3A">
      <w:pPr>
        <w:rPr>
          <w:color w:val="000000" w:themeColor="text1"/>
        </w:rPr>
      </w:pPr>
      <w:r w:rsidRPr="00001B04">
        <w:rPr>
          <w:color w:val="000000" w:themeColor="text1"/>
        </w:rPr>
        <w:t xml:space="preserve">Figure </w:t>
      </w:r>
      <w:r>
        <w:rPr>
          <w:color w:val="000000" w:themeColor="text1"/>
        </w:rPr>
        <w:t>S6</w:t>
      </w:r>
      <w:r w:rsidRPr="00001B04">
        <w:rPr>
          <w:color w:val="000000" w:themeColor="text1"/>
        </w:rPr>
        <w:t xml:space="preserve">. Same as Figure </w:t>
      </w:r>
      <w:r w:rsidR="004C5C8B">
        <w:rPr>
          <w:color w:val="000000" w:themeColor="text1"/>
        </w:rPr>
        <w:t>3</w:t>
      </w:r>
      <w:r w:rsidRPr="00001B04">
        <w:rPr>
          <w:color w:val="000000" w:themeColor="text1"/>
        </w:rPr>
        <w:t>, with 2-dimensional diffusion.</w:t>
      </w:r>
    </w:p>
    <w:p w14:paraId="69BE4E51" w14:textId="77777777" w:rsidR="00E34C3A" w:rsidRDefault="00E34C3A" w:rsidP="00E34C3A">
      <w:pPr>
        <w:rPr>
          <w:color w:val="000000" w:themeColor="text1"/>
        </w:rPr>
      </w:pPr>
    </w:p>
    <w:p w14:paraId="44CF61F3" w14:textId="77777777" w:rsidR="00E34C3A" w:rsidRDefault="00E34C3A" w:rsidP="00E34C3A">
      <w:r w:rsidRPr="002329B1">
        <w:rPr>
          <w:noProof/>
          <w:lang w:val="en-AU" w:eastAsia="en-AU"/>
        </w:rPr>
        <w:lastRenderedPageBreak/>
        <w:t xml:space="preserve"> </w:t>
      </w:r>
      <w:r>
        <w:rPr>
          <w:noProof/>
        </w:rPr>
        <w:drawing>
          <wp:inline distT="0" distB="0" distL="0" distR="0" wp14:anchorId="32E1299B" wp14:editId="0305E572">
            <wp:extent cx="5943600" cy="49187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D9006" w14:textId="7E7BBD93" w:rsidR="00E34C3A" w:rsidRPr="004E467B" w:rsidRDefault="00E34C3A" w:rsidP="00E34C3A">
      <w:pPr>
        <w:jc w:val="both"/>
      </w:pPr>
      <w:r w:rsidRPr="00001B04">
        <w:rPr>
          <w:color w:val="000000" w:themeColor="text1"/>
        </w:rPr>
        <w:t xml:space="preserve">Figure </w:t>
      </w:r>
      <w:r>
        <w:rPr>
          <w:color w:val="000000" w:themeColor="text1"/>
        </w:rPr>
        <w:t>S7</w:t>
      </w:r>
      <w:r w:rsidRPr="00001B04">
        <w:rPr>
          <w:color w:val="000000" w:themeColor="text1"/>
        </w:rPr>
        <w:t xml:space="preserve">. Same as Figure </w:t>
      </w:r>
      <w:r w:rsidR="004C5C8B">
        <w:rPr>
          <w:color w:val="000000" w:themeColor="text1"/>
        </w:rPr>
        <w:t>3</w:t>
      </w:r>
      <w:r w:rsidRPr="00001B04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except that recruits can move to the nearest 7 (rather than 5) sites. </w:t>
      </w:r>
    </w:p>
    <w:p w14:paraId="4EBB33D5" w14:textId="77777777" w:rsidR="00E34C3A" w:rsidRDefault="00E34C3A" w:rsidP="00E34C3A">
      <w:pPr>
        <w:rPr>
          <w:color w:val="000000" w:themeColor="text1"/>
        </w:rPr>
      </w:pPr>
    </w:p>
    <w:p w14:paraId="7EC063AB" w14:textId="77777777" w:rsidR="00E34C3A" w:rsidRDefault="00E34C3A" w:rsidP="00E34C3A">
      <w:r w:rsidRPr="002329B1">
        <w:rPr>
          <w:noProof/>
          <w:lang w:val="en-AU" w:eastAsia="en-AU"/>
        </w:rPr>
        <w:lastRenderedPageBreak/>
        <w:t xml:space="preserve"> </w:t>
      </w:r>
      <w:r>
        <w:rPr>
          <w:noProof/>
        </w:rPr>
        <w:drawing>
          <wp:inline distT="0" distB="0" distL="0" distR="0" wp14:anchorId="143FFA7E" wp14:editId="75797077">
            <wp:extent cx="5943600" cy="491871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898A" w14:textId="561C618A" w:rsidR="00E34C3A" w:rsidRPr="001964BF" w:rsidRDefault="00E34C3A" w:rsidP="00E34C3A">
      <w:pPr>
        <w:spacing w:line="480" w:lineRule="auto"/>
      </w:pPr>
      <w:r w:rsidRPr="001964BF">
        <w:rPr>
          <w:color w:val="000000" w:themeColor="text1"/>
        </w:rPr>
        <w:t>Figure S</w:t>
      </w:r>
      <w:r>
        <w:rPr>
          <w:color w:val="000000" w:themeColor="text1"/>
        </w:rPr>
        <w:t>8</w:t>
      </w:r>
      <w:r w:rsidR="004C5C8B">
        <w:rPr>
          <w:color w:val="000000" w:themeColor="text1"/>
        </w:rPr>
        <w:t>. Same as Figure 3</w:t>
      </w:r>
      <w:r w:rsidR="000A76DB">
        <w:rPr>
          <w:color w:val="000000" w:themeColor="text1"/>
        </w:rPr>
        <w:t xml:space="preserve">, </w:t>
      </w:r>
      <w:r w:rsidRPr="001964BF">
        <w:rPr>
          <w:color w:val="000000" w:themeColor="text1"/>
        </w:rPr>
        <w:t>except that adults move to the nearest 5 (rather than 3</w:t>
      </w:r>
      <w:r>
        <w:rPr>
          <w:color w:val="000000" w:themeColor="text1"/>
        </w:rPr>
        <w:t>)</w:t>
      </w:r>
      <w:r w:rsidRPr="001964BF">
        <w:rPr>
          <w:color w:val="000000" w:themeColor="text1"/>
        </w:rPr>
        <w:t xml:space="preserve"> </w:t>
      </w:r>
      <w:r>
        <w:rPr>
          <w:color w:val="000000" w:themeColor="text1"/>
        </w:rPr>
        <w:t>sites with relative probabilitie</w:t>
      </w:r>
      <w:r w:rsidRPr="001964BF">
        <w:rPr>
          <w:color w:val="000000" w:themeColor="text1"/>
        </w:rPr>
        <w:t>s of 0.025, 0.075, 0.8, 0.075, and 0.025</w:t>
      </w:r>
      <w:r w:rsidRPr="001964BF">
        <w:t>, where the 0.8 relates to the current site.</w:t>
      </w:r>
    </w:p>
    <w:p w14:paraId="65EACCCD" w14:textId="15672F9D" w:rsidR="004A1BCB" w:rsidRPr="000A76DB" w:rsidRDefault="004A1BCB">
      <w:pPr>
        <w:rPr>
          <w:color w:val="000000" w:themeColor="text1"/>
        </w:rPr>
      </w:pPr>
    </w:p>
    <w:p w14:paraId="329A5AD9" w14:textId="10D1905B" w:rsidR="000A76DB" w:rsidRDefault="00EA6198">
      <w:r>
        <w:rPr>
          <w:noProof/>
        </w:rPr>
        <w:lastRenderedPageBreak/>
        <w:drawing>
          <wp:inline distT="0" distB="0" distL="0" distR="0" wp14:anchorId="674223EE" wp14:editId="6897562B">
            <wp:extent cx="5943600" cy="594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S9_Nash_ed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7DB41" w14:textId="77777777" w:rsidR="000A76DB" w:rsidRDefault="000A76DB" w:rsidP="000A76DB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0CE7C045" w14:textId="152C3CF0" w:rsidR="000A76DB" w:rsidRPr="000A76DB" w:rsidRDefault="000A76DB" w:rsidP="004C5C8B">
      <w:pPr>
        <w:spacing w:line="480" w:lineRule="auto"/>
        <w:jc w:val="both"/>
        <w:rPr>
          <w:rFonts w:eastAsia="Times New Roman"/>
        </w:rPr>
      </w:pPr>
      <w:r w:rsidRPr="000A76DB">
        <w:rPr>
          <w:rFonts w:eastAsia="Times New Roman"/>
          <w:color w:val="222222"/>
          <w:shd w:val="clear" w:color="auto" w:fill="FFFFFF"/>
        </w:rPr>
        <w:t>Figure S9. Proportion of animals from the GWOF component versus from the DIFF component from each of the 50 locations for simulations i</w:t>
      </w:r>
      <w:r>
        <w:rPr>
          <w:rFonts w:eastAsia="Times New Roman"/>
          <w:color w:val="222222"/>
          <w:shd w:val="clear" w:color="auto" w:fill="FFFFFF"/>
        </w:rPr>
        <w:t xml:space="preserve">n which the </w:t>
      </w:r>
      <w:r w:rsidRPr="000A76DB">
        <w:rPr>
          <w:rFonts w:eastAsia="Times New Roman"/>
          <w:color w:val="222222"/>
          <w:shd w:val="clear" w:color="auto" w:fill="FFFFFF"/>
        </w:rPr>
        <w:t>proportion of GWOF indivi</w:t>
      </w:r>
      <w:r>
        <w:rPr>
          <w:rFonts w:eastAsia="Times New Roman"/>
          <w:color w:val="222222"/>
          <w:shd w:val="clear" w:color="auto" w:fill="FFFFFF"/>
        </w:rPr>
        <w:t>duals in the total population is</w:t>
      </w:r>
      <w:r w:rsidRPr="000A76DB">
        <w:rPr>
          <w:rFonts w:eastAsia="Times New Roman"/>
          <w:color w:val="222222"/>
          <w:shd w:val="clear" w:color="auto" w:fill="FFFFFF"/>
        </w:rPr>
        <w:t xml:space="preserve"> </w:t>
      </w:r>
      <w:r w:rsidR="00FD0097">
        <w:rPr>
          <w:rFonts w:eastAsia="Times New Roman"/>
          <w:color w:val="222222"/>
          <w:shd w:val="clear" w:color="auto" w:fill="FFFFFF"/>
        </w:rPr>
        <w:t xml:space="preserve">initially </w:t>
      </w:r>
      <w:r w:rsidRPr="000A76DB">
        <w:rPr>
          <w:rFonts w:eastAsia="Times New Roman"/>
          <w:color w:val="222222"/>
          <w:shd w:val="clear" w:color="auto" w:fill="FFFFFF"/>
        </w:rPr>
        <w:t xml:space="preserve">half (upper left panel), </w:t>
      </w:r>
      <w:r w:rsidR="00FD0097">
        <w:rPr>
          <w:rFonts w:eastAsia="Times New Roman"/>
          <w:color w:val="222222"/>
          <w:shd w:val="clear" w:color="auto" w:fill="FFFFFF"/>
        </w:rPr>
        <w:t>0.1</w:t>
      </w:r>
      <w:r w:rsidRPr="000A76DB">
        <w:rPr>
          <w:rFonts w:eastAsia="Times New Roman"/>
          <w:color w:val="222222"/>
          <w:shd w:val="clear" w:color="auto" w:fill="FFFFFF"/>
        </w:rPr>
        <w:t xml:space="preserve">% (upper right panel) and </w:t>
      </w:r>
      <w:r w:rsidR="00FD0097">
        <w:rPr>
          <w:rFonts w:eastAsia="Times New Roman"/>
          <w:color w:val="222222"/>
          <w:shd w:val="clear" w:color="auto" w:fill="FFFFFF"/>
        </w:rPr>
        <w:t>99</w:t>
      </w:r>
      <w:r w:rsidRPr="000A76DB">
        <w:rPr>
          <w:rFonts w:eastAsia="Times New Roman"/>
          <w:color w:val="222222"/>
          <w:shd w:val="clear" w:color="auto" w:fill="FFFFFF"/>
        </w:rPr>
        <w:t>.</w:t>
      </w:r>
      <w:r w:rsidR="00FD0097">
        <w:rPr>
          <w:rFonts w:eastAsia="Times New Roman"/>
          <w:color w:val="222222"/>
          <w:shd w:val="clear" w:color="auto" w:fill="FFFFFF"/>
        </w:rPr>
        <w:t>9</w:t>
      </w:r>
      <w:r w:rsidRPr="000A76DB">
        <w:rPr>
          <w:rFonts w:eastAsia="Times New Roman"/>
          <w:color w:val="222222"/>
          <w:shd w:val="clear" w:color="auto" w:fill="FFFFFF"/>
        </w:rPr>
        <w:t>% (lower left panel). The only mortality is that due to natural mortality</w:t>
      </w:r>
      <w:r w:rsidR="00D2757F">
        <w:rPr>
          <w:rFonts w:eastAsia="Times New Roman"/>
          <w:color w:val="222222"/>
          <w:shd w:val="clear" w:color="auto" w:fill="FFFFFF"/>
        </w:rPr>
        <w:t>.</w:t>
      </w:r>
    </w:p>
    <w:p w14:paraId="2D61563C" w14:textId="71442F7E" w:rsidR="00F661BF" w:rsidRDefault="002D5C06">
      <w:bookmarkStart w:id="0" w:name="_GoBack"/>
      <w:r>
        <w:rPr>
          <w:noProof/>
        </w:rPr>
        <w:lastRenderedPageBreak/>
        <w:drawing>
          <wp:inline distT="0" distB="0" distL="0" distR="0" wp14:anchorId="5FDEEDC8" wp14:editId="769E91F5">
            <wp:extent cx="4737735" cy="6218277"/>
            <wp:effectExtent l="0" t="0" r="1206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WOFDIFF_Combin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689" cy="622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66FA6F" w14:textId="7C744CA3" w:rsidR="00777E9E" w:rsidRPr="00145CCA" w:rsidRDefault="00777E9E" w:rsidP="004C5C8B">
      <w:pPr>
        <w:spacing w:line="480" w:lineRule="auto"/>
        <w:jc w:val="both"/>
        <w:rPr>
          <w:rFonts w:eastAsia="Times New Roman"/>
          <w:sz w:val="40"/>
        </w:rPr>
      </w:pPr>
      <w:r w:rsidRPr="00D9739D">
        <w:rPr>
          <w:rFonts w:eastAsia="Times New Roman"/>
          <w:color w:val="222222"/>
          <w:szCs w:val="19"/>
          <w:shd w:val="clear" w:color="auto" w:fill="FFFFFF"/>
        </w:rPr>
        <w:t>Figure S10. Comparison of equilibrium catch (left panels) and biomass (right panels), as a function</w:t>
      </w:r>
      <w:r w:rsidR="00D9739D">
        <w:rPr>
          <w:rFonts w:eastAsia="Times New Roman"/>
          <w:color w:val="222222"/>
          <w:szCs w:val="19"/>
        </w:rPr>
        <w:t xml:space="preserve"> </w:t>
      </w:r>
      <w:r w:rsidRPr="00D9739D">
        <w:rPr>
          <w:rFonts w:eastAsia="Times New Roman"/>
          <w:color w:val="222222"/>
          <w:szCs w:val="19"/>
          <w:shd w:val="clear" w:color="auto" w:fill="FFFFFF"/>
        </w:rPr>
        <w:t>of fishing mortality, with diff</w:t>
      </w:r>
      <w:r w:rsidR="00145CCA">
        <w:rPr>
          <w:rFonts w:eastAsia="Times New Roman"/>
          <w:color w:val="222222"/>
          <w:szCs w:val="19"/>
          <w:shd w:val="clear" w:color="auto" w:fill="FFFFFF"/>
        </w:rPr>
        <w:t>erent starting densities of GWOF and DIFF strategies (same starting densities:</w:t>
      </w:r>
      <w:r w:rsidRPr="00D9739D">
        <w:rPr>
          <w:rFonts w:eastAsia="Times New Roman"/>
          <w:color w:val="222222"/>
          <w:szCs w:val="19"/>
          <w:shd w:val="clear" w:color="auto" w:fill="FFFFFF"/>
        </w:rPr>
        <w:t xml:space="preserve"> a &amp; b; GWOF dominant</w:t>
      </w:r>
      <w:r w:rsidR="00145CCA">
        <w:rPr>
          <w:rFonts w:eastAsia="Times New Roman"/>
          <w:color w:val="222222"/>
          <w:szCs w:val="19"/>
          <w:shd w:val="clear" w:color="auto" w:fill="FFFFFF"/>
        </w:rPr>
        <w:t>:</w:t>
      </w:r>
      <w:r w:rsidRPr="00D9739D">
        <w:rPr>
          <w:rFonts w:eastAsia="Times New Roman"/>
          <w:color w:val="222222"/>
          <w:szCs w:val="19"/>
          <w:shd w:val="clear" w:color="auto" w:fill="FFFFFF"/>
        </w:rPr>
        <w:t xml:space="preserve"> c &amp; d; DIFF dominant</w:t>
      </w:r>
      <w:r w:rsidR="00145CCA">
        <w:rPr>
          <w:rFonts w:eastAsia="Times New Roman"/>
          <w:color w:val="222222"/>
          <w:szCs w:val="19"/>
          <w:shd w:val="clear" w:color="auto" w:fill="FFFFFF"/>
        </w:rPr>
        <w:t>:</w:t>
      </w:r>
      <w:r w:rsidRPr="00D9739D">
        <w:rPr>
          <w:rFonts w:eastAsia="Times New Roman"/>
          <w:color w:val="222222"/>
          <w:szCs w:val="19"/>
          <w:shd w:val="clear" w:color="auto" w:fill="FFFFFF"/>
        </w:rPr>
        <w:t xml:space="preserve"> e &amp; f). The solid lines are medians from 500 replicate simulations, the dark shading cover the central 50% of the distribution, and light shading covers the central 90% of the distributions. Results are shown for GWOF in red, DIFF in blue, and the combined strategies in green</w:t>
      </w:r>
      <w:r w:rsidR="00145CCA">
        <w:rPr>
          <w:rFonts w:eastAsia="Times New Roman"/>
          <w:color w:val="222222"/>
          <w:szCs w:val="19"/>
          <w:shd w:val="clear" w:color="auto" w:fill="FFFFFF"/>
        </w:rPr>
        <w:t>.</w:t>
      </w:r>
    </w:p>
    <w:sectPr w:rsidR="00777E9E" w:rsidRPr="00145CCA" w:rsidSect="00836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TIXGeneral-Regular">
    <w:charset w:val="00"/>
    <w:family w:val="auto"/>
    <w:pitch w:val="variable"/>
    <w:sig w:usb0="A00002FF" w:usb1="4203FDFF" w:usb2="02000020" w:usb3="00000000" w:csb0="8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3A"/>
    <w:rsid w:val="000071BA"/>
    <w:rsid w:val="00025135"/>
    <w:rsid w:val="00071D81"/>
    <w:rsid w:val="00072F29"/>
    <w:rsid w:val="000A76DB"/>
    <w:rsid w:val="000C3E93"/>
    <w:rsid w:val="000F2219"/>
    <w:rsid w:val="001028EE"/>
    <w:rsid w:val="001158A0"/>
    <w:rsid w:val="00126F02"/>
    <w:rsid w:val="00145CCA"/>
    <w:rsid w:val="00156632"/>
    <w:rsid w:val="00157C05"/>
    <w:rsid w:val="001741AF"/>
    <w:rsid w:val="00182558"/>
    <w:rsid w:val="001B459D"/>
    <w:rsid w:val="001E4ED5"/>
    <w:rsid w:val="001F0EF7"/>
    <w:rsid w:val="0021073D"/>
    <w:rsid w:val="00223A39"/>
    <w:rsid w:val="00246DF4"/>
    <w:rsid w:val="002708AE"/>
    <w:rsid w:val="00275F0E"/>
    <w:rsid w:val="002A7864"/>
    <w:rsid w:val="002D03B4"/>
    <w:rsid w:val="002D5C06"/>
    <w:rsid w:val="002E4D7D"/>
    <w:rsid w:val="00345CD2"/>
    <w:rsid w:val="003745AB"/>
    <w:rsid w:val="00384BF3"/>
    <w:rsid w:val="00386DCC"/>
    <w:rsid w:val="003947B1"/>
    <w:rsid w:val="003979D9"/>
    <w:rsid w:val="003C48B5"/>
    <w:rsid w:val="003C7092"/>
    <w:rsid w:val="003D1194"/>
    <w:rsid w:val="003F3F99"/>
    <w:rsid w:val="0040090C"/>
    <w:rsid w:val="004011D1"/>
    <w:rsid w:val="00435C02"/>
    <w:rsid w:val="00482F6F"/>
    <w:rsid w:val="004A1BCB"/>
    <w:rsid w:val="004B70EB"/>
    <w:rsid w:val="004C395E"/>
    <w:rsid w:val="004C5C8B"/>
    <w:rsid w:val="004C7175"/>
    <w:rsid w:val="004E5C97"/>
    <w:rsid w:val="0051390D"/>
    <w:rsid w:val="005140AC"/>
    <w:rsid w:val="00516284"/>
    <w:rsid w:val="0052047E"/>
    <w:rsid w:val="005644F1"/>
    <w:rsid w:val="005811A9"/>
    <w:rsid w:val="00597C91"/>
    <w:rsid w:val="005D0444"/>
    <w:rsid w:val="005D19DA"/>
    <w:rsid w:val="005D2AC4"/>
    <w:rsid w:val="005F1B23"/>
    <w:rsid w:val="00631DF6"/>
    <w:rsid w:val="00647206"/>
    <w:rsid w:val="0068352A"/>
    <w:rsid w:val="006C14A0"/>
    <w:rsid w:val="006C5BE5"/>
    <w:rsid w:val="006D1EEC"/>
    <w:rsid w:val="006D64F6"/>
    <w:rsid w:val="00702F32"/>
    <w:rsid w:val="007076B1"/>
    <w:rsid w:val="0072251B"/>
    <w:rsid w:val="00732734"/>
    <w:rsid w:val="007443F0"/>
    <w:rsid w:val="00746826"/>
    <w:rsid w:val="00752C1D"/>
    <w:rsid w:val="00761D91"/>
    <w:rsid w:val="0076348D"/>
    <w:rsid w:val="00777E9E"/>
    <w:rsid w:val="0078444F"/>
    <w:rsid w:val="00791839"/>
    <w:rsid w:val="007A0108"/>
    <w:rsid w:val="007A70BA"/>
    <w:rsid w:val="00813B16"/>
    <w:rsid w:val="00836703"/>
    <w:rsid w:val="0084218D"/>
    <w:rsid w:val="008D6209"/>
    <w:rsid w:val="008E01FF"/>
    <w:rsid w:val="00917EE6"/>
    <w:rsid w:val="00934B8D"/>
    <w:rsid w:val="00937CDC"/>
    <w:rsid w:val="0095733E"/>
    <w:rsid w:val="00981EEC"/>
    <w:rsid w:val="00986C38"/>
    <w:rsid w:val="00994892"/>
    <w:rsid w:val="009A46EF"/>
    <w:rsid w:val="00A043ED"/>
    <w:rsid w:val="00A13E72"/>
    <w:rsid w:val="00A24398"/>
    <w:rsid w:val="00A249BF"/>
    <w:rsid w:val="00A64877"/>
    <w:rsid w:val="00A94CD1"/>
    <w:rsid w:val="00AA44CE"/>
    <w:rsid w:val="00AC294A"/>
    <w:rsid w:val="00AF2594"/>
    <w:rsid w:val="00B03883"/>
    <w:rsid w:val="00B1282B"/>
    <w:rsid w:val="00B150A5"/>
    <w:rsid w:val="00B42D95"/>
    <w:rsid w:val="00B4659D"/>
    <w:rsid w:val="00B5002F"/>
    <w:rsid w:val="00B567C6"/>
    <w:rsid w:val="00B63A24"/>
    <w:rsid w:val="00BA780A"/>
    <w:rsid w:val="00BC30B0"/>
    <w:rsid w:val="00BF7697"/>
    <w:rsid w:val="00BF7E5D"/>
    <w:rsid w:val="00C063D4"/>
    <w:rsid w:val="00C0755A"/>
    <w:rsid w:val="00C254A8"/>
    <w:rsid w:val="00C412C5"/>
    <w:rsid w:val="00C8149C"/>
    <w:rsid w:val="00C920A9"/>
    <w:rsid w:val="00C92BD1"/>
    <w:rsid w:val="00CC3F00"/>
    <w:rsid w:val="00CD123D"/>
    <w:rsid w:val="00CD6F88"/>
    <w:rsid w:val="00D13ACA"/>
    <w:rsid w:val="00D2757F"/>
    <w:rsid w:val="00D306A0"/>
    <w:rsid w:val="00D325D6"/>
    <w:rsid w:val="00D542D9"/>
    <w:rsid w:val="00D650DA"/>
    <w:rsid w:val="00D70680"/>
    <w:rsid w:val="00D7211D"/>
    <w:rsid w:val="00D9739D"/>
    <w:rsid w:val="00DB09D4"/>
    <w:rsid w:val="00DB57C3"/>
    <w:rsid w:val="00DC33C9"/>
    <w:rsid w:val="00DF24DB"/>
    <w:rsid w:val="00DF4FFE"/>
    <w:rsid w:val="00E15CDF"/>
    <w:rsid w:val="00E16E59"/>
    <w:rsid w:val="00E33E98"/>
    <w:rsid w:val="00E34C3A"/>
    <w:rsid w:val="00E75AAB"/>
    <w:rsid w:val="00E83F06"/>
    <w:rsid w:val="00E87336"/>
    <w:rsid w:val="00EA6198"/>
    <w:rsid w:val="00EA6A04"/>
    <w:rsid w:val="00ED1C4F"/>
    <w:rsid w:val="00EE49DA"/>
    <w:rsid w:val="00F03138"/>
    <w:rsid w:val="00F15801"/>
    <w:rsid w:val="00F20005"/>
    <w:rsid w:val="00F57445"/>
    <w:rsid w:val="00F6209D"/>
    <w:rsid w:val="00F63535"/>
    <w:rsid w:val="00F661BF"/>
    <w:rsid w:val="00FA6B9B"/>
    <w:rsid w:val="00FB06AA"/>
    <w:rsid w:val="00FB4772"/>
    <w:rsid w:val="00FD0097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802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4C3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0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0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0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09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emf"/><Relationship Id="rId13" Type="http://schemas.openxmlformats.org/officeDocument/2006/relationships/image" Target="media/image10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477</Words>
  <Characters>2724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Francis</dc:creator>
  <cp:keywords/>
  <dc:description/>
  <cp:lastModifiedBy>Tessa Francis</cp:lastModifiedBy>
  <cp:revision>5</cp:revision>
  <dcterms:created xsi:type="dcterms:W3CDTF">2018-05-15T21:13:00Z</dcterms:created>
  <dcterms:modified xsi:type="dcterms:W3CDTF">2018-05-16T13:37:00Z</dcterms:modified>
</cp:coreProperties>
</file>