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10458" w14:textId="77777777" w:rsidR="00720016" w:rsidRPr="00720016" w:rsidRDefault="00720016" w:rsidP="00720016">
      <w:pPr>
        <w:jc w:val="center"/>
        <w:rPr>
          <w:rFonts w:ascii="Times" w:hAnsi="Times"/>
        </w:rPr>
      </w:pPr>
      <w:r w:rsidRPr="00720016">
        <w:rPr>
          <w:rFonts w:ascii="Times" w:hAnsi="Times"/>
          <w:noProof/>
        </w:rPr>
        <w:drawing>
          <wp:inline distT="0" distB="0" distL="0" distR="0" wp14:anchorId="414DD5E9" wp14:editId="1E27F37F">
            <wp:extent cx="3810000" cy="211666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gu-publications-vector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292" cy="21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1E4D" w14:textId="69089FE6" w:rsidR="007D42E5" w:rsidRPr="00720016" w:rsidRDefault="00720016" w:rsidP="007D42E5">
      <w:pPr>
        <w:rPr>
          <w:rFonts w:ascii="Times" w:hAnsi="Times"/>
        </w:rPr>
      </w:pPr>
      <w:r w:rsidRPr="00720016">
        <w:rPr>
          <w:rFonts w:ascii="Times" w:hAnsi="Times"/>
        </w:rPr>
        <w:t>Supporting</w:t>
      </w:r>
      <w:r w:rsidR="007D42E5" w:rsidRPr="00720016">
        <w:rPr>
          <w:rFonts w:ascii="Times" w:hAnsi="Times"/>
        </w:rPr>
        <w:t xml:space="preserve"> Information fo</w:t>
      </w:r>
      <w:r w:rsidRPr="00720016">
        <w:rPr>
          <w:rFonts w:ascii="Times" w:hAnsi="Times"/>
        </w:rPr>
        <w:t>r:</w:t>
      </w:r>
    </w:p>
    <w:p w14:paraId="606D48C3" w14:textId="77777777" w:rsidR="007D42E5" w:rsidRPr="00720016" w:rsidRDefault="007D42E5" w:rsidP="007D42E5">
      <w:pPr>
        <w:rPr>
          <w:rFonts w:ascii="Times" w:hAnsi="Times"/>
        </w:rPr>
      </w:pPr>
    </w:p>
    <w:p w14:paraId="1EDF3101" w14:textId="77777777" w:rsidR="007D42E5" w:rsidRPr="00720016" w:rsidRDefault="007D42E5" w:rsidP="007D42E5">
      <w:pPr>
        <w:rPr>
          <w:rFonts w:ascii="Times" w:hAnsi="Times"/>
          <w:b/>
        </w:rPr>
      </w:pPr>
    </w:p>
    <w:p w14:paraId="687DFE33" w14:textId="41666DEE" w:rsidR="00D439EF" w:rsidRDefault="00D439EF" w:rsidP="00D439EF">
      <w:pPr>
        <w:jc w:val="center"/>
        <w:rPr>
          <w:b/>
        </w:rPr>
      </w:pPr>
      <w:r>
        <w:rPr>
          <w:b/>
        </w:rPr>
        <w:t>COVID-19 Induced Fingerprints of a New Normal Urban Air Quality in the United States</w:t>
      </w:r>
    </w:p>
    <w:p w14:paraId="119411EA" w14:textId="77777777" w:rsidR="00D439EF" w:rsidRPr="00802FB9" w:rsidRDefault="00D439EF" w:rsidP="00D439EF">
      <w:pPr>
        <w:jc w:val="center"/>
        <w:rPr>
          <w:b/>
        </w:rPr>
      </w:pPr>
    </w:p>
    <w:p w14:paraId="448DDCCB" w14:textId="53291E85" w:rsidR="00D439EF" w:rsidRPr="00C11FC1" w:rsidRDefault="00D439EF" w:rsidP="00D439EF">
      <w:pPr>
        <w:jc w:val="center"/>
      </w:pPr>
      <w:r>
        <w:t>S. Kondragunta</w:t>
      </w:r>
      <w:r w:rsidR="00891011">
        <w:t>*</w:t>
      </w:r>
      <w:r>
        <w:rPr>
          <w:rStyle w:val="FootnoteReference"/>
        </w:rPr>
        <w:footnoteReference w:id="1"/>
      </w:r>
      <w:r>
        <w:t>, Z. Wei</w:t>
      </w:r>
      <w:r w:rsidRPr="00D26798">
        <w:rPr>
          <w:vertAlign w:val="superscript"/>
        </w:rPr>
        <w:t>2</w:t>
      </w:r>
      <w:r>
        <w:t>, B. C. McDonald</w:t>
      </w:r>
      <w:r w:rsidRPr="00D26798">
        <w:rPr>
          <w:vertAlign w:val="superscript"/>
        </w:rPr>
        <w:t>3</w:t>
      </w:r>
      <w:r w:rsidRPr="00E80684">
        <w:t xml:space="preserve">, </w:t>
      </w:r>
      <w:r>
        <w:t>D. L. Goldberg</w:t>
      </w:r>
      <w:r w:rsidRPr="00AB4E18">
        <w:rPr>
          <w:vertAlign w:val="superscript"/>
        </w:rPr>
        <w:t>4</w:t>
      </w:r>
      <w:r>
        <w:t>, D. Q. Tong</w:t>
      </w:r>
      <w:r w:rsidRPr="00C11FC1">
        <w:rPr>
          <w:vertAlign w:val="superscript"/>
        </w:rPr>
        <w:t>5</w:t>
      </w:r>
    </w:p>
    <w:p w14:paraId="115C31AA" w14:textId="77777777" w:rsidR="00D439EF" w:rsidRDefault="00D439EF" w:rsidP="00D439EF">
      <w:pPr>
        <w:jc w:val="center"/>
        <w:rPr>
          <w:vertAlign w:val="superscript"/>
        </w:rPr>
      </w:pPr>
      <w:r>
        <w:rPr>
          <w:vertAlign w:val="superscript"/>
        </w:rPr>
        <w:t>1</w:t>
      </w:r>
      <w:r w:rsidRPr="00742E19">
        <w:t>NOAA NESDIS Center for Satellite Applications and Research, 5825 University Research Court, College Park, MD</w:t>
      </w:r>
    </w:p>
    <w:p w14:paraId="18E9F90A" w14:textId="77777777" w:rsidR="00D439EF" w:rsidRDefault="00D439EF" w:rsidP="00D439EF">
      <w:pPr>
        <w:jc w:val="center"/>
        <w:rPr>
          <w:vertAlign w:val="superscript"/>
        </w:rPr>
      </w:pPr>
      <w:r>
        <w:rPr>
          <w:vertAlign w:val="superscript"/>
        </w:rPr>
        <w:t>2</w:t>
      </w:r>
      <w:r w:rsidRPr="00742E19">
        <w:t>IM Systems Group, 5825 University Research Court, College Park, MD</w:t>
      </w:r>
    </w:p>
    <w:p w14:paraId="6303A389" w14:textId="77777777" w:rsidR="00D439EF" w:rsidRDefault="00D439EF" w:rsidP="00D439EF">
      <w:pPr>
        <w:jc w:val="center"/>
      </w:pPr>
      <w:r>
        <w:rPr>
          <w:vertAlign w:val="superscript"/>
        </w:rPr>
        <w:t>3</w:t>
      </w:r>
      <w:r w:rsidRPr="00742E19">
        <w:t xml:space="preserve">NOAA </w:t>
      </w:r>
      <w:r>
        <w:t>Chemical Systems Laboratory, Boulder</w:t>
      </w:r>
      <w:r w:rsidRPr="00742E19">
        <w:t xml:space="preserve">, CO </w:t>
      </w:r>
    </w:p>
    <w:p w14:paraId="1DA5B3BC" w14:textId="77777777" w:rsidR="00D439EF" w:rsidRDefault="00D439EF" w:rsidP="00D439EF">
      <w:pPr>
        <w:jc w:val="center"/>
      </w:pPr>
      <w:r w:rsidRPr="008A1D59">
        <w:rPr>
          <w:vertAlign w:val="superscript"/>
        </w:rPr>
        <w:t>4</w:t>
      </w:r>
      <w:r>
        <w:t xml:space="preserve">Milken School of Public Health, </w:t>
      </w:r>
      <w:r w:rsidRPr="008A1D59">
        <w:t>George</w:t>
      </w:r>
      <w:r>
        <w:t xml:space="preserve"> Washington University, Washington, DC</w:t>
      </w:r>
    </w:p>
    <w:p w14:paraId="78ECFB86" w14:textId="77777777" w:rsidR="00D439EF" w:rsidRPr="00742E19" w:rsidRDefault="00D439EF" w:rsidP="00D439EF">
      <w:pPr>
        <w:jc w:val="center"/>
        <w:rPr>
          <w:b/>
        </w:rPr>
      </w:pPr>
      <w:r w:rsidRPr="00C11FC1">
        <w:rPr>
          <w:vertAlign w:val="superscript"/>
        </w:rPr>
        <w:t>5</w:t>
      </w:r>
      <w:r w:rsidRPr="00156265">
        <w:t xml:space="preserve">Department </w:t>
      </w:r>
      <w:r>
        <w:t>of Atmospheric, Oceanic, and Earth Sciences, George Mason University, Fairfax, VA</w:t>
      </w:r>
    </w:p>
    <w:p w14:paraId="7DE00DA9" w14:textId="1173D0D6" w:rsidR="007D42E5" w:rsidRPr="00720016" w:rsidRDefault="007D42E5" w:rsidP="007D42E5">
      <w:pPr>
        <w:spacing w:before="360"/>
        <w:contextualSpacing/>
        <w:rPr>
          <w:rFonts w:ascii="Times" w:hAnsi="Times"/>
        </w:rPr>
      </w:pPr>
      <w:r w:rsidRPr="00720016">
        <w:rPr>
          <w:rFonts w:ascii="Times" w:hAnsi="Times"/>
        </w:rPr>
        <w:t xml:space="preserve"> </w:t>
      </w:r>
    </w:p>
    <w:p w14:paraId="1D456ED8" w14:textId="77777777" w:rsidR="007D42E5" w:rsidRPr="00720016" w:rsidRDefault="007D42E5" w:rsidP="007D42E5">
      <w:pPr>
        <w:rPr>
          <w:rFonts w:ascii="Times" w:hAnsi="Times"/>
        </w:rPr>
      </w:pPr>
    </w:p>
    <w:p w14:paraId="0BBA1B81" w14:textId="77777777" w:rsidR="007D42E5" w:rsidRPr="00720016" w:rsidRDefault="007D42E5" w:rsidP="007D42E5">
      <w:pPr>
        <w:rPr>
          <w:rFonts w:ascii="Times" w:hAnsi="Times"/>
          <w:b/>
        </w:rPr>
      </w:pPr>
    </w:p>
    <w:p w14:paraId="7DBDDED4" w14:textId="77777777" w:rsidR="007D42E5" w:rsidRPr="00720016" w:rsidRDefault="007D42E5" w:rsidP="007D42E5">
      <w:pPr>
        <w:rPr>
          <w:rFonts w:ascii="Times" w:hAnsi="Times"/>
          <w:b/>
        </w:rPr>
      </w:pPr>
      <w:r w:rsidRPr="00720016">
        <w:rPr>
          <w:rFonts w:ascii="Times" w:hAnsi="Times"/>
          <w:b/>
        </w:rPr>
        <w:t>This PDF file includes:</w:t>
      </w:r>
    </w:p>
    <w:p w14:paraId="781A6957" w14:textId="77777777" w:rsidR="007D42E5" w:rsidRPr="00720016" w:rsidRDefault="007D42E5" w:rsidP="007D42E5">
      <w:pPr>
        <w:rPr>
          <w:rFonts w:ascii="Times" w:hAnsi="Times"/>
        </w:rPr>
      </w:pPr>
    </w:p>
    <w:p w14:paraId="75A87C64" w14:textId="7D28E149" w:rsidR="007D42E5" w:rsidRPr="00720016" w:rsidRDefault="007D42E5" w:rsidP="00D439EF">
      <w:pPr>
        <w:rPr>
          <w:rFonts w:ascii="Times" w:hAnsi="Times"/>
        </w:rPr>
      </w:pPr>
      <w:r w:rsidRPr="00720016">
        <w:rPr>
          <w:rFonts w:ascii="Times" w:hAnsi="Times"/>
        </w:rPr>
        <w:t>Figures S1 to S</w:t>
      </w:r>
      <w:r w:rsidR="00891011">
        <w:rPr>
          <w:rFonts w:ascii="Times" w:hAnsi="Times"/>
        </w:rPr>
        <w:t>4</w:t>
      </w:r>
    </w:p>
    <w:p w14:paraId="7719D17A" w14:textId="3156BF66" w:rsidR="007D42E5" w:rsidRPr="00110A2B" w:rsidRDefault="007D42E5" w:rsidP="007D42E5">
      <w:pPr>
        <w:rPr>
          <w:b/>
        </w:rPr>
      </w:pPr>
    </w:p>
    <w:p w14:paraId="67F98BE3" w14:textId="6B786984" w:rsidR="007D42E5" w:rsidRPr="00110A2B" w:rsidRDefault="007D42E5" w:rsidP="007D42E5"/>
    <w:p w14:paraId="0574D5EE" w14:textId="6E3FD15E" w:rsidR="007D42E5" w:rsidRPr="00110A2B" w:rsidRDefault="007D42E5" w:rsidP="007D42E5"/>
    <w:p w14:paraId="214FEF0C" w14:textId="1292686B" w:rsidR="007D42E5" w:rsidRPr="00110A2B" w:rsidRDefault="007D42E5" w:rsidP="007D42E5"/>
    <w:p w14:paraId="15BC882C" w14:textId="77777777" w:rsidR="007D42E5" w:rsidRPr="00110A2B" w:rsidRDefault="007D42E5" w:rsidP="007D42E5"/>
    <w:p w14:paraId="39F7022D" w14:textId="77777777" w:rsidR="00D439EF" w:rsidRDefault="00D439EF" w:rsidP="00D439EF">
      <w:pPr>
        <w:ind w:left="720"/>
      </w:pPr>
    </w:p>
    <w:p w14:paraId="361E9944" w14:textId="77777777" w:rsidR="00D439EF" w:rsidRDefault="00D439EF" w:rsidP="00D439EF">
      <w:pPr>
        <w:ind w:left="720"/>
      </w:pPr>
    </w:p>
    <w:p w14:paraId="1A75E37B" w14:textId="77777777" w:rsidR="00D439EF" w:rsidRDefault="00D439EF" w:rsidP="00D439EF">
      <w:pPr>
        <w:ind w:left="720"/>
      </w:pPr>
    </w:p>
    <w:p w14:paraId="4215BA3D" w14:textId="77777777" w:rsidR="00D439EF" w:rsidRDefault="00D439EF" w:rsidP="00D439EF">
      <w:pPr>
        <w:ind w:left="720"/>
      </w:pPr>
    </w:p>
    <w:p w14:paraId="66C93C92" w14:textId="77777777" w:rsidR="00D439EF" w:rsidRDefault="00D439EF" w:rsidP="00D439EF">
      <w:pPr>
        <w:ind w:left="720"/>
      </w:pPr>
    </w:p>
    <w:p w14:paraId="299CE16D" w14:textId="77777777" w:rsidR="00D439EF" w:rsidRDefault="00D439EF" w:rsidP="00D439EF">
      <w:pPr>
        <w:ind w:left="720"/>
      </w:pPr>
    </w:p>
    <w:p w14:paraId="2568E878" w14:textId="77777777" w:rsidR="00D439EF" w:rsidRDefault="00D439EF" w:rsidP="00D439EF">
      <w:pPr>
        <w:ind w:left="720"/>
      </w:pPr>
    </w:p>
    <w:p w14:paraId="6DFD9467" w14:textId="77777777" w:rsidR="00D439EF" w:rsidRDefault="00D439EF" w:rsidP="00D439EF">
      <w:pPr>
        <w:ind w:left="720"/>
      </w:pPr>
    </w:p>
    <w:p w14:paraId="26FD7E60" w14:textId="77777777" w:rsidR="00D439EF" w:rsidRDefault="00D439EF" w:rsidP="00D439EF">
      <w:pPr>
        <w:ind w:left="720"/>
      </w:pPr>
    </w:p>
    <w:p w14:paraId="7E0E89B7" w14:textId="1C7CC00F" w:rsidR="00CF2DE9" w:rsidRDefault="007D42E5" w:rsidP="00D439EF">
      <w:pPr>
        <w:pStyle w:val="Heading1"/>
        <w:numPr>
          <w:ilvl w:val="0"/>
          <w:numId w:val="2"/>
        </w:numPr>
      </w:pPr>
      <w:r w:rsidRPr="00110A2B">
        <w:lastRenderedPageBreak/>
        <w:t>Supplemental F</w:t>
      </w:r>
      <w:r w:rsidR="000365F4" w:rsidRPr="00110A2B">
        <w:t>i</w:t>
      </w:r>
      <w:r w:rsidRPr="00110A2B">
        <w:t>gures</w:t>
      </w:r>
    </w:p>
    <w:p w14:paraId="78E0B180" w14:textId="5F06793A" w:rsidR="00D439EF" w:rsidRDefault="00D439EF" w:rsidP="00D439EF"/>
    <w:p w14:paraId="16659E7C" w14:textId="199FB979" w:rsidR="00D439EF" w:rsidRPr="00D439EF" w:rsidRDefault="00D439EF" w:rsidP="00D439EF">
      <w:pPr>
        <w:jc w:val="center"/>
      </w:pPr>
      <w:r>
        <w:rPr>
          <w:noProof/>
        </w:rPr>
        <w:drawing>
          <wp:inline distT="0" distB="0" distL="0" distR="0" wp14:anchorId="1F9B1D8B" wp14:editId="3C0E6FB8">
            <wp:extent cx="3602736" cy="640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ubledifference_longerti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2459" w14:textId="77777777" w:rsidR="004926C2" w:rsidRPr="00FB5A8C" w:rsidRDefault="004926C2">
      <w:pPr>
        <w:rPr>
          <w:sz w:val="2"/>
          <w:szCs w:val="2"/>
        </w:rPr>
      </w:pPr>
    </w:p>
    <w:p w14:paraId="5FDCC6E8" w14:textId="30E55E7C" w:rsidR="00D439EF" w:rsidRPr="00D439EF" w:rsidRDefault="00D439EF" w:rsidP="00D439EF">
      <w:pPr>
        <w:pStyle w:val="Caption"/>
        <w:jc w:val="center"/>
        <w:rPr>
          <w:i w:val="0"/>
          <w:color w:val="auto"/>
          <w:sz w:val="24"/>
        </w:rPr>
      </w:pPr>
      <w:bookmarkStart w:id="0" w:name="_Hlk72095399"/>
      <w:r w:rsidRPr="00D439EF">
        <w:rPr>
          <w:i w:val="0"/>
          <w:color w:val="auto"/>
          <w:sz w:val="24"/>
        </w:rPr>
        <w:t xml:space="preserve">Figure S1.  </w:t>
      </w:r>
      <w:r>
        <w:rPr>
          <w:i w:val="0"/>
          <w:color w:val="auto"/>
          <w:sz w:val="24"/>
        </w:rPr>
        <w:t>trop</w:t>
      </w:r>
      <w:r w:rsidRPr="00D439EF">
        <w:rPr>
          <w:i w:val="0"/>
          <w:color w:val="auto"/>
          <w:sz w:val="24"/>
        </w:rPr>
        <w:t>NO</w:t>
      </w:r>
      <w:r w:rsidRPr="00D439EF">
        <w:rPr>
          <w:i w:val="0"/>
          <w:color w:val="auto"/>
          <w:sz w:val="24"/>
          <w:vertAlign w:val="subscript"/>
        </w:rPr>
        <w:t xml:space="preserve">2 </w:t>
      </w:r>
      <w:r w:rsidRPr="00D439EF">
        <w:rPr>
          <w:i w:val="0"/>
          <w:color w:val="auto"/>
          <w:sz w:val="24"/>
        </w:rPr>
        <w:t>changes between pre-lockdown period (1 January to 15 March) and lockdown period (16 March to 30 May) for (a) 2019∆NO</w:t>
      </w:r>
      <w:r w:rsidRPr="00D439EF">
        <w:rPr>
          <w:i w:val="0"/>
          <w:color w:val="auto"/>
          <w:sz w:val="24"/>
          <w:vertAlign w:val="subscript"/>
        </w:rPr>
        <w:t>2</w:t>
      </w:r>
      <w:r w:rsidRPr="00D439EF">
        <w:rPr>
          <w:i w:val="0"/>
          <w:color w:val="auto"/>
          <w:sz w:val="24"/>
        </w:rPr>
        <w:t>, (b) 2020∆NO</w:t>
      </w:r>
      <w:r w:rsidRPr="00D439EF">
        <w:rPr>
          <w:i w:val="0"/>
          <w:color w:val="auto"/>
          <w:sz w:val="24"/>
          <w:vertAlign w:val="subscript"/>
        </w:rPr>
        <w:t>2</w:t>
      </w:r>
      <w:r w:rsidRPr="00D439EF">
        <w:rPr>
          <w:i w:val="0"/>
          <w:color w:val="auto"/>
          <w:sz w:val="24"/>
        </w:rPr>
        <w:t>, and (c) the difference between 2020∆NO</w:t>
      </w:r>
      <w:r w:rsidRPr="00D439EF">
        <w:rPr>
          <w:i w:val="0"/>
          <w:color w:val="auto"/>
          <w:sz w:val="24"/>
          <w:vertAlign w:val="subscript"/>
        </w:rPr>
        <w:t>2</w:t>
      </w:r>
      <w:r w:rsidRPr="00D439EF">
        <w:rPr>
          <w:i w:val="0"/>
          <w:color w:val="auto"/>
          <w:sz w:val="24"/>
        </w:rPr>
        <w:t xml:space="preserve"> and 2019∆NO</w:t>
      </w:r>
      <w:r w:rsidRPr="00D439EF">
        <w:rPr>
          <w:i w:val="0"/>
          <w:color w:val="auto"/>
          <w:sz w:val="24"/>
          <w:vertAlign w:val="subscript"/>
        </w:rPr>
        <w:t>2</w:t>
      </w:r>
      <w:r w:rsidRPr="00D439EF">
        <w:rPr>
          <w:i w:val="0"/>
          <w:color w:val="auto"/>
          <w:sz w:val="24"/>
        </w:rPr>
        <w:t xml:space="preserve">. The double differencing is expected to </w:t>
      </w:r>
      <w:r>
        <w:rPr>
          <w:i w:val="0"/>
          <w:color w:val="auto"/>
          <w:sz w:val="24"/>
        </w:rPr>
        <w:t>minimize</w:t>
      </w:r>
      <w:r w:rsidRPr="00D439EF">
        <w:rPr>
          <w:i w:val="0"/>
          <w:color w:val="auto"/>
          <w:sz w:val="24"/>
        </w:rPr>
        <w:t xml:space="preserve"> the seasonal</w:t>
      </w:r>
      <w:r w:rsidRPr="00D439EF">
        <w:rPr>
          <w:i w:val="0"/>
          <w:color w:val="auto"/>
          <w:sz w:val="24"/>
          <w:vertAlign w:val="subscript"/>
        </w:rPr>
        <w:t xml:space="preserve"> </w:t>
      </w:r>
      <w:r w:rsidRPr="00D439EF">
        <w:rPr>
          <w:i w:val="0"/>
          <w:color w:val="auto"/>
          <w:sz w:val="24"/>
        </w:rPr>
        <w:t>differences and provide a realistic estimate of change in tropNO</w:t>
      </w:r>
      <w:r w:rsidRPr="00D439EF">
        <w:rPr>
          <w:i w:val="0"/>
          <w:color w:val="auto"/>
          <w:sz w:val="24"/>
          <w:vertAlign w:val="subscript"/>
        </w:rPr>
        <w:t>2</w:t>
      </w:r>
      <w:r w:rsidRPr="00D439EF">
        <w:rPr>
          <w:i w:val="0"/>
          <w:color w:val="auto"/>
          <w:sz w:val="24"/>
        </w:rPr>
        <w:t xml:space="preserve"> due to emissions changes.  </w:t>
      </w:r>
    </w:p>
    <w:bookmarkEnd w:id="0"/>
    <w:p w14:paraId="1DBF46D1" w14:textId="01140972" w:rsidR="0038674F" w:rsidRDefault="0038674F" w:rsidP="0038674F"/>
    <w:p w14:paraId="02BDCCF2" w14:textId="313C718B" w:rsidR="000365F4" w:rsidRDefault="00750359" w:rsidP="00750359">
      <w:pPr>
        <w:widowControl w:val="0"/>
        <w:autoSpaceDE w:val="0"/>
        <w:autoSpaceDN w:val="0"/>
        <w:adjustRightInd w:val="0"/>
        <w:ind w:left="480" w:hanging="480"/>
        <w:jc w:val="center"/>
      </w:pPr>
      <w:r w:rsidRPr="00C03B85">
        <w:rPr>
          <w:noProof/>
        </w:rPr>
        <w:lastRenderedPageBreak/>
        <w:drawing>
          <wp:inline distT="0" distB="0" distL="0" distR="0" wp14:anchorId="60298D84" wp14:editId="3526EC1A">
            <wp:extent cx="5486400" cy="3657600"/>
            <wp:effectExtent l="0" t="0" r="0" b="0"/>
            <wp:docPr id="3" name="Picture 3" descr="C:\Users\Shobha.Kondragunta\AppData\Local\Temp\1\Lineplot_TROPOMI_FIVE_NOx_C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ha.Kondragunta\AppData\Local\Temp\1\Lineplot_TROPOMI_FIVE_NOx_COVI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C200" w14:textId="0E0B7868" w:rsidR="00750359" w:rsidRDefault="00750359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A961E7F" w14:textId="7045CFAE" w:rsidR="00750359" w:rsidRPr="00750359" w:rsidRDefault="00750359" w:rsidP="00750359">
      <w:pPr>
        <w:autoSpaceDE w:val="0"/>
        <w:autoSpaceDN w:val="0"/>
        <w:adjustRightInd w:val="0"/>
        <w:jc w:val="center"/>
      </w:pPr>
      <w:r>
        <w:t xml:space="preserve">Figure </w:t>
      </w:r>
      <w:r w:rsidRPr="00750359">
        <w:t>S2.  Trends in TROPOMI tropNO</w:t>
      </w:r>
      <w:r w:rsidRPr="00AC1D3B">
        <w:rPr>
          <w:vertAlign w:val="subscript"/>
        </w:rPr>
        <w:t xml:space="preserve">2 </w:t>
      </w:r>
      <w:r w:rsidRPr="00750359">
        <w:t>and on-road NO</w:t>
      </w:r>
      <w:r w:rsidRPr="00AC1D3B">
        <w:rPr>
          <w:vertAlign w:val="subscript"/>
        </w:rPr>
        <w:t>x</w:t>
      </w:r>
      <w:r w:rsidRPr="00750359">
        <w:t xml:space="preserve"> emissions since January 1 2020 after normalizing the data for typical meteorological conditions and sun angles as in Goldberg et al. (2020). Both NO</w:t>
      </w:r>
      <w:r w:rsidRPr="00AC1D3B">
        <w:rPr>
          <w:vertAlign w:val="subscript"/>
        </w:rPr>
        <w:t>x</w:t>
      </w:r>
      <w:r w:rsidRPr="00750359">
        <w:t xml:space="preserve"> emissions from traffic and TROPOMI tropNO</w:t>
      </w:r>
      <w:r w:rsidRPr="00AC1D3B">
        <w:rPr>
          <w:vertAlign w:val="subscript"/>
        </w:rPr>
        <w:t>2</w:t>
      </w:r>
      <w:r w:rsidRPr="00750359">
        <w:t xml:space="preserve"> data show a decline with the onset of the lockdown and the recovery </w:t>
      </w:r>
      <w:r>
        <w:t>after</w:t>
      </w:r>
      <w:r w:rsidRPr="00750359">
        <w:t xml:space="preserve"> the lockdown</w:t>
      </w:r>
      <w:r>
        <w:t xml:space="preserve"> is lifted</w:t>
      </w:r>
      <w:r w:rsidR="00891011">
        <w:t xml:space="preserve"> in May in most of the US</w:t>
      </w:r>
      <w:r w:rsidRPr="00750359">
        <w:t>.  Data for four different locations are shown.</w:t>
      </w:r>
    </w:p>
    <w:p w14:paraId="6916F1BD" w14:textId="413D2BE4" w:rsidR="00750359" w:rsidRDefault="00750359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2C99009" w14:textId="69A78AAD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B7FEDC8" w14:textId="55D1F0D0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2104FA0" w14:textId="76CB94D3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B194B79" w14:textId="147165A8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D55ABE1" w14:textId="3AAFCC60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5405F76" w14:textId="119AEA84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F2389B7" w14:textId="1167216D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C7A1476" w14:textId="326FBFBF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41BC3CE" w14:textId="383358E7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4E6700F" w14:textId="3765B6A2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41C2DC2" w14:textId="58143B33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B2FF78F" w14:textId="1A38EF3C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53E92D0" w14:textId="1C92EA04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4B2854A0" w14:textId="6543484D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139AB6E" w14:textId="7C7285A8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07E710C" w14:textId="1DC3AC4F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6B60918" w14:textId="4087D8FA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69BC104" w14:textId="10489A43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C34B1A0" w14:textId="4C8F2010" w:rsidR="00891011" w:rsidRDefault="00891011" w:rsidP="001962AE">
      <w:pPr>
        <w:widowControl w:val="0"/>
        <w:autoSpaceDE w:val="0"/>
        <w:autoSpaceDN w:val="0"/>
        <w:adjustRightInd w:val="0"/>
      </w:pPr>
    </w:p>
    <w:p w14:paraId="29CDF6F5" w14:textId="5D87D31E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EBB15FE" w14:textId="2A4780ED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429BACC" w14:textId="1FEFEE84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29DFF97" w14:textId="12632231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0237F95" w14:textId="6CE21912" w:rsidR="00891011" w:rsidRDefault="00891011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7D187DF" w14:textId="77777777" w:rsidR="001962AE" w:rsidRDefault="00891011" w:rsidP="001962AE">
      <w:pPr>
        <w:keepNext/>
        <w:widowControl w:val="0"/>
        <w:autoSpaceDE w:val="0"/>
        <w:autoSpaceDN w:val="0"/>
        <w:adjustRightInd w:val="0"/>
        <w:ind w:left="480" w:hanging="480"/>
        <w:jc w:val="center"/>
      </w:pPr>
      <w:r>
        <w:rPr>
          <w:noProof/>
        </w:rPr>
        <w:drawing>
          <wp:inline distT="0" distB="0" distL="0" distR="0" wp14:anchorId="732FCC9E" wp14:editId="59600512">
            <wp:extent cx="5939155" cy="3428822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OPOMI-backgroundNO2-CONU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5939444" cy="342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A5F45" w14:textId="77777777" w:rsidR="001962AE" w:rsidRDefault="001962AE" w:rsidP="001962AE">
      <w:pPr>
        <w:pStyle w:val="Caption"/>
        <w:jc w:val="center"/>
        <w:rPr>
          <w:rFonts w:ascii="Times New Roman" w:hAnsi="Times New Roman" w:cs="Times New Roman"/>
          <w:i w:val="0"/>
          <w:sz w:val="24"/>
        </w:rPr>
      </w:pPr>
    </w:p>
    <w:p w14:paraId="38E8AC3F" w14:textId="50EF3802" w:rsidR="00891011" w:rsidRPr="001962AE" w:rsidRDefault="001962AE" w:rsidP="001962AE">
      <w:pPr>
        <w:pStyle w:val="Caption"/>
        <w:jc w:val="center"/>
        <w:rPr>
          <w:rFonts w:ascii="Times New Roman" w:hAnsi="Times New Roman" w:cs="Times New Roman"/>
          <w:i w:val="0"/>
          <w:sz w:val="24"/>
        </w:rPr>
      </w:pPr>
      <w:r w:rsidRPr="001962AE">
        <w:rPr>
          <w:rFonts w:ascii="Times New Roman" w:hAnsi="Times New Roman" w:cs="Times New Roman"/>
          <w:i w:val="0"/>
          <w:sz w:val="24"/>
        </w:rPr>
        <w:t>Figure S3.  Time series of TROPOMI tropNO</w:t>
      </w:r>
      <w:r w:rsidRPr="001962AE">
        <w:rPr>
          <w:rFonts w:ascii="Times New Roman" w:hAnsi="Times New Roman" w:cs="Times New Roman"/>
          <w:i w:val="0"/>
          <w:sz w:val="24"/>
          <w:vertAlign w:val="subscript"/>
        </w:rPr>
        <w:t>2</w:t>
      </w:r>
      <w:r w:rsidRPr="001962AE">
        <w:rPr>
          <w:rFonts w:ascii="Times New Roman" w:hAnsi="Times New Roman" w:cs="Times New Roman"/>
          <w:i w:val="0"/>
          <w:sz w:val="24"/>
        </w:rPr>
        <w:t xml:space="preserve"> representing background tropospheric column NO</w:t>
      </w:r>
      <w:r w:rsidRPr="001962AE">
        <w:rPr>
          <w:rFonts w:ascii="Times New Roman" w:hAnsi="Times New Roman" w:cs="Times New Roman"/>
          <w:i w:val="0"/>
          <w:sz w:val="24"/>
          <w:vertAlign w:val="subscript"/>
        </w:rPr>
        <w:t>2</w:t>
      </w:r>
      <w:r w:rsidRPr="001962AE">
        <w:rPr>
          <w:rFonts w:ascii="Times New Roman" w:hAnsi="Times New Roman" w:cs="Times New Roman"/>
          <w:i w:val="0"/>
          <w:sz w:val="24"/>
        </w:rPr>
        <w:t xml:space="preserve"> derived using </w:t>
      </w:r>
      <w:proofErr w:type="spellStart"/>
      <w:r w:rsidRPr="001962AE">
        <w:rPr>
          <w:rFonts w:ascii="Times New Roman" w:hAnsi="Times New Roman" w:cs="Times New Roman"/>
          <w:i w:val="0"/>
          <w:sz w:val="24"/>
        </w:rPr>
        <w:t>Silvern</w:t>
      </w:r>
      <w:proofErr w:type="spellEnd"/>
      <w:r w:rsidRPr="001962AE">
        <w:rPr>
          <w:rFonts w:ascii="Times New Roman" w:hAnsi="Times New Roman" w:cs="Times New Roman"/>
          <w:i w:val="0"/>
          <w:sz w:val="24"/>
        </w:rPr>
        <w:t xml:space="preserve"> et al. (2019) method.  The shaded region is the standard deviation of </w:t>
      </w:r>
      <w:r>
        <w:rPr>
          <w:rFonts w:ascii="Times New Roman" w:hAnsi="Times New Roman" w:cs="Times New Roman"/>
          <w:i w:val="0"/>
          <w:sz w:val="24"/>
        </w:rPr>
        <w:t xml:space="preserve">the </w:t>
      </w:r>
      <w:r w:rsidRPr="001962AE">
        <w:rPr>
          <w:rFonts w:ascii="Times New Roman" w:hAnsi="Times New Roman" w:cs="Times New Roman"/>
          <w:i w:val="0"/>
          <w:sz w:val="24"/>
        </w:rPr>
        <w:t xml:space="preserve">daily </w:t>
      </w:r>
      <w:r>
        <w:rPr>
          <w:rFonts w:ascii="Times New Roman" w:hAnsi="Times New Roman" w:cs="Times New Roman"/>
          <w:i w:val="0"/>
          <w:sz w:val="24"/>
        </w:rPr>
        <w:t xml:space="preserve">mean </w:t>
      </w:r>
      <w:r w:rsidRPr="001962AE">
        <w:rPr>
          <w:rFonts w:ascii="Times New Roman" w:hAnsi="Times New Roman" w:cs="Times New Roman"/>
          <w:i w:val="0"/>
          <w:sz w:val="24"/>
        </w:rPr>
        <w:t>tropNO</w:t>
      </w:r>
      <w:r w:rsidRPr="001962AE">
        <w:rPr>
          <w:rFonts w:ascii="Times New Roman" w:hAnsi="Times New Roman" w:cs="Times New Roman"/>
          <w:i w:val="0"/>
          <w:sz w:val="24"/>
          <w:vertAlign w:val="subscript"/>
        </w:rPr>
        <w:t>2</w:t>
      </w:r>
      <w:r w:rsidRPr="001962AE">
        <w:rPr>
          <w:rFonts w:ascii="Times New Roman" w:hAnsi="Times New Roman" w:cs="Times New Roman"/>
          <w:i w:val="0"/>
          <w:sz w:val="24"/>
        </w:rPr>
        <w:t xml:space="preserve">.  </w:t>
      </w:r>
    </w:p>
    <w:p w14:paraId="2DDBB6B6" w14:textId="60FD3869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D69FB3E" w14:textId="15D87755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C66AA75" w14:textId="79A61547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38B4FA2" w14:textId="427AEA05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0709883" w14:textId="7A979322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3F46C60" w14:textId="72EE68FA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F3E3150" w14:textId="4FF69284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415FC498" w14:textId="1205D19D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4473813" w14:textId="3B3EE1AE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664B390" w14:textId="104995F9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20B3244" w14:textId="32945F7A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11FA012" w14:textId="354C705D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07F5E80" w14:textId="41593B1D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73DAB31" w14:textId="33DD409B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4A0450ED" w14:textId="22A16D0A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5E0E36A" w14:textId="3F8117A0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6741EDA" w14:textId="3FD08735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3DDFD951" w14:textId="53AF791A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DC5B410" w14:textId="77777777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55F2704" w14:textId="0E68A2CB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F39ED28" w14:textId="4C4C0633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B96B73C" w14:textId="00003112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226742D4" w14:textId="6E7B76D6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18AE3BC" w14:textId="184F5DAB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47BA9F54" w14:textId="77777777" w:rsidR="001962AE" w:rsidRDefault="001962AE" w:rsidP="001962AE">
      <w:pPr>
        <w:keepNext/>
        <w:widowControl w:val="0"/>
        <w:autoSpaceDE w:val="0"/>
        <w:autoSpaceDN w:val="0"/>
        <w:adjustRightInd w:val="0"/>
        <w:ind w:left="480" w:hanging="480"/>
        <w:jc w:val="center"/>
      </w:pPr>
      <w:r>
        <w:rPr>
          <w:noProof/>
        </w:rPr>
        <w:drawing>
          <wp:inline distT="0" distB="0" distL="0" distR="0" wp14:anchorId="7CE92275" wp14:editId="16DBCCE8">
            <wp:extent cx="5668583" cy="38563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4"/>
                    <a:stretch/>
                  </pic:blipFill>
                  <pic:spPr bwMode="auto">
                    <a:xfrm>
                      <a:off x="0" y="0"/>
                      <a:ext cx="5669280" cy="38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F728" w14:textId="77777777" w:rsidR="001962AE" w:rsidRDefault="001962AE" w:rsidP="001962AE">
      <w:pPr>
        <w:pStyle w:val="Caption"/>
        <w:jc w:val="center"/>
        <w:rPr>
          <w:rFonts w:ascii="Times New Roman" w:hAnsi="Times New Roman" w:cs="Times New Roman"/>
          <w:i w:val="0"/>
          <w:sz w:val="24"/>
        </w:rPr>
      </w:pPr>
    </w:p>
    <w:p w14:paraId="37C92FB4" w14:textId="2AD0397B" w:rsidR="0020072F" w:rsidRPr="001962AE" w:rsidRDefault="001962AE" w:rsidP="001962AE">
      <w:pPr>
        <w:pStyle w:val="Caption"/>
        <w:jc w:val="center"/>
        <w:rPr>
          <w:rFonts w:ascii="Times New Roman" w:hAnsi="Times New Roman" w:cs="Times New Roman"/>
          <w:i w:val="0"/>
          <w:sz w:val="24"/>
        </w:rPr>
      </w:pPr>
      <w:r w:rsidRPr="001962AE">
        <w:rPr>
          <w:rFonts w:ascii="Times New Roman" w:hAnsi="Times New Roman" w:cs="Times New Roman"/>
          <w:i w:val="0"/>
          <w:sz w:val="24"/>
        </w:rPr>
        <w:t>Figure S4.  Correlation of daily mean tropNO</w:t>
      </w:r>
      <w:r w:rsidRPr="001962AE">
        <w:rPr>
          <w:rFonts w:ascii="Times New Roman" w:hAnsi="Times New Roman" w:cs="Times New Roman"/>
          <w:i w:val="0"/>
          <w:sz w:val="24"/>
          <w:vertAlign w:val="subscript"/>
        </w:rPr>
        <w:t>2</w:t>
      </w:r>
      <w:r w:rsidRPr="001962AE">
        <w:rPr>
          <w:rFonts w:ascii="Times New Roman" w:hAnsi="Times New Roman" w:cs="Times New Roman"/>
          <w:i w:val="0"/>
          <w:sz w:val="24"/>
        </w:rPr>
        <w:t xml:space="preserve"> with planetary boundary layer wind speed (ERA5) for Los Angeles. </w:t>
      </w:r>
    </w:p>
    <w:p w14:paraId="72D9CFCD" w14:textId="2905E622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25A672A" w14:textId="413494AB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93838DE" w14:textId="1CEA60D6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691B075" w14:textId="7E2B539D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F33A971" w14:textId="5BF8342F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BF6CAA3" w14:textId="25C8A7B5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DD69217" w14:textId="4BAF2CD5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A57D53A" w14:textId="369BD07D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129A0AA7" w14:textId="3A9767D5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5D7734F0" w14:textId="4136BDDE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C1ECFF4" w14:textId="751CA977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0D0D1D31" w14:textId="4B25A9B5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7EEC5479" w14:textId="77777777" w:rsidR="001962AE" w:rsidRDefault="001962AE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4823701F" w14:textId="1291364C" w:rsidR="0020072F" w:rsidRDefault="0020072F" w:rsidP="00750359">
      <w:pPr>
        <w:widowControl w:val="0"/>
        <w:autoSpaceDE w:val="0"/>
        <w:autoSpaceDN w:val="0"/>
        <w:adjustRightInd w:val="0"/>
        <w:ind w:left="480" w:hanging="480"/>
        <w:jc w:val="center"/>
      </w:pPr>
    </w:p>
    <w:p w14:paraId="66DB8A92" w14:textId="1591B737" w:rsidR="0020072F" w:rsidRDefault="0020072F" w:rsidP="0020072F">
      <w:pPr>
        <w:pStyle w:val="Heading2"/>
        <w:numPr>
          <w:ilvl w:val="0"/>
          <w:numId w:val="2"/>
        </w:numPr>
      </w:pPr>
      <w:r>
        <w:t>References</w:t>
      </w:r>
    </w:p>
    <w:p w14:paraId="122E6843" w14:textId="312AF624" w:rsidR="0020072F" w:rsidRDefault="0020072F" w:rsidP="0020072F"/>
    <w:p w14:paraId="7E58A357" w14:textId="77777777" w:rsidR="0020072F" w:rsidRPr="00E10D9F" w:rsidRDefault="0020072F" w:rsidP="0020072F">
      <w:r w:rsidRPr="00E10D9F">
        <w:rPr>
          <w:rStyle w:val="author"/>
          <w:shd w:val="clear" w:color="auto" w:fill="FFFFFF"/>
        </w:rPr>
        <w:t>Goldberg, D. L.</w:t>
      </w:r>
      <w:r w:rsidRPr="00E10D9F">
        <w:rPr>
          <w:shd w:val="clear" w:color="auto" w:fill="FFFFFF"/>
        </w:rPr>
        <w:t>, </w:t>
      </w:r>
      <w:proofErr w:type="spellStart"/>
      <w:r w:rsidRPr="00E10D9F">
        <w:rPr>
          <w:rStyle w:val="author"/>
          <w:shd w:val="clear" w:color="auto" w:fill="FFFFFF"/>
        </w:rPr>
        <w:t>Anenberg</w:t>
      </w:r>
      <w:proofErr w:type="spellEnd"/>
      <w:r w:rsidRPr="00E10D9F">
        <w:rPr>
          <w:rStyle w:val="author"/>
          <w:shd w:val="clear" w:color="auto" w:fill="FFFFFF"/>
        </w:rPr>
        <w:t>, S. C.</w:t>
      </w:r>
      <w:r w:rsidRPr="00E10D9F">
        <w:rPr>
          <w:shd w:val="clear" w:color="auto" w:fill="FFFFFF"/>
        </w:rPr>
        <w:t>, </w:t>
      </w:r>
      <w:r w:rsidRPr="00E10D9F">
        <w:rPr>
          <w:rStyle w:val="author"/>
          <w:shd w:val="clear" w:color="auto" w:fill="FFFFFF"/>
        </w:rPr>
        <w:t>Griffin, D.</w:t>
      </w:r>
      <w:r w:rsidRPr="00E10D9F">
        <w:rPr>
          <w:shd w:val="clear" w:color="auto" w:fill="FFFFFF"/>
        </w:rPr>
        <w:t>, </w:t>
      </w:r>
      <w:proofErr w:type="spellStart"/>
      <w:r w:rsidRPr="00E10D9F">
        <w:rPr>
          <w:rStyle w:val="author"/>
          <w:shd w:val="clear" w:color="auto" w:fill="FFFFFF"/>
        </w:rPr>
        <w:t>McLinden</w:t>
      </w:r>
      <w:proofErr w:type="spellEnd"/>
      <w:r w:rsidRPr="00E10D9F">
        <w:rPr>
          <w:rStyle w:val="author"/>
          <w:shd w:val="clear" w:color="auto" w:fill="FFFFFF"/>
        </w:rPr>
        <w:t>, C. A.</w:t>
      </w:r>
      <w:r w:rsidRPr="00E10D9F">
        <w:rPr>
          <w:shd w:val="clear" w:color="auto" w:fill="FFFFFF"/>
        </w:rPr>
        <w:t>, </w:t>
      </w:r>
      <w:r w:rsidRPr="00E10D9F">
        <w:rPr>
          <w:rStyle w:val="author"/>
          <w:shd w:val="clear" w:color="auto" w:fill="FFFFFF"/>
        </w:rPr>
        <w:t>Lu, Z.</w:t>
      </w:r>
      <w:r w:rsidRPr="00E10D9F">
        <w:rPr>
          <w:shd w:val="clear" w:color="auto" w:fill="FFFFFF"/>
        </w:rPr>
        <w:t>, &amp; </w:t>
      </w:r>
      <w:r w:rsidRPr="00E10D9F">
        <w:rPr>
          <w:rStyle w:val="author"/>
          <w:shd w:val="clear" w:color="auto" w:fill="FFFFFF"/>
        </w:rPr>
        <w:t>Streets, D. G.</w:t>
      </w:r>
      <w:r w:rsidRPr="00E10D9F">
        <w:rPr>
          <w:shd w:val="clear" w:color="auto" w:fill="FFFFFF"/>
        </w:rPr>
        <w:t> (</w:t>
      </w:r>
      <w:r w:rsidRPr="00E10D9F">
        <w:rPr>
          <w:rStyle w:val="pubyear"/>
          <w:shd w:val="clear" w:color="auto" w:fill="FFFFFF"/>
        </w:rPr>
        <w:t>2020</w:t>
      </w:r>
      <w:r w:rsidRPr="00E10D9F">
        <w:rPr>
          <w:shd w:val="clear" w:color="auto" w:fill="FFFFFF"/>
        </w:rPr>
        <w:t>). </w:t>
      </w:r>
      <w:r w:rsidRPr="00E10D9F">
        <w:rPr>
          <w:rStyle w:val="articletitle"/>
          <w:shd w:val="clear" w:color="auto" w:fill="FFFFFF"/>
        </w:rPr>
        <w:t>Disentangling the impact of the COVID‐19 lockdowns on urban NO</w:t>
      </w:r>
      <w:r w:rsidRPr="00E10D9F">
        <w:rPr>
          <w:rStyle w:val="articletitle"/>
          <w:shd w:val="clear" w:color="auto" w:fill="FFFFFF"/>
          <w:vertAlign w:val="subscript"/>
        </w:rPr>
        <w:t>2</w:t>
      </w:r>
      <w:r w:rsidRPr="00E10D9F">
        <w:rPr>
          <w:rStyle w:val="articletitle"/>
          <w:shd w:val="clear" w:color="auto" w:fill="FFFFFF"/>
        </w:rPr>
        <w:t> from natural variability</w:t>
      </w:r>
      <w:r w:rsidRPr="00E10D9F">
        <w:rPr>
          <w:shd w:val="clear" w:color="auto" w:fill="FFFFFF"/>
        </w:rPr>
        <w:t>. </w:t>
      </w:r>
      <w:r w:rsidRPr="00E10D9F">
        <w:rPr>
          <w:i/>
          <w:iCs/>
          <w:shd w:val="clear" w:color="auto" w:fill="FFFFFF"/>
        </w:rPr>
        <w:t>Geophysical Research Letters</w:t>
      </w:r>
      <w:r w:rsidRPr="00E10D9F">
        <w:rPr>
          <w:shd w:val="clear" w:color="auto" w:fill="FFFFFF"/>
        </w:rPr>
        <w:t>, </w:t>
      </w:r>
      <w:r w:rsidRPr="00E10D9F">
        <w:rPr>
          <w:rStyle w:val="vol"/>
          <w:shd w:val="clear" w:color="auto" w:fill="FFFFFF"/>
        </w:rPr>
        <w:t>47</w:t>
      </w:r>
      <w:r w:rsidRPr="00E10D9F">
        <w:rPr>
          <w:shd w:val="clear" w:color="auto" w:fill="FFFFFF"/>
        </w:rPr>
        <w:t>, e2020GL089269. </w:t>
      </w:r>
      <w:hyperlink r:id="rId13" w:history="1">
        <w:r w:rsidRPr="00E10D9F">
          <w:rPr>
            <w:rStyle w:val="Hyperlink"/>
            <w:shd w:val="clear" w:color="auto" w:fill="FFFFFF"/>
          </w:rPr>
          <w:t>https://doi.org/10.1029/2020GL089269</w:t>
        </w:r>
      </w:hyperlink>
    </w:p>
    <w:p w14:paraId="58318217" w14:textId="297F2B88" w:rsidR="0020072F" w:rsidRDefault="0020072F" w:rsidP="0020072F"/>
    <w:p w14:paraId="5F24BCCF" w14:textId="42CA6F0E" w:rsidR="0020072F" w:rsidRPr="00E36BD5" w:rsidRDefault="0020072F" w:rsidP="0020072F">
      <w:proofErr w:type="spellStart"/>
      <w:r>
        <w:t>Silvern</w:t>
      </w:r>
      <w:proofErr w:type="spellEnd"/>
      <w:r>
        <w:t xml:space="preserve">, R. F., D. J. Jacob, L. J. </w:t>
      </w:r>
      <w:proofErr w:type="spellStart"/>
      <w:r>
        <w:t>Mickley</w:t>
      </w:r>
      <w:proofErr w:type="spellEnd"/>
      <w:r>
        <w:t xml:space="preserve">, M. P. </w:t>
      </w:r>
      <w:proofErr w:type="spellStart"/>
      <w:r>
        <w:t>Sulprizio</w:t>
      </w:r>
      <w:proofErr w:type="spellEnd"/>
      <w:r>
        <w:t xml:space="preserve">, K. R. Travis, E. A. Marais, R. C. Cohen, J. L. </w:t>
      </w:r>
      <w:proofErr w:type="spellStart"/>
      <w:r>
        <w:t>Laughner</w:t>
      </w:r>
      <w:proofErr w:type="spellEnd"/>
      <w:r>
        <w:t xml:space="preserve">, S. Choi, J. Joiner, and L. N. </w:t>
      </w:r>
      <w:proofErr w:type="spellStart"/>
      <w:r>
        <w:t>Lamsal</w:t>
      </w:r>
      <w:proofErr w:type="spellEnd"/>
      <w:r>
        <w:t>. Using satellite observations of tropospheric NO</w:t>
      </w:r>
      <w:r w:rsidRPr="004078B9">
        <w:rPr>
          <w:vertAlign w:val="subscript"/>
        </w:rPr>
        <w:t>2</w:t>
      </w:r>
      <w:r>
        <w:t xml:space="preserve"> columns to infer long-term trends in US NOx emissions: the importance of accounting for the free tropospheric NO</w:t>
      </w:r>
      <w:r w:rsidRPr="004A241F">
        <w:rPr>
          <w:vertAlign w:val="subscript"/>
        </w:rPr>
        <w:t>2</w:t>
      </w:r>
      <w:r>
        <w:t xml:space="preserve"> background.  (2019). </w:t>
      </w:r>
      <w:r w:rsidRPr="004A241F">
        <w:rPr>
          <w:i/>
        </w:rPr>
        <w:t xml:space="preserve">Atmos. Chem. Phys., </w:t>
      </w:r>
      <w:r w:rsidRPr="004A241F">
        <w:rPr>
          <w:i/>
          <w:szCs w:val="20"/>
        </w:rPr>
        <w:t>19</w:t>
      </w:r>
      <w:r>
        <w:rPr>
          <w:szCs w:val="20"/>
        </w:rPr>
        <w:t xml:space="preserve">, 8863–8878.  </w:t>
      </w:r>
      <w:r w:rsidRPr="00E36BD5">
        <w:rPr>
          <w:shd w:val="clear" w:color="auto" w:fill="FFFFFF"/>
        </w:rPr>
        <w:t>https://doi.org/10.5194/acp-19-8863-2019</w:t>
      </w:r>
    </w:p>
    <w:p w14:paraId="0EB5BBAE" w14:textId="77777777" w:rsidR="0020072F" w:rsidRPr="0020072F" w:rsidRDefault="0020072F" w:rsidP="0020072F">
      <w:bookmarkStart w:id="1" w:name="_GoBack"/>
      <w:bookmarkEnd w:id="1"/>
    </w:p>
    <w:sectPr w:rsidR="0020072F" w:rsidRPr="0020072F" w:rsidSect="00E45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A754C" w14:textId="77777777" w:rsidR="0044609E" w:rsidRDefault="0044609E" w:rsidP="00D439EF">
      <w:r>
        <w:separator/>
      </w:r>
    </w:p>
  </w:endnote>
  <w:endnote w:type="continuationSeparator" w:id="0">
    <w:p w14:paraId="47ED602E" w14:textId="77777777" w:rsidR="0044609E" w:rsidRDefault="0044609E" w:rsidP="00D43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7F640" w14:textId="77777777" w:rsidR="0044609E" w:rsidRDefault="0044609E" w:rsidP="00D439EF">
      <w:r>
        <w:separator/>
      </w:r>
    </w:p>
  </w:footnote>
  <w:footnote w:type="continuationSeparator" w:id="0">
    <w:p w14:paraId="4A9E6774" w14:textId="77777777" w:rsidR="0044609E" w:rsidRDefault="0044609E" w:rsidP="00D439EF">
      <w:r>
        <w:continuationSeparator/>
      </w:r>
    </w:p>
  </w:footnote>
  <w:footnote w:id="1">
    <w:p w14:paraId="367A47C7" w14:textId="5FE2BA9E" w:rsidR="00D439EF" w:rsidRDefault="00891011" w:rsidP="00D439EF">
      <w:pPr>
        <w:pStyle w:val="FootnoteText"/>
      </w:pPr>
      <w:r>
        <w:rPr>
          <w:rStyle w:val="FootnoteReference"/>
        </w:rPr>
        <w:t>*</w:t>
      </w:r>
      <w:r w:rsidR="00D439EF">
        <w:t xml:space="preserve"> Corresponding author: Phone: 301-655-7311.  Email: Shobha.Kondragunta@noaa.gov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17A45"/>
    <w:multiLevelType w:val="hybridMultilevel"/>
    <w:tmpl w:val="BC7A0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05D21"/>
    <w:multiLevelType w:val="multilevel"/>
    <w:tmpl w:val="B9129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C2"/>
    <w:rsid w:val="000365F4"/>
    <w:rsid w:val="000553F9"/>
    <w:rsid w:val="000D48DA"/>
    <w:rsid w:val="00110A2B"/>
    <w:rsid w:val="00151A48"/>
    <w:rsid w:val="001962AE"/>
    <w:rsid w:val="001B40BA"/>
    <w:rsid w:val="001D7CA6"/>
    <w:rsid w:val="0020072F"/>
    <w:rsid w:val="00254A7E"/>
    <w:rsid w:val="002E1436"/>
    <w:rsid w:val="0038674F"/>
    <w:rsid w:val="0044609E"/>
    <w:rsid w:val="004926C2"/>
    <w:rsid w:val="0049607A"/>
    <w:rsid w:val="0053235A"/>
    <w:rsid w:val="005C1B95"/>
    <w:rsid w:val="00611E79"/>
    <w:rsid w:val="0065429F"/>
    <w:rsid w:val="00681AF2"/>
    <w:rsid w:val="006A580B"/>
    <w:rsid w:val="00720016"/>
    <w:rsid w:val="00750359"/>
    <w:rsid w:val="007C416F"/>
    <w:rsid w:val="007D42E5"/>
    <w:rsid w:val="007F2437"/>
    <w:rsid w:val="00816F87"/>
    <w:rsid w:val="008817FE"/>
    <w:rsid w:val="00891011"/>
    <w:rsid w:val="008E1EFC"/>
    <w:rsid w:val="009808F2"/>
    <w:rsid w:val="009A7B04"/>
    <w:rsid w:val="00A0724E"/>
    <w:rsid w:val="00AA3221"/>
    <w:rsid w:val="00AC1D3B"/>
    <w:rsid w:val="00B25BAF"/>
    <w:rsid w:val="00B76769"/>
    <w:rsid w:val="00C85B2A"/>
    <w:rsid w:val="00CA54E2"/>
    <w:rsid w:val="00CF7386"/>
    <w:rsid w:val="00D439EF"/>
    <w:rsid w:val="00DD386F"/>
    <w:rsid w:val="00E116C7"/>
    <w:rsid w:val="00E365F5"/>
    <w:rsid w:val="00E45B54"/>
    <w:rsid w:val="00EF21EA"/>
    <w:rsid w:val="00F24769"/>
    <w:rsid w:val="00FB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7EFA0"/>
  <w15:chartTrackingRefBased/>
  <w15:docId w15:val="{A9D803EB-6C91-5046-9E5F-D63E7DA3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16C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2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7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Heading">
    <w:name w:val="SM Heading"/>
    <w:basedOn w:val="Heading1"/>
    <w:qFormat/>
    <w:rsid w:val="007D42E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Subheading">
    <w:name w:val="SM Subheading"/>
    <w:basedOn w:val="Normal"/>
    <w:qFormat/>
    <w:rsid w:val="007D42E5"/>
    <w:rPr>
      <w:szCs w:val="20"/>
      <w:u w:val="words"/>
    </w:rPr>
  </w:style>
  <w:style w:type="paragraph" w:customStyle="1" w:styleId="SMText">
    <w:name w:val="SM Text"/>
    <w:basedOn w:val="Normal"/>
    <w:qFormat/>
    <w:rsid w:val="007D42E5"/>
    <w:pPr>
      <w:ind w:firstLine="480"/>
    </w:pPr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D42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D42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A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BA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BAF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F738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39EF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39EF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439EF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439EF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007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uthor">
    <w:name w:val="author"/>
    <w:basedOn w:val="DefaultParagraphFont"/>
    <w:rsid w:val="0020072F"/>
  </w:style>
  <w:style w:type="character" w:customStyle="1" w:styleId="articletitle">
    <w:name w:val="articletitle"/>
    <w:basedOn w:val="DefaultParagraphFont"/>
    <w:rsid w:val="0020072F"/>
  </w:style>
  <w:style w:type="character" w:customStyle="1" w:styleId="pubyear">
    <w:name w:val="pubyear"/>
    <w:basedOn w:val="DefaultParagraphFont"/>
    <w:rsid w:val="0020072F"/>
  </w:style>
  <w:style w:type="character" w:customStyle="1" w:styleId="vol">
    <w:name w:val="vol"/>
    <w:basedOn w:val="DefaultParagraphFont"/>
    <w:rsid w:val="0020072F"/>
  </w:style>
  <w:style w:type="paragraph" w:styleId="NormalWeb">
    <w:name w:val="Normal (Web)"/>
    <w:basedOn w:val="Normal"/>
    <w:uiPriority w:val="99"/>
    <w:unhideWhenUsed/>
    <w:rsid w:val="0020072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29/2020GL08926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B3C96F-DF9C-450B-90E6-7208695D2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Goldberg</dc:creator>
  <cp:keywords/>
  <dc:description/>
  <cp:lastModifiedBy>Shobha Kondragunta</cp:lastModifiedBy>
  <cp:revision>6</cp:revision>
  <dcterms:created xsi:type="dcterms:W3CDTF">2021-05-18T02:56:00Z</dcterms:created>
  <dcterms:modified xsi:type="dcterms:W3CDTF">2021-08-25T03:44:00Z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http://www.zotero.org/styles/american-geophysical-union</vt:lpwstr>
  </property>
  <property fmtid="{D5CDD505-2E9C-101B-9397-08002B2CF9AE}" pid="3" name="Mendeley Recent Style Name 0_1">
    <vt:lpwstr>American Geophysical Union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6th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http://www.zotero.org/styles/atmospheric-chemistry-and-physics</vt:lpwstr>
  </property>
  <property fmtid="{D5CDD505-2E9C-101B-9397-08002B2CF9AE}" pid="13" name="Mendeley Recent Style Name 5_1">
    <vt:lpwstr>Atmospheric Chemistry and Physics</vt:lpwstr>
  </property>
  <property fmtid="{D5CDD505-2E9C-101B-9397-08002B2CF9AE}" pid="14" name="Mendeley Recent Style Id 6_1">
    <vt:lpwstr>http://www.zotero.org/styles/chicago-author-date</vt:lpwstr>
  </property>
  <property fmtid="{D5CDD505-2E9C-101B-9397-08002B2CF9AE}" pid="15" name="Mendeley Recent Style Name 6_1">
    <vt:lpwstr>Chicago Manual of Style 17th edition (author-date)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c360cc4a-8739-305c-a586-f05a2641165f</vt:lpwstr>
  </property>
  <property fmtid="{D5CDD505-2E9C-101B-9397-08002B2CF9AE}" pid="24" name="Mendeley Citation Style_1">
    <vt:lpwstr>http://www.zotero.org/styles/american-geophysical-union</vt:lpwstr>
  </property>
</Properties>
</file>