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382" w:rsidRDefault="00E05A0A">
      <w:pPr>
        <w:widowControl w:val="0"/>
        <w:spacing w:before="0" w:line="240" w:lineRule="auto"/>
        <w:jc w:val="center"/>
        <w:rPr>
          <w:rFonts w:ascii="Liberation Serif" w:eastAsia="Liberation Serif" w:hAnsi="Liberation Serif" w:cs="Liberation Serif"/>
          <w:sz w:val="36"/>
          <w:szCs w:val="36"/>
        </w:rPr>
      </w:pPr>
      <w:bookmarkStart w:id="0" w:name="_GoBack"/>
      <w:bookmarkEnd w:id="0"/>
      <w:r>
        <w:rPr>
          <w:rFonts w:ascii="Liberation Serif" w:eastAsia="Liberation Serif" w:hAnsi="Liberation Serif" w:cs="Liberation Serif"/>
          <w:noProof/>
          <w:lang w:val="en-US"/>
        </w:rPr>
        <w:drawing>
          <wp:inline distT="0" distB="0" distL="0" distR="0">
            <wp:extent cx="3200400" cy="609600"/>
            <wp:effectExtent l="0" t="0" r="0" b="0"/>
            <wp:docPr id="89" name="image1.png" descr="agu_pubart-white_reduc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gu_pubart-white_reduc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37382" w:rsidRDefault="00E05A0A">
      <w:pPr>
        <w:widowControl w:val="0"/>
        <w:spacing w:before="280" w:after="280" w:line="240" w:lineRule="auto"/>
        <w:jc w:val="center"/>
        <w:rPr>
          <w:rFonts w:ascii="Liberation Serif" w:eastAsia="Liberation Serif" w:hAnsi="Liberation Serif" w:cs="Liberation Serif"/>
        </w:rPr>
      </w:pPr>
      <w:r>
        <w:rPr>
          <w:rFonts w:ascii="PT Sans" w:eastAsia="PT Sans" w:hAnsi="PT Sans" w:cs="PT Sans"/>
          <w:i/>
        </w:rPr>
        <w:t>Journal of Geophysical Research: Ocean</w:t>
      </w:r>
    </w:p>
    <w:p w:rsidR="00537382" w:rsidRDefault="00E05A0A">
      <w:pPr>
        <w:widowControl w:val="0"/>
        <w:spacing w:before="280" w:after="280" w:line="240" w:lineRule="auto"/>
        <w:jc w:val="center"/>
        <w:rPr>
          <w:rFonts w:ascii="Liberation Serif" w:eastAsia="Liberation Serif" w:hAnsi="Liberation Serif" w:cs="Liberation Serif"/>
        </w:rPr>
      </w:pPr>
      <w:r>
        <w:rPr>
          <w:rFonts w:ascii="PT Sans" w:eastAsia="PT Sans" w:hAnsi="PT Sans" w:cs="PT Sans"/>
        </w:rPr>
        <w:t>Supporting Information for</w:t>
      </w:r>
    </w:p>
    <w:p w:rsidR="00537382" w:rsidRDefault="00E05A0A">
      <w:pPr>
        <w:pStyle w:val="Title"/>
        <w:spacing w:before="0"/>
        <w:ind w:firstLine="0"/>
        <w:jc w:val="both"/>
        <w:rPr>
          <w:rFonts w:ascii="PT Sans" w:eastAsia="PT Sans" w:hAnsi="PT Sans" w:cs="PT Sans"/>
          <w:sz w:val="28"/>
          <w:szCs w:val="28"/>
        </w:rPr>
      </w:pPr>
      <w:proofErr w:type="spellStart"/>
      <w:r>
        <w:rPr>
          <w:rFonts w:ascii="PT Sans" w:eastAsia="PT Sans" w:hAnsi="PT Sans" w:cs="PT Sans"/>
          <w:sz w:val="28"/>
          <w:szCs w:val="28"/>
        </w:rPr>
        <w:t>Interannual</w:t>
      </w:r>
      <w:proofErr w:type="spellEnd"/>
      <w:r>
        <w:rPr>
          <w:rFonts w:ascii="PT Sans" w:eastAsia="PT Sans" w:hAnsi="PT Sans" w:cs="PT Sans"/>
          <w:sz w:val="28"/>
          <w:szCs w:val="28"/>
        </w:rPr>
        <w:t xml:space="preserve"> variability and multiyear trends of sea surface salinity in the Amazon-Orinoco plume region from satellite observations and an ocean reanalysis</w:t>
      </w:r>
    </w:p>
    <w:p w:rsidR="00537382" w:rsidRDefault="00E05A0A">
      <w:pPr>
        <w:widowControl w:val="0"/>
        <w:jc w:val="center"/>
        <w:rPr>
          <w:rFonts w:ascii="Liberation Serif" w:eastAsia="Liberation Serif" w:hAnsi="Liberation Serif" w:cs="Liberation Serif"/>
        </w:rPr>
      </w:pPr>
      <w:bookmarkStart w:id="1" w:name="_heading=h.gjdgxs" w:colFirst="0" w:colLast="0"/>
      <w:bookmarkEnd w:id="1"/>
      <w:r>
        <w:t xml:space="preserve">Nguyen </w:t>
      </w:r>
      <w:proofErr w:type="spellStart"/>
      <w:r>
        <w:t>Dac</w:t>
      </w:r>
      <w:proofErr w:type="spellEnd"/>
      <w:r>
        <w:t xml:space="preserve"> Da</w:t>
      </w:r>
      <w:r>
        <w:rPr>
          <w:vertAlign w:val="superscript"/>
        </w:rPr>
        <w:t>1</w:t>
      </w:r>
      <w:r>
        <w:t>, Gregory R. Foltz</w:t>
      </w:r>
      <w:r>
        <w:rPr>
          <w:vertAlign w:val="superscript"/>
        </w:rPr>
        <w:t>2*</w:t>
      </w:r>
    </w:p>
    <w:p w:rsidR="00537382" w:rsidRDefault="00E05A0A">
      <w:pPr>
        <w:widowControl w:val="0"/>
        <w:numPr>
          <w:ilvl w:val="0"/>
          <w:numId w:val="1"/>
        </w:numPr>
        <w:spacing w:before="280" w:line="240" w:lineRule="auto"/>
        <w:jc w:val="left"/>
        <w:rPr>
          <w:rFonts w:ascii="PT Sans" w:eastAsia="PT Sans" w:hAnsi="PT Sans" w:cs="PT Sans"/>
          <w:sz w:val="20"/>
          <w:szCs w:val="20"/>
        </w:rPr>
      </w:pPr>
      <w:r>
        <w:rPr>
          <w:rFonts w:ascii="PT Sans" w:eastAsia="PT Sans" w:hAnsi="PT Sans" w:cs="PT Sans"/>
          <w:sz w:val="20"/>
          <w:szCs w:val="20"/>
        </w:rPr>
        <w:t>Faculty of Meteorology, Hydrology and Oceanography</w:t>
      </w:r>
      <w:proofErr w:type="gramStart"/>
      <w:r>
        <w:rPr>
          <w:rFonts w:ascii="PT Sans" w:eastAsia="PT Sans" w:hAnsi="PT Sans" w:cs="PT Sans"/>
          <w:sz w:val="20"/>
          <w:szCs w:val="20"/>
        </w:rPr>
        <w:t>,  University</w:t>
      </w:r>
      <w:proofErr w:type="gramEnd"/>
      <w:r>
        <w:rPr>
          <w:rFonts w:ascii="PT Sans" w:eastAsia="PT Sans" w:hAnsi="PT Sans" w:cs="PT Sans"/>
          <w:sz w:val="20"/>
          <w:szCs w:val="20"/>
        </w:rPr>
        <w:t xml:space="preserve"> of Science, Vietnam National University, Hanoi, Vietnam.</w:t>
      </w:r>
    </w:p>
    <w:p w:rsidR="00537382" w:rsidRDefault="00E05A0A">
      <w:pPr>
        <w:widowControl w:val="0"/>
        <w:numPr>
          <w:ilvl w:val="0"/>
          <w:numId w:val="1"/>
        </w:numPr>
        <w:spacing w:before="0" w:line="240" w:lineRule="auto"/>
        <w:jc w:val="left"/>
        <w:rPr>
          <w:rFonts w:ascii="PT Sans" w:eastAsia="PT Sans" w:hAnsi="PT Sans" w:cs="PT Sans"/>
          <w:sz w:val="20"/>
          <w:szCs w:val="20"/>
        </w:rPr>
      </w:pPr>
      <w:r>
        <w:rPr>
          <w:rFonts w:ascii="PT Sans" w:eastAsia="PT Sans" w:hAnsi="PT Sans" w:cs="PT Sans"/>
          <w:sz w:val="20"/>
          <w:szCs w:val="20"/>
        </w:rPr>
        <w:t xml:space="preserve">Atlantic Oceanographic and Meteorological Laboratory (AOML), National Oceanographic &amp; Atmospheric Administration, </w:t>
      </w:r>
      <w:r>
        <w:rPr>
          <w:rFonts w:ascii="PT Sans" w:eastAsia="PT Sans" w:hAnsi="PT Sans" w:cs="PT Sans"/>
          <w:sz w:val="20"/>
          <w:szCs w:val="20"/>
        </w:rPr>
        <w:t>Miami, Florida, USA.</w:t>
      </w:r>
    </w:p>
    <w:p w:rsidR="00537382" w:rsidRDefault="00E05A0A">
      <w:pPr>
        <w:widowControl w:val="0"/>
        <w:spacing w:before="280" w:after="280" w:line="240" w:lineRule="auto"/>
        <w:jc w:val="left"/>
        <w:rPr>
          <w:rFonts w:ascii="PT Sans" w:eastAsia="PT Sans" w:hAnsi="PT Sans" w:cs="PT Sans"/>
          <w:sz w:val="20"/>
          <w:szCs w:val="20"/>
        </w:rPr>
      </w:pPr>
      <w:r>
        <w:rPr>
          <w:rFonts w:ascii="PT Sans" w:eastAsia="PT Sans" w:hAnsi="PT Sans" w:cs="PT Sans"/>
          <w:sz w:val="20"/>
          <w:szCs w:val="20"/>
        </w:rPr>
        <w:t>* Corresponding author: gregory.foltz@noaa.gov</w:t>
      </w:r>
    </w:p>
    <w:p w:rsidR="00537382" w:rsidRDefault="00537382">
      <w:pPr>
        <w:widowControl w:val="0"/>
        <w:spacing w:before="280" w:after="280" w:line="240" w:lineRule="auto"/>
        <w:jc w:val="center"/>
        <w:rPr>
          <w:rFonts w:ascii="PT Sans" w:eastAsia="PT Sans" w:hAnsi="PT Sans" w:cs="PT Sans"/>
          <w:sz w:val="18"/>
          <w:szCs w:val="18"/>
        </w:rPr>
      </w:pPr>
    </w:p>
    <w:p w:rsidR="00537382" w:rsidRDefault="00537382">
      <w:pPr>
        <w:widowControl w:val="0"/>
        <w:spacing w:before="280" w:after="280" w:line="240" w:lineRule="auto"/>
        <w:jc w:val="center"/>
        <w:rPr>
          <w:rFonts w:ascii="PT Sans" w:eastAsia="PT Sans" w:hAnsi="PT Sans" w:cs="PT Sans"/>
          <w:sz w:val="18"/>
          <w:szCs w:val="18"/>
        </w:rPr>
      </w:pPr>
    </w:p>
    <w:p w:rsidR="00537382" w:rsidRDefault="00E05A0A">
      <w:pPr>
        <w:widowControl w:val="0"/>
        <w:spacing w:before="280" w:after="280" w:line="240" w:lineRule="auto"/>
        <w:jc w:val="center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 xml:space="preserve"> </w:t>
      </w:r>
    </w:p>
    <w:p w:rsidR="00537382" w:rsidRDefault="00E05A0A">
      <w:pPr>
        <w:widowControl w:val="0"/>
        <w:spacing w:before="0" w:line="240" w:lineRule="auto"/>
        <w:jc w:val="left"/>
        <w:rPr>
          <w:rFonts w:ascii="PT Sans" w:eastAsia="PT Sans" w:hAnsi="PT Sans" w:cs="PT Sans"/>
          <w:b/>
        </w:rPr>
      </w:pPr>
      <w:r>
        <w:rPr>
          <w:rFonts w:ascii="PT Sans" w:eastAsia="PT Sans" w:hAnsi="PT Sans" w:cs="PT Sans"/>
          <w:b/>
        </w:rPr>
        <w:t xml:space="preserve">Contents of this file </w:t>
      </w:r>
    </w:p>
    <w:p w:rsidR="00537382" w:rsidRDefault="00537382">
      <w:pPr>
        <w:widowControl w:val="0"/>
        <w:spacing w:before="0" w:line="240" w:lineRule="auto"/>
        <w:jc w:val="left"/>
        <w:rPr>
          <w:rFonts w:ascii="PT Sans" w:eastAsia="PT Sans" w:hAnsi="PT Sans" w:cs="PT Sans"/>
        </w:rPr>
      </w:pPr>
    </w:p>
    <w:p w:rsidR="00537382" w:rsidRDefault="00537382">
      <w:pPr>
        <w:widowControl w:val="0"/>
        <w:spacing w:before="0" w:line="240" w:lineRule="auto"/>
        <w:ind w:left="720" w:firstLine="0"/>
        <w:jc w:val="left"/>
        <w:rPr>
          <w:rFonts w:ascii="PT Sans" w:eastAsia="PT Sans" w:hAnsi="PT Sans" w:cs="PT Sans"/>
        </w:rPr>
      </w:pPr>
    </w:p>
    <w:p w:rsidR="00537382" w:rsidRDefault="00E05A0A">
      <w:pPr>
        <w:widowControl w:val="0"/>
        <w:spacing w:before="0" w:line="240" w:lineRule="auto"/>
        <w:ind w:left="720" w:firstLine="0"/>
        <w:jc w:val="left"/>
        <w:rPr>
          <w:rFonts w:ascii="PT Sans" w:eastAsia="PT Sans" w:hAnsi="PT Sans" w:cs="PT Sans"/>
        </w:rPr>
      </w:pPr>
      <w:r>
        <w:rPr>
          <w:rFonts w:ascii="PT Sans" w:eastAsia="PT Sans" w:hAnsi="PT Sans" w:cs="PT Sans"/>
        </w:rPr>
        <w:t>Figures S1 to S10</w:t>
      </w:r>
    </w:p>
    <w:p w:rsidR="00537382" w:rsidRDefault="00537382">
      <w:pPr>
        <w:widowControl w:val="0"/>
        <w:spacing w:before="280" w:after="280" w:line="240" w:lineRule="auto"/>
        <w:jc w:val="left"/>
        <w:rPr>
          <w:rFonts w:ascii="PT Sans" w:eastAsia="PT Sans" w:hAnsi="PT Sans" w:cs="PT Sans"/>
          <w:b/>
        </w:rPr>
      </w:pPr>
    </w:p>
    <w:p w:rsidR="00537382" w:rsidRDefault="00E05A0A">
      <w:pPr>
        <w:pStyle w:val="Heading1"/>
        <w:widowControl w:val="0"/>
        <w:spacing w:before="280" w:after="280" w:line="240" w:lineRule="auto"/>
      </w:pPr>
      <w:bookmarkStart w:id="2" w:name="_heading=h.30j0zll" w:colFirst="0" w:colLast="0"/>
      <w:bookmarkEnd w:id="2"/>
      <w:r>
        <w:rPr>
          <w:b/>
        </w:rPr>
        <w:t xml:space="preserve">Introduction </w:t>
      </w:r>
      <w:r>
        <w:tab/>
        <w:t xml:space="preserve"> </w:t>
      </w:r>
      <w:r>
        <w:tab/>
      </w:r>
    </w:p>
    <w:p w:rsidR="00537382" w:rsidRDefault="00537382">
      <w:pPr>
        <w:ind w:firstLine="0"/>
      </w:pPr>
    </w:p>
    <w:p w:rsidR="00537382" w:rsidRDefault="00537382">
      <w:pPr>
        <w:ind w:firstLine="0"/>
      </w:pPr>
    </w:p>
    <w:p w:rsidR="00537382" w:rsidRDefault="00537382">
      <w:pPr>
        <w:ind w:firstLine="0"/>
      </w:pPr>
    </w:p>
    <w:p w:rsidR="00537382" w:rsidRDefault="00E05A0A">
      <w:pPr>
        <w:ind w:firstLine="0"/>
      </w:pPr>
      <w:r>
        <w:rPr>
          <w:b/>
        </w:rPr>
        <w:lastRenderedPageBreak/>
        <w:t>Fig. S1</w:t>
      </w:r>
      <w:r>
        <w:t xml:space="preserve"> shows the climatological monthly discharge of the Amazon </w:t>
      </w:r>
      <w:proofErr w:type="gramStart"/>
      <w:r>
        <w:t>river</w:t>
      </w:r>
      <w:proofErr w:type="gramEnd"/>
      <w:r>
        <w:t xml:space="preserve"> and Amazon-Orinoco River system, highlighting the phase lags between the Amazon and the Orinoco discharges and their relative contributions to the overall river discharge.</w:t>
      </w:r>
    </w:p>
    <w:p w:rsidR="00537382" w:rsidRDefault="00E05A0A">
      <w:pPr>
        <w:ind w:firstLine="0"/>
      </w:pPr>
      <w:r>
        <w:rPr>
          <w:b/>
        </w:rPr>
        <w:t>Fig. S2</w:t>
      </w:r>
      <w:r>
        <w:t xml:space="preserve"> shows climat</w:t>
      </w:r>
      <w:r>
        <w:t>ological monthly mean plume SSS from the merged satellite data and SODA datasets. Based on this figure, we define the dry and flood seasons to be January - March and July - September respectively.</w:t>
      </w:r>
    </w:p>
    <w:p w:rsidR="00537382" w:rsidRDefault="00E05A0A">
      <w:pPr>
        <w:ind w:firstLine="0"/>
      </w:pPr>
      <w:r>
        <w:rPr>
          <w:b/>
        </w:rPr>
        <w:t>Fig. S3</w:t>
      </w:r>
      <w:r>
        <w:t xml:space="preserve"> shows the </w:t>
      </w:r>
      <w:proofErr w:type="spellStart"/>
      <w:r>
        <w:t>interannual</w:t>
      </w:r>
      <w:proofErr w:type="spellEnd"/>
      <w:r>
        <w:t xml:space="preserve"> variability of SSS in the non</w:t>
      </w:r>
      <w:r>
        <w:t>-plume region defined in Fig. 1.</w:t>
      </w:r>
    </w:p>
    <w:p w:rsidR="00537382" w:rsidRDefault="00E05A0A">
      <w:pPr>
        <w:ind w:firstLine="0"/>
      </w:pPr>
      <w:r>
        <w:rPr>
          <w:b/>
        </w:rPr>
        <w:t>Fig. S4</w:t>
      </w:r>
      <w:r>
        <w:t xml:space="preserve"> shows the sensitivity analysis of plume SSS under impacts of different </w:t>
      </w:r>
      <w:proofErr w:type="spellStart"/>
      <w:r>
        <w:t>forcings</w:t>
      </w:r>
      <w:proofErr w:type="spellEnd"/>
      <w:r>
        <w:t xml:space="preserve"> over the 2004-2017 period.</w:t>
      </w:r>
    </w:p>
    <w:p w:rsidR="00537382" w:rsidRDefault="00E05A0A">
      <w:pPr>
        <w:ind w:firstLine="0"/>
      </w:pPr>
      <w:r>
        <w:rPr>
          <w:b/>
        </w:rPr>
        <w:t>Fig. S5</w:t>
      </w:r>
      <w:r>
        <w:t xml:space="preserve"> shows the evolution of plume SSS anomalies under impacts of different </w:t>
      </w:r>
      <w:proofErr w:type="spellStart"/>
      <w:r>
        <w:t>forcings</w:t>
      </w:r>
      <w:proofErr w:type="spellEnd"/>
      <w:r>
        <w:t xml:space="preserve"> for 2011 and 2015, wh</w:t>
      </w:r>
      <w:r>
        <w:t>ich are the years of lowest and highest mean plume SSS anomaly respectively.</w:t>
      </w:r>
    </w:p>
    <w:p w:rsidR="00537382" w:rsidRDefault="00E05A0A">
      <w:pPr>
        <w:ind w:firstLine="0"/>
      </w:pPr>
      <w:r>
        <w:rPr>
          <w:b/>
        </w:rPr>
        <w:t>Fig. S6</w:t>
      </w:r>
      <w:r>
        <w:t xml:space="preserve"> is similar to Fig. 8 in the main text. It helps locate the most crucial region of advection along the plume boundaries in terms of seasonal variability.</w:t>
      </w:r>
    </w:p>
    <w:p w:rsidR="00537382" w:rsidRDefault="00E05A0A">
      <w:pPr>
        <w:ind w:firstLine="0"/>
      </w:pPr>
      <w:r>
        <w:rPr>
          <w:b/>
        </w:rPr>
        <w:t>Fig. S7</w:t>
      </w:r>
      <w:r>
        <w:t xml:space="preserve"> illustrate</w:t>
      </w:r>
      <w:r>
        <w:t xml:space="preserve">s the relationship between the NAO and different </w:t>
      </w:r>
      <w:proofErr w:type="spellStart"/>
      <w:r>
        <w:t>forcings</w:t>
      </w:r>
      <w:proofErr w:type="spellEnd"/>
      <w:r>
        <w:t xml:space="preserve"> in the flood season in the North Atlantic. The flood season is the most influential time of the NAO </w:t>
      </w:r>
      <w:proofErr w:type="spellStart"/>
      <w:r>
        <w:t>inthe</w:t>
      </w:r>
      <w:proofErr w:type="spellEnd"/>
      <w:r>
        <w:t xml:space="preserve"> plume region.</w:t>
      </w:r>
    </w:p>
    <w:p w:rsidR="00537382" w:rsidRDefault="00E05A0A">
      <w:pPr>
        <w:ind w:firstLine="0"/>
      </w:pPr>
      <w:r>
        <w:rPr>
          <w:b/>
        </w:rPr>
        <w:t>Fig. S8</w:t>
      </w:r>
      <w:r>
        <w:t xml:space="preserve"> illustrates the relationships between ENSO and different </w:t>
      </w:r>
      <w:proofErr w:type="spellStart"/>
      <w:r>
        <w:t>forcings</w:t>
      </w:r>
      <w:proofErr w:type="spellEnd"/>
      <w:r>
        <w:t xml:space="preserve"> in t</w:t>
      </w:r>
      <w:r>
        <w:t>he dry season in the North Atlantic. The dry season is the most influential time of ENSO in the plume region.</w:t>
      </w:r>
    </w:p>
    <w:p w:rsidR="00537382" w:rsidRDefault="00E05A0A">
      <w:pPr>
        <w:ind w:firstLine="0"/>
      </w:pPr>
      <w:r>
        <w:rPr>
          <w:b/>
        </w:rPr>
        <w:t>Fig. S9</w:t>
      </w:r>
      <w:r>
        <w:t xml:space="preserve"> shows the relationships between plume size (area of SSS &lt; 35.5) and plume regional mean SSS in both the merged satellite and SODA datasets</w:t>
      </w:r>
      <w:r>
        <w:t>.</w:t>
      </w:r>
    </w:p>
    <w:p w:rsidR="00537382" w:rsidRDefault="00E05A0A">
      <w:pPr>
        <w:ind w:firstLine="0"/>
      </w:pPr>
      <w:r>
        <w:rPr>
          <w:b/>
        </w:rPr>
        <w:t>Fig. S10</w:t>
      </w:r>
      <w:r>
        <w:t xml:space="preserve"> shows the relationships between plume size (area of SSS &lt; 35.5) and river discharge.</w:t>
      </w:r>
    </w:p>
    <w:p w:rsidR="00537382" w:rsidRDefault="00537382">
      <w:pPr>
        <w:ind w:firstLine="0"/>
      </w:pPr>
    </w:p>
    <w:p w:rsidR="00537382" w:rsidRDefault="00537382">
      <w:pPr>
        <w:widowControl w:val="0"/>
        <w:spacing w:before="0" w:line="240" w:lineRule="auto"/>
        <w:jc w:val="left"/>
        <w:rPr>
          <w:rFonts w:ascii="PT Sans" w:eastAsia="PT Sans" w:hAnsi="PT Sans" w:cs="PT Sans"/>
          <w:b/>
        </w:rPr>
      </w:pPr>
    </w:p>
    <w:p w:rsidR="00537382" w:rsidRDefault="00537382">
      <w:pPr>
        <w:widowControl w:val="0"/>
        <w:spacing w:before="0" w:line="240" w:lineRule="auto"/>
        <w:jc w:val="left"/>
        <w:rPr>
          <w:rFonts w:ascii="PT Sans" w:eastAsia="PT Sans" w:hAnsi="PT Sans" w:cs="PT Sans"/>
        </w:rPr>
      </w:pPr>
    </w:p>
    <w:p w:rsidR="00537382" w:rsidRDefault="00E05A0A">
      <w:pPr>
        <w:widowControl w:val="0"/>
        <w:spacing w:before="0" w:line="240" w:lineRule="auto"/>
        <w:jc w:val="left"/>
        <w:rPr>
          <w:rFonts w:ascii="Liberation Serif" w:eastAsia="Liberation Serif" w:hAnsi="Liberation Serif" w:cs="Liberation Serif"/>
        </w:rPr>
      </w:pPr>
      <w:r>
        <w:rPr>
          <w:rFonts w:ascii="Liberation Serif" w:eastAsia="Liberation Serif" w:hAnsi="Liberation Serif" w:cs="Liberation Serif"/>
        </w:rPr>
        <w:tab/>
        <w:t xml:space="preserve"> </w:t>
      </w:r>
      <w:r>
        <w:rPr>
          <w:rFonts w:ascii="Liberation Serif" w:eastAsia="Liberation Serif" w:hAnsi="Liberation Serif" w:cs="Liberation Serif"/>
        </w:rPr>
        <w:tab/>
        <w:t xml:space="preserve"> </w:t>
      </w:r>
    </w:p>
    <w:p w:rsidR="00537382" w:rsidRDefault="00537382">
      <w:pPr>
        <w:spacing w:line="576" w:lineRule="auto"/>
        <w:ind w:firstLine="0"/>
        <w:jc w:val="left"/>
        <w:rPr>
          <w:sz w:val="24"/>
          <w:szCs w:val="24"/>
        </w:rPr>
      </w:pPr>
    </w:p>
    <w:p w:rsidR="00537382" w:rsidRDefault="00537382">
      <w:pPr>
        <w:spacing w:line="576" w:lineRule="auto"/>
        <w:ind w:firstLine="640"/>
        <w:jc w:val="center"/>
      </w:pPr>
    </w:p>
    <w:p w:rsidR="00537382" w:rsidRDefault="00E05A0A">
      <w:pPr>
        <w:ind w:firstLine="0"/>
        <w:jc w:val="left"/>
      </w:pPr>
      <w:r>
        <w:rPr>
          <w:noProof/>
          <w:lang w:val="en-US"/>
        </w:rPr>
        <w:drawing>
          <wp:inline distT="114300" distB="114300" distL="114300" distR="114300">
            <wp:extent cx="5943600" cy="3340100"/>
            <wp:effectExtent l="0" t="0" r="0" b="0"/>
            <wp:docPr id="8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37382" w:rsidRDefault="00E05A0A">
      <w:pPr>
        <w:ind w:firstLine="0"/>
        <w:jc w:val="left"/>
      </w:pPr>
      <w:r>
        <w:rPr>
          <w:b/>
        </w:rPr>
        <w:t xml:space="preserve">Figure S1. </w:t>
      </w:r>
      <w:r>
        <w:t>Climatological river flow computed over the period 2003-2019 from the HYBAM dataset.</w:t>
      </w:r>
    </w:p>
    <w:p w:rsidR="00537382" w:rsidRDefault="00E05A0A">
      <w:pPr>
        <w:ind w:firstLine="0"/>
        <w:jc w:val="center"/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6083300"/>
            <wp:effectExtent l="0" t="0" r="0" b="0"/>
            <wp:docPr id="7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8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37382" w:rsidRDefault="00E05A0A">
      <w:pPr>
        <w:ind w:firstLine="0"/>
        <w:jc w:val="left"/>
      </w:pPr>
      <w:r>
        <w:rPr>
          <w:b/>
        </w:rPr>
        <w:t xml:space="preserve">Figure S2. </w:t>
      </w:r>
      <w:r>
        <w:t>Seasonal variability of SSS in the plume region (a, 70</w:t>
      </w:r>
      <w:r>
        <w:rPr>
          <w:vertAlign w:val="superscript"/>
        </w:rPr>
        <w:t xml:space="preserve"> </w:t>
      </w:r>
      <w:r>
        <w:t>- 42</w:t>
      </w:r>
      <w:r>
        <w:rPr>
          <w:vertAlign w:val="superscript"/>
        </w:rPr>
        <w:t xml:space="preserve">o </w:t>
      </w:r>
      <w:r>
        <w:t xml:space="preserve">W; 0 - 23 </w:t>
      </w:r>
      <w:proofErr w:type="spellStart"/>
      <w:r>
        <w:rPr>
          <w:vertAlign w:val="superscript"/>
        </w:rPr>
        <w:t>o</w:t>
      </w:r>
      <w:r>
        <w:t>N</w:t>
      </w:r>
      <w:proofErr w:type="spellEnd"/>
      <w:r>
        <w:t>), and the non-plume region (b, 40 - 21</w:t>
      </w:r>
      <w:r>
        <w:rPr>
          <w:vertAlign w:val="superscript"/>
        </w:rPr>
        <w:t>o</w:t>
      </w:r>
      <w:r>
        <w:t xml:space="preserve"> W; 18 - 34</w:t>
      </w:r>
      <w:r>
        <w:rPr>
          <w:vertAlign w:val="superscript"/>
        </w:rPr>
        <w:t xml:space="preserve">o </w:t>
      </w:r>
      <w:r>
        <w:t>N) (b). See Fig.1 in the main manuscript for location of these regions.</w:t>
      </w:r>
    </w:p>
    <w:p w:rsidR="00537382" w:rsidRDefault="00537382">
      <w:pPr>
        <w:ind w:firstLine="0"/>
        <w:jc w:val="left"/>
      </w:pPr>
    </w:p>
    <w:p w:rsidR="00537382" w:rsidRDefault="00E05A0A">
      <w:pPr>
        <w:ind w:firstLine="0"/>
        <w:jc w:val="left"/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5778500"/>
            <wp:effectExtent l="0" t="0" r="0" b="0"/>
            <wp:docPr id="8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37382" w:rsidRDefault="00E05A0A">
      <w:pPr>
        <w:ind w:firstLine="0"/>
        <w:jc w:val="left"/>
      </w:pPr>
      <w:r>
        <w:rPr>
          <w:b/>
        </w:rPr>
        <w:t xml:space="preserve">Fig S3. </w:t>
      </w:r>
      <w:proofErr w:type="spellStart"/>
      <w:r>
        <w:t>Interannual</w:t>
      </w:r>
      <w:proofErr w:type="spellEnd"/>
      <w:r>
        <w:t xml:space="preserve"> variability of SSS in the non-plume region northeast of the plume (40 - 21</w:t>
      </w:r>
      <w:r>
        <w:rPr>
          <w:vertAlign w:val="superscript"/>
        </w:rPr>
        <w:t>o</w:t>
      </w:r>
      <w:r>
        <w:t xml:space="preserve"> W; 18 - 34</w:t>
      </w:r>
      <w:r>
        <w:rPr>
          <w:vertAlign w:val="superscript"/>
        </w:rPr>
        <w:t xml:space="preserve">o </w:t>
      </w:r>
      <w:r>
        <w:t>N).</w:t>
      </w:r>
    </w:p>
    <w:p w:rsidR="00537382" w:rsidRDefault="00E05A0A">
      <w:pPr>
        <w:ind w:firstLine="0"/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4660900"/>
            <wp:effectExtent l="0" t="0" r="0" b="0"/>
            <wp:docPr id="8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37382" w:rsidRDefault="00E05A0A">
      <w:pPr>
        <w:ind w:firstLine="0"/>
        <w:jc w:val="left"/>
      </w:pPr>
      <w:r>
        <w:rPr>
          <w:b/>
        </w:rPr>
        <w:t xml:space="preserve">Figure S4. </w:t>
      </w:r>
      <w:r>
        <w:t xml:space="preserve">Spatial mean SSS of the Amazon-Orinoco plume under impacts of different </w:t>
      </w:r>
      <w:proofErr w:type="spellStart"/>
      <w:r>
        <w:t>forcings</w:t>
      </w:r>
      <w:proofErr w:type="spellEnd"/>
      <w:r>
        <w:t xml:space="preserve">: evaporation (E), river (R), precipitation (P), advection </w:t>
      </w:r>
      <w:r>
        <w:t>(ADV), and vertical mixing. The black line represents the actual plume SSS from SODA reanalysis.</w:t>
      </w:r>
    </w:p>
    <w:p w:rsidR="00537382" w:rsidRDefault="00537382">
      <w:pPr>
        <w:ind w:firstLine="0"/>
        <w:jc w:val="left"/>
      </w:pPr>
    </w:p>
    <w:p w:rsidR="00537382" w:rsidRDefault="00E05A0A">
      <w:pPr>
        <w:ind w:firstLine="0"/>
        <w:jc w:val="left"/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4318000"/>
            <wp:effectExtent l="0" t="0" r="0" b="0"/>
            <wp:docPr id="8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1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37382" w:rsidRDefault="00E05A0A">
      <w:pPr>
        <w:ind w:firstLine="0"/>
        <w:jc w:val="left"/>
      </w:pPr>
      <w:r>
        <w:rPr>
          <w:b/>
        </w:rPr>
        <w:t xml:space="preserve">Figure S5. </w:t>
      </w:r>
      <w:r>
        <w:t xml:space="preserve">Spatial mean plume SSS anomalies due to different </w:t>
      </w:r>
      <w:proofErr w:type="spellStart"/>
      <w:r>
        <w:t>forcings</w:t>
      </w:r>
      <w:proofErr w:type="spellEnd"/>
      <w:r>
        <w:t xml:space="preserve"> (a-e) and from SODA and observations (f) for the year 2010 (blue lines) and 2016 (red </w:t>
      </w:r>
      <w:r>
        <w:t xml:space="preserve">lines). </w:t>
      </w:r>
    </w:p>
    <w:p w:rsidR="00537382" w:rsidRDefault="00537382">
      <w:pPr>
        <w:ind w:firstLine="0"/>
        <w:jc w:val="left"/>
      </w:pPr>
    </w:p>
    <w:p w:rsidR="00537382" w:rsidRDefault="00537382">
      <w:pPr>
        <w:ind w:firstLine="0"/>
        <w:jc w:val="left"/>
      </w:pPr>
    </w:p>
    <w:p w:rsidR="00537382" w:rsidRDefault="00537382">
      <w:pPr>
        <w:ind w:firstLine="0"/>
        <w:jc w:val="left"/>
      </w:pPr>
    </w:p>
    <w:p w:rsidR="00537382" w:rsidRDefault="00537382">
      <w:pPr>
        <w:ind w:firstLine="0"/>
        <w:jc w:val="left"/>
      </w:pPr>
    </w:p>
    <w:p w:rsidR="00537382" w:rsidRDefault="00537382">
      <w:pPr>
        <w:ind w:firstLine="0"/>
        <w:jc w:val="left"/>
      </w:pPr>
    </w:p>
    <w:p w:rsidR="00537382" w:rsidRDefault="00E05A0A">
      <w:pPr>
        <w:ind w:firstLine="0"/>
        <w:jc w:val="left"/>
      </w:pPr>
      <w:r>
        <w:rPr>
          <w:noProof/>
          <w:lang w:val="en-US"/>
        </w:rPr>
        <w:lastRenderedPageBreak/>
        <w:drawing>
          <wp:inline distT="114300" distB="114300" distL="114300" distR="114300">
            <wp:extent cx="4395788" cy="6452791"/>
            <wp:effectExtent l="0" t="0" r="0" b="0"/>
            <wp:docPr id="8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5788" cy="64527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37382" w:rsidRDefault="00E05A0A">
      <w:pPr>
        <w:ind w:firstLine="0"/>
      </w:pPr>
      <w:r>
        <w:rPr>
          <w:b/>
        </w:rPr>
        <w:t>Figure S6 (a)</w:t>
      </w:r>
      <w:r>
        <w:t xml:space="preserve"> Climatological variability of the integrated salinity flux (positive inward) along different boundaries of the plume region (black dashed rectangle) and associated net salinity flux, computed over the 2004-2017 period. </w:t>
      </w:r>
      <w:r>
        <w:rPr>
          <w:b/>
        </w:rPr>
        <w:t>(b)</w:t>
      </w:r>
      <w:r>
        <w:t xml:space="preserve"> Map</w:t>
      </w:r>
      <w:r>
        <w:t xml:space="preserve"> of correlation between the net salinity flux anomalies and zonal current anomalies. Dotted regions infer significant correlation at &gt; 90%. </w:t>
      </w:r>
      <w:r>
        <w:rPr>
          <w:b/>
        </w:rPr>
        <w:t>(c)</w:t>
      </w:r>
      <w:r>
        <w:t xml:space="preserve"> </w:t>
      </w:r>
      <w:r>
        <w:lastRenderedPageBreak/>
        <w:t>Standard deviation of climatological monthly salinity flux along the eastern boundary of the plume region.</w:t>
      </w:r>
    </w:p>
    <w:p w:rsidR="00537382" w:rsidRDefault="00E05A0A">
      <w:pPr>
        <w:ind w:firstLine="0"/>
      </w:pPr>
      <w:r>
        <w:rPr>
          <w:noProof/>
          <w:lang w:val="en-US"/>
        </w:rPr>
        <w:drawing>
          <wp:inline distT="114300" distB="114300" distL="114300" distR="114300">
            <wp:extent cx="5943600" cy="3975100"/>
            <wp:effectExtent l="0" t="0" r="0" b="0"/>
            <wp:docPr id="8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37382" w:rsidRDefault="00E05A0A">
      <w:pPr>
        <w:ind w:firstLine="0"/>
      </w:pPr>
      <w:r>
        <w:rPr>
          <w:b/>
        </w:rPr>
        <w:t>Fig</w:t>
      </w:r>
      <w:r>
        <w:rPr>
          <w:b/>
        </w:rPr>
        <w:t xml:space="preserve">ure S7. </w:t>
      </w:r>
      <w:r>
        <w:t xml:space="preserve">Correlation between winter (Nov-Jan) mean NAO index and mean </w:t>
      </w:r>
      <w:proofErr w:type="spellStart"/>
      <w:r>
        <w:t>forcings</w:t>
      </w:r>
      <w:proofErr w:type="spellEnd"/>
      <w:r>
        <w:t xml:space="preserve"> in the flood season from Jul-Sep. Black dots represent regions of highly significant correlation (&gt; 95%).</w:t>
      </w:r>
    </w:p>
    <w:p w:rsidR="00537382" w:rsidRDefault="00537382">
      <w:pPr>
        <w:ind w:firstLine="0"/>
        <w:rPr>
          <w:b/>
        </w:rPr>
      </w:pPr>
    </w:p>
    <w:p w:rsidR="00537382" w:rsidRDefault="00E05A0A">
      <w:pPr>
        <w:ind w:firstLine="0"/>
      </w:pPr>
      <w:r>
        <w:rPr>
          <w:b/>
          <w:noProof/>
          <w:lang w:val="en-US"/>
        </w:rPr>
        <w:lastRenderedPageBreak/>
        <w:drawing>
          <wp:inline distT="114300" distB="114300" distL="114300" distR="114300">
            <wp:extent cx="5943600" cy="3898900"/>
            <wp:effectExtent l="0" t="0" r="0" b="0"/>
            <wp:docPr id="8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37382" w:rsidRDefault="00E05A0A">
      <w:pPr>
        <w:ind w:firstLine="0"/>
      </w:pPr>
      <w:r>
        <w:rPr>
          <w:b/>
        </w:rPr>
        <w:t>Figure S8.</w:t>
      </w:r>
      <w:r>
        <w:t xml:space="preserve"> Correlation between winter (Nov-Jan) mean ONI index and me</w:t>
      </w:r>
      <w:r>
        <w:t xml:space="preserve">an </w:t>
      </w:r>
      <w:proofErr w:type="spellStart"/>
      <w:r>
        <w:t>forcings</w:t>
      </w:r>
      <w:proofErr w:type="spellEnd"/>
      <w:r>
        <w:t xml:space="preserve"> in the flood season (Jul-Sep). Black dots represent regions of highly significant correlation (&gt; 95%).</w:t>
      </w:r>
    </w:p>
    <w:p w:rsidR="00537382" w:rsidRDefault="00537382">
      <w:pPr>
        <w:ind w:firstLine="0"/>
        <w:rPr>
          <w:b/>
        </w:rPr>
      </w:pPr>
    </w:p>
    <w:p w:rsidR="00537382" w:rsidRDefault="00E05A0A">
      <w:pPr>
        <w:ind w:firstLine="0"/>
      </w:pPr>
      <w:r>
        <w:rPr>
          <w:b/>
          <w:noProof/>
          <w:lang w:val="en-US"/>
        </w:rPr>
        <w:lastRenderedPageBreak/>
        <w:drawing>
          <wp:inline distT="114300" distB="114300" distL="114300" distR="114300">
            <wp:extent cx="5943600" cy="4978400"/>
            <wp:effectExtent l="0" t="0" r="0" b="0"/>
            <wp:docPr id="8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37382" w:rsidRDefault="00E05A0A">
      <w:pPr>
        <w:ind w:firstLine="0"/>
        <w:rPr>
          <w:b/>
        </w:rPr>
      </w:pPr>
      <w:r>
        <w:rPr>
          <w:b/>
        </w:rPr>
        <w:t>Figure S9.</w:t>
      </w:r>
      <w:r>
        <w:t xml:space="preserve"> Seasonal </w:t>
      </w:r>
      <w:r>
        <w:rPr>
          <w:b/>
        </w:rPr>
        <w:t>(a)</w:t>
      </w:r>
      <w:r>
        <w:t xml:space="preserve"> and </w:t>
      </w:r>
      <w:proofErr w:type="spellStart"/>
      <w:r>
        <w:t>interannual</w:t>
      </w:r>
      <w:proofErr w:type="spellEnd"/>
      <w:r>
        <w:t xml:space="preserve"> </w:t>
      </w:r>
      <w:r>
        <w:rPr>
          <w:b/>
        </w:rPr>
        <w:t>(b)</w:t>
      </w:r>
      <w:r>
        <w:t xml:space="preserve"> variability of plume size and plume region mean SSS from satellite observation and SODA. Plume</w:t>
      </w:r>
      <w:r>
        <w:t xml:space="preserve"> size is computed as the total area of SSS &lt; 35.5 </w:t>
      </w:r>
      <w:proofErr w:type="spellStart"/>
      <w:r>
        <w:t>psu</w:t>
      </w:r>
      <w:proofErr w:type="spellEnd"/>
      <w:r>
        <w:t xml:space="preserve"> within the plume region (see Fig. 1 in the main text). The climatological periods are 2010-2020 and 2004-2017 for observed and SODA SSS respectively.</w:t>
      </w:r>
    </w:p>
    <w:p w:rsidR="00537382" w:rsidRDefault="00E05A0A">
      <w:pPr>
        <w:ind w:firstLine="0"/>
      </w:pPr>
      <w:r>
        <w:rPr>
          <w:b/>
          <w:noProof/>
          <w:lang w:val="en-US"/>
        </w:rPr>
        <w:lastRenderedPageBreak/>
        <w:drawing>
          <wp:inline distT="114300" distB="114300" distL="114300" distR="114300">
            <wp:extent cx="5943600" cy="5664200"/>
            <wp:effectExtent l="0" t="0" r="0" b="0"/>
            <wp:docPr id="8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6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37382" w:rsidRDefault="00E05A0A">
      <w:pPr>
        <w:ind w:firstLine="0"/>
        <w:rPr>
          <w:b/>
        </w:rPr>
      </w:pPr>
      <w:r>
        <w:rPr>
          <w:b/>
        </w:rPr>
        <w:t xml:space="preserve">Figure S10. </w:t>
      </w:r>
      <w:r>
        <w:t xml:space="preserve">Climatological </w:t>
      </w:r>
      <w:r>
        <w:rPr>
          <w:b/>
        </w:rPr>
        <w:t>(a)</w:t>
      </w:r>
      <w:r>
        <w:t xml:space="preserve"> and </w:t>
      </w:r>
      <w:proofErr w:type="spellStart"/>
      <w:r>
        <w:t>interannual</w:t>
      </w:r>
      <w:proofErr w:type="spellEnd"/>
      <w:r>
        <w:t xml:space="preserve"> </w:t>
      </w:r>
      <w:r>
        <w:rPr>
          <w:b/>
        </w:rPr>
        <w:t>(b)</w:t>
      </w:r>
      <w:r>
        <w:t xml:space="preserve"> variability of river discharge and plume size from satellite observation and SODA. Plume size is computed as the total area of SSS &lt; 35.5 </w:t>
      </w:r>
      <w:proofErr w:type="spellStart"/>
      <w:r>
        <w:t>psu</w:t>
      </w:r>
      <w:proofErr w:type="spellEnd"/>
      <w:r>
        <w:t xml:space="preserve"> within the plume region (see Fig. 1 in the main text). The climatological periods are 2010-2020, 2004-2017, 2004-</w:t>
      </w:r>
      <w:r>
        <w:t>2019 for observed plume size, SODA plume size and river discharge respectively.</w:t>
      </w:r>
    </w:p>
    <w:sectPr w:rsidR="0053738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PT San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13B67"/>
    <w:multiLevelType w:val="multilevel"/>
    <w:tmpl w:val="1E46BF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382"/>
    <w:rsid w:val="00537382"/>
    <w:rsid w:val="00806CB0"/>
    <w:rsid w:val="00E05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8EEF4C-A14B-4811-8F6B-744487A09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A"/>
        <w:sz w:val="22"/>
        <w:szCs w:val="22"/>
        <w:lang w:val="en" w:eastAsia="en-US" w:bidi="ar-SA"/>
      </w:rPr>
    </w:rPrDefault>
    <w:pPrDefault>
      <w:pPr>
        <w:spacing w:before="200" w:line="480" w:lineRule="auto"/>
        <w:ind w:firstLine="63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ind w:firstLine="0"/>
      <w:jc w:val="left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240" w:after="240"/>
      <w:outlineLvl w:val="2"/>
    </w:pPr>
    <w:rPr>
      <w:color w:val="9900FF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jc w:val="center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before="0"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B0yddpdi6W61tN5ahG+4kGoW1JA==">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705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Keith Locantore</dc:creator>
  <cp:lastModifiedBy>Keith Locantore</cp:lastModifiedBy>
  <cp:revision>2</cp:revision>
  <dcterms:created xsi:type="dcterms:W3CDTF">2022-05-02T21:13:00Z</dcterms:created>
  <dcterms:modified xsi:type="dcterms:W3CDTF">2022-05-02T21:13:00Z</dcterms:modified>
</cp:coreProperties>
</file>