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3F6" w:rsidRPr="005C7F51" w:rsidRDefault="005C7F51">
      <w:pPr>
        <w:rPr>
          <w:rFonts w:ascii="Times New Roman" w:hAnsi="Times New Roman" w:cs="Times New Roman"/>
        </w:rPr>
      </w:pPr>
      <w:r w:rsidRPr="00C92BE6">
        <w:rPr>
          <w:rFonts w:ascii="Times New Roman" w:hAnsi="Times New Roman" w:cs="Times New Roman"/>
          <w:color w:val="000000" w:themeColor="text1"/>
        </w:rPr>
        <w:t xml:space="preserve">Appendix </w:t>
      </w:r>
      <w:r w:rsidR="006709CB">
        <w:rPr>
          <w:rFonts w:ascii="Times New Roman" w:hAnsi="Times New Roman" w:cs="Times New Roman"/>
          <w:color w:val="000000" w:themeColor="text1"/>
        </w:rPr>
        <w:t>B</w:t>
      </w:r>
      <w:r w:rsidRPr="00C92BE6">
        <w:rPr>
          <w:rFonts w:ascii="Times New Roman" w:hAnsi="Times New Roman" w:cs="Times New Roman"/>
          <w:color w:val="000000" w:themeColor="text1"/>
        </w:rPr>
        <w:t xml:space="preserve">: </w:t>
      </w:r>
      <w:r w:rsidR="0017133C" w:rsidRPr="00C92BE6">
        <w:rPr>
          <w:rFonts w:ascii="Times New Roman" w:hAnsi="Times New Roman" w:cs="Times New Roman"/>
          <w:color w:val="000000" w:themeColor="text1"/>
        </w:rPr>
        <w:t>Indictive and Deductive Coding Categories</w:t>
      </w:r>
      <w:r w:rsidR="0017133C" w:rsidRPr="0017133C">
        <w:rPr>
          <w:rFonts w:ascii="Times New Roman" w:hAnsi="Times New Roman" w:cs="Times New Roman"/>
          <w:color w:val="000000" w:themeColor="text1"/>
        </w:rPr>
        <w:t xml:space="preserve"> </w:t>
      </w:r>
    </w:p>
    <w:p w:rsidR="005C7F51" w:rsidRPr="005C7F51" w:rsidRDefault="005C7F51" w:rsidP="005C7F51">
      <w:pPr>
        <w:spacing w:line="259" w:lineRule="auto"/>
        <w:ind w:left="845"/>
        <w:rPr>
          <w:rFonts w:ascii="Times New Roman" w:eastAsia="Times New Roman" w:hAnsi="Times New Roman" w:cs="Times New Roman"/>
          <w:color w:val="000000"/>
        </w:rPr>
      </w:pPr>
    </w:p>
    <w:tbl>
      <w:tblPr>
        <w:tblStyle w:val="TableGrid"/>
        <w:tblW w:w="9348" w:type="dxa"/>
        <w:tblInd w:w="-5" w:type="dxa"/>
        <w:tblCellMar>
          <w:top w:w="11" w:type="dxa"/>
          <w:left w:w="108" w:type="dxa"/>
          <w:bottom w:w="0" w:type="dxa"/>
          <w:right w:w="115" w:type="dxa"/>
        </w:tblCellMar>
        <w:tblLook w:val="04A0" w:firstRow="1" w:lastRow="0" w:firstColumn="1" w:lastColumn="0" w:noHBand="0" w:noVBand="1"/>
      </w:tblPr>
      <w:tblGrid>
        <w:gridCol w:w="2694"/>
        <w:gridCol w:w="6654"/>
      </w:tblGrid>
      <w:tr w:rsidR="005C7F51" w:rsidRPr="005C7F51" w:rsidTr="005C7F51">
        <w:trPr>
          <w:trHeight w:val="287"/>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b/>
                <w:color w:val="000000"/>
              </w:rPr>
              <w:t xml:space="preserve">Coding Categories </w:t>
            </w:r>
          </w:p>
        </w:tc>
        <w:tc>
          <w:tcPr>
            <w:tcW w:w="665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b/>
                <w:color w:val="000000"/>
              </w:rPr>
              <w:t xml:space="preserve">Descriptions </w:t>
            </w:r>
          </w:p>
        </w:tc>
      </w:tr>
      <w:tr w:rsidR="005C7F51" w:rsidRPr="005C7F51" w:rsidTr="005C7F51">
        <w:trPr>
          <w:trHeight w:val="643"/>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after="16"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Definition </w:t>
            </w:r>
          </w:p>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color w:val="000000"/>
              </w:rPr>
              <w:t xml:space="preserve">Descriptions of EBFM and co-management in the article </w:t>
            </w:r>
          </w:p>
        </w:tc>
      </w:tr>
      <w:tr w:rsidR="005C7F51" w:rsidRPr="005C7F51" w:rsidTr="005C7F51">
        <w:trPr>
          <w:trHeight w:val="643"/>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after="16"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Driver </w:t>
            </w:r>
          </w:p>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color w:val="000000"/>
              </w:rPr>
              <w:t xml:space="preserve">Motivations for initiating the management approach  </w:t>
            </w:r>
          </w:p>
        </w:tc>
      </w:tr>
      <w:tr w:rsidR="005C7F51" w:rsidRPr="005C7F51" w:rsidTr="005C7F51">
        <w:trPr>
          <w:trHeight w:val="646"/>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after="16"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Attribute </w:t>
            </w:r>
          </w:p>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color w:val="000000"/>
              </w:rPr>
              <w:t xml:space="preserve">Characteristics of the management approach </w:t>
            </w:r>
          </w:p>
        </w:tc>
      </w:tr>
      <w:tr w:rsidR="005C7F51" w:rsidRPr="005C7F51" w:rsidTr="005C7F51">
        <w:trPr>
          <w:trHeight w:val="328"/>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365D11" w:rsidP="005C7F51">
            <w:pPr>
              <w:spacing w:line="259" w:lineRule="auto"/>
              <w:ind w:left="1"/>
              <w:rPr>
                <w:rFonts w:ascii="Times New Roman" w:hAnsi="Times New Roman" w:cs="Times New Roman"/>
                <w:color w:val="000000"/>
              </w:rPr>
            </w:pPr>
            <w:r>
              <w:rPr>
                <w:rFonts w:ascii="Times New Roman" w:hAnsi="Times New Roman" w:cs="Times New Roman"/>
                <w:i/>
                <w:color w:val="000000"/>
              </w:rPr>
              <w:t xml:space="preserve">Desired </w:t>
            </w:r>
            <w:r w:rsidR="005C7F51" w:rsidRPr="005C7F51">
              <w:rPr>
                <w:rFonts w:ascii="Times New Roman" w:hAnsi="Times New Roman" w:cs="Times New Roman"/>
                <w:i/>
                <w:color w:val="000000"/>
              </w:rPr>
              <w:t>Outcome</w:t>
            </w:r>
            <w:r>
              <w:rPr>
                <w:rFonts w:ascii="Times New Roman" w:hAnsi="Times New Roman" w:cs="Times New Roman"/>
                <w:i/>
                <w:color w:val="000000"/>
              </w:rPr>
              <w:t>s</w:t>
            </w:r>
            <w:r w:rsidR="005C7F51" w:rsidRPr="005C7F51">
              <w:rPr>
                <w:rFonts w:ascii="Times New Roman" w:hAnsi="Times New Roman" w:cs="Times New Roman"/>
                <w:i/>
                <w:color w:val="000000"/>
              </w:rPr>
              <w:t xml:space="preserve">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color w:val="000000"/>
              </w:rPr>
              <w:t xml:space="preserve">Goals that the management approach seek to accomplish </w:t>
            </w:r>
          </w:p>
        </w:tc>
      </w:tr>
    </w:tbl>
    <w:p w:rsidR="005C7F51" w:rsidRPr="005C7F51" w:rsidRDefault="005C7F51" w:rsidP="005C7F51">
      <w:pPr>
        <w:spacing w:after="3" w:line="248" w:lineRule="auto"/>
        <w:ind w:right="953"/>
        <w:rPr>
          <w:rFonts w:ascii="Times New Roman" w:eastAsia="Times New Roman" w:hAnsi="Times New Roman" w:cs="Times New Roman"/>
          <w:color w:val="000000"/>
        </w:rPr>
      </w:pPr>
      <w:r w:rsidRPr="005C7F51">
        <w:rPr>
          <w:rFonts w:ascii="Times New Roman" w:eastAsia="Times New Roman" w:hAnsi="Times New Roman" w:cs="Times New Roman"/>
          <w:color w:val="000000"/>
        </w:rPr>
        <w:t xml:space="preserve">Predetermined coding categories and descriptions from deductive approach to content analysis. </w:t>
      </w:r>
    </w:p>
    <w:p w:rsidR="005C7F51" w:rsidRDefault="005C7F51"/>
    <w:p w:rsidR="005C7F51" w:rsidRDefault="005C7F51"/>
    <w:tbl>
      <w:tblPr>
        <w:tblStyle w:val="TableGrid1"/>
        <w:tblW w:w="9348" w:type="dxa"/>
        <w:tblInd w:w="-5" w:type="dxa"/>
        <w:tblCellMar>
          <w:top w:w="11" w:type="dxa"/>
          <w:left w:w="108" w:type="dxa"/>
          <w:bottom w:w="0" w:type="dxa"/>
          <w:right w:w="188" w:type="dxa"/>
        </w:tblCellMar>
        <w:tblLook w:val="04A0" w:firstRow="1" w:lastRow="0" w:firstColumn="1" w:lastColumn="0" w:noHBand="0" w:noVBand="1"/>
      </w:tblPr>
      <w:tblGrid>
        <w:gridCol w:w="2694"/>
        <w:gridCol w:w="6654"/>
      </w:tblGrid>
      <w:tr w:rsidR="005C7F51" w:rsidRPr="005C7F51" w:rsidTr="005C7F51">
        <w:trPr>
          <w:trHeight w:val="287"/>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b/>
                <w:color w:val="000000"/>
              </w:rPr>
              <w:t xml:space="preserve">Coding Categories </w:t>
            </w:r>
          </w:p>
        </w:tc>
        <w:tc>
          <w:tcPr>
            <w:tcW w:w="665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b/>
                <w:color w:val="000000"/>
              </w:rPr>
              <w:t xml:space="preserve">Descriptions </w:t>
            </w:r>
          </w:p>
        </w:tc>
      </w:tr>
      <w:tr w:rsidR="005C7F51" w:rsidRPr="005C7F51" w:rsidTr="005C7F51">
        <w:trPr>
          <w:trHeight w:val="562"/>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Inhibiting factors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rPr>
                <w:rFonts w:ascii="Times New Roman" w:hAnsi="Times New Roman" w:cs="Times New Roman"/>
                <w:color w:val="000000"/>
              </w:rPr>
            </w:pPr>
            <w:r w:rsidRPr="005C7F51">
              <w:rPr>
                <w:rFonts w:ascii="Times New Roman" w:hAnsi="Times New Roman" w:cs="Times New Roman"/>
                <w:color w:val="000000"/>
              </w:rPr>
              <w:t xml:space="preserve">Factors that prevent EBFM and co-management efforts from occurring or advancing  </w:t>
            </w:r>
          </w:p>
        </w:tc>
      </w:tr>
      <w:tr w:rsidR="005C7F51" w:rsidRPr="005C7F51" w:rsidTr="005C7F51">
        <w:trPr>
          <w:trHeight w:val="560"/>
        </w:trPr>
        <w:tc>
          <w:tcPr>
            <w:tcW w:w="2694" w:type="dxa"/>
            <w:tcBorders>
              <w:top w:val="single" w:sz="4" w:space="0" w:color="BFBFBF"/>
              <w:left w:val="single" w:sz="4" w:space="0" w:color="BFBFBF"/>
              <w:bottom w:val="single" w:sz="4" w:space="0" w:color="BFBFBF"/>
              <w:right w:val="single" w:sz="4" w:space="0" w:color="BFBFBF"/>
            </w:tcBorders>
            <w:shd w:val="clear" w:color="auto" w:fill="E7E6E6"/>
          </w:tcPr>
          <w:p w:rsidR="005C7F51" w:rsidRPr="005C7F51" w:rsidRDefault="005C7F51" w:rsidP="005C7F51">
            <w:pPr>
              <w:spacing w:line="259" w:lineRule="auto"/>
              <w:ind w:left="1"/>
              <w:rPr>
                <w:rFonts w:ascii="Times New Roman" w:hAnsi="Times New Roman" w:cs="Times New Roman"/>
                <w:color w:val="000000"/>
              </w:rPr>
            </w:pPr>
            <w:r w:rsidRPr="005C7F51">
              <w:rPr>
                <w:rFonts w:ascii="Times New Roman" w:hAnsi="Times New Roman" w:cs="Times New Roman"/>
                <w:i/>
                <w:color w:val="000000"/>
              </w:rPr>
              <w:t xml:space="preserve">Critiques  </w:t>
            </w:r>
          </w:p>
        </w:tc>
        <w:tc>
          <w:tcPr>
            <w:tcW w:w="6654" w:type="dxa"/>
            <w:tcBorders>
              <w:top w:val="single" w:sz="4" w:space="0" w:color="BFBFBF"/>
              <w:left w:val="single" w:sz="4" w:space="0" w:color="BFBFBF"/>
              <w:bottom w:val="single" w:sz="4" w:space="0" w:color="BFBFBF"/>
              <w:right w:val="single" w:sz="4" w:space="0" w:color="BFBFBF"/>
            </w:tcBorders>
          </w:tcPr>
          <w:p w:rsidR="005C7F51" w:rsidRPr="005C7F51" w:rsidRDefault="005C7F51" w:rsidP="005C7F51">
            <w:pPr>
              <w:spacing w:line="259" w:lineRule="auto"/>
              <w:jc w:val="both"/>
              <w:rPr>
                <w:rFonts w:ascii="Times New Roman" w:hAnsi="Times New Roman" w:cs="Times New Roman"/>
                <w:color w:val="000000"/>
              </w:rPr>
            </w:pPr>
            <w:r w:rsidRPr="005C7F51">
              <w:rPr>
                <w:rFonts w:ascii="Times New Roman" w:hAnsi="Times New Roman" w:cs="Times New Roman"/>
                <w:color w:val="000000"/>
              </w:rPr>
              <w:t xml:space="preserve">Doubts and concerns related to the legitimacy of the management type </w:t>
            </w:r>
          </w:p>
        </w:tc>
      </w:tr>
    </w:tbl>
    <w:p w:rsidR="005C7F51" w:rsidRDefault="005C7F51">
      <w:pPr>
        <w:rPr>
          <w:rFonts w:ascii="Times New Roman" w:eastAsia="Times New Roman" w:hAnsi="Times New Roman" w:cs="Times New Roman"/>
          <w:color w:val="000000"/>
        </w:rPr>
      </w:pPr>
      <w:r w:rsidRPr="005C7F51">
        <w:rPr>
          <w:rFonts w:ascii="Times New Roman" w:eastAsia="Times New Roman" w:hAnsi="Times New Roman" w:cs="Times New Roman"/>
          <w:color w:val="000000"/>
        </w:rPr>
        <w:t xml:space="preserve">Inductive coding categories and descriptions that emerged from the coding process.  </w:t>
      </w: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p w:rsidR="005C7F51" w:rsidRDefault="005C7F51">
      <w:pPr>
        <w:rPr>
          <w:rFonts w:ascii="Times New Roman" w:eastAsia="Times New Roman" w:hAnsi="Times New Roman" w:cs="Times New Roman"/>
          <w:color w:val="000000"/>
        </w:rPr>
      </w:pPr>
    </w:p>
    <w:tbl>
      <w:tblPr>
        <w:tblStyle w:val="TableGrid0"/>
        <w:tblpPr w:leftFromText="180" w:rightFromText="180" w:vertAnchor="text" w:horzAnchor="margin" w:tblpXSpec="center" w:tblpY="-920"/>
        <w:tblW w:w="11605" w:type="dxa"/>
        <w:tblLook w:val="04A0" w:firstRow="1" w:lastRow="0" w:firstColumn="1" w:lastColumn="0" w:noHBand="0" w:noVBand="1"/>
      </w:tblPr>
      <w:tblGrid>
        <w:gridCol w:w="1643"/>
        <w:gridCol w:w="4742"/>
        <w:gridCol w:w="5220"/>
      </w:tblGrid>
      <w:tr w:rsidR="00365D11" w:rsidRPr="00365D11" w:rsidTr="0090104B">
        <w:tc>
          <w:tcPr>
            <w:tcW w:w="11605" w:type="dxa"/>
            <w:gridSpan w:val="3"/>
            <w:shd w:val="clear" w:color="auto" w:fill="E7E6E6" w:themeFill="background2"/>
          </w:tcPr>
          <w:p w:rsidR="00365D11" w:rsidRPr="00365D11" w:rsidRDefault="00365D11" w:rsidP="00365D11">
            <w:pPr>
              <w:jc w:val="center"/>
              <w:rPr>
                <w:rFonts w:ascii="Times New Roman" w:eastAsia="Times New Roman" w:hAnsi="Times New Roman" w:cs="Times New Roman"/>
                <w:b/>
                <w:color w:val="000000" w:themeColor="text1"/>
              </w:rPr>
            </w:pPr>
            <w:r w:rsidRPr="00365D11">
              <w:rPr>
                <w:rFonts w:ascii="Times New Roman" w:eastAsia="Times New Roman" w:hAnsi="Times New Roman" w:cs="Times New Roman"/>
                <w:b/>
                <w:color w:val="000000" w:themeColor="text1"/>
              </w:rPr>
              <w:lastRenderedPageBreak/>
              <w:t>Examples of Coding Categories from Literature Review</w:t>
            </w:r>
          </w:p>
        </w:tc>
      </w:tr>
      <w:tr w:rsidR="00365D11" w:rsidRPr="00365D11" w:rsidTr="0090104B">
        <w:tc>
          <w:tcPr>
            <w:tcW w:w="1643" w:type="dxa"/>
            <w:shd w:val="clear" w:color="auto" w:fill="E7E6E6" w:themeFill="background2"/>
          </w:tcPr>
          <w:p w:rsidR="00365D11" w:rsidRPr="00365D11" w:rsidRDefault="00365D11" w:rsidP="00365D11">
            <w:pPr>
              <w:rPr>
                <w:rFonts w:ascii="Times New Roman" w:eastAsia="Times New Roman" w:hAnsi="Times New Roman" w:cs="Times New Roman"/>
                <w:b/>
                <w:color w:val="000000" w:themeColor="text1"/>
              </w:rPr>
            </w:pPr>
            <w:r w:rsidRPr="00365D11">
              <w:rPr>
                <w:rFonts w:ascii="Times New Roman" w:eastAsia="Times New Roman" w:hAnsi="Times New Roman" w:cs="Times New Roman"/>
                <w:b/>
                <w:color w:val="000000" w:themeColor="text1"/>
              </w:rPr>
              <w:t xml:space="preserve">Coding Category  </w:t>
            </w:r>
          </w:p>
        </w:tc>
        <w:tc>
          <w:tcPr>
            <w:tcW w:w="4742" w:type="dxa"/>
            <w:shd w:val="clear" w:color="auto" w:fill="E7E6E6" w:themeFill="background2"/>
          </w:tcPr>
          <w:p w:rsidR="00365D11" w:rsidRPr="00365D11" w:rsidRDefault="00365D11" w:rsidP="00365D11">
            <w:pPr>
              <w:jc w:val="center"/>
              <w:rPr>
                <w:rFonts w:ascii="Times New Roman" w:eastAsia="Times New Roman" w:hAnsi="Times New Roman" w:cs="Times New Roman"/>
                <w:b/>
                <w:color w:val="000000" w:themeColor="text1"/>
              </w:rPr>
            </w:pPr>
          </w:p>
          <w:p w:rsidR="00365D11" w:rsidRPr="00365D11" w:rsidRDefault="00365D11" w:rsidP="00365D11">
            <w:pPr>
              <w:jc w:val="center"/>
              <w:rPr>
                <w:rFonts w:ascii="Times New Roman" w:eastAsia="Times New Roman" w:hAnsi="Times New Roman" w:cs="Times New Roman"/>
                <w:b/>
                <w:color w:val="000000" w:themeColor="text1"/>
              </w:rPr>
            </w:pPr>
            <w:r w:rsidRPr="00365D11">
              <w:rPr>
                <w:rFonts w:ascii="Times New Roman" w:eastAsia="Times New Roman" w:hAnsi="Times New Roman" w:cs="Times New Roman"/>
                <w:b/>
                <w:color w:val="000000" w:themeColor="text1"/>
              </w:rPr>
              <w:t xml:space="preserve">EBFM </w:t>
            </w:r>
          </w:p>
          <w:p w:rsidR="00365D11" w:rsidRPr="00365D11" w:rsidRDefault="00365D11" w:rsidP="00365D11">
            <w:pPr>
              <w:jc w:val="center"/>
              <w:rPr>
                <w:rFonts w:ascii="Times New Roman" w:eastAsia="Times New Roman" w:hAnsi="Times New Roman" w:cs="Times New Roman"/>
                <w:b/>
                <w:color w:val="000000" w:themeColor="text1"/>
              </w:rPr>
            </w:pPr>
          </w:p>
        </w:tc>
        <w:tc>
          <w:tcPr>
            <w:tcW w:w="5220" w:type="dxa"/>
            <w:shd w:val="clear" w:color="auto" w:fill="E7E6E6" w:themeFill="background2"/>
          </w:tcPr>
          <w:p w:rsidR="00365D11" w:rsidRPr="00365D11" w:rsidRDefault="00365D11" w:rsidP="00365D11">
            <w:pPr>
              <w:jc w:val="center"/>
              <w:rPr>
                <w:rFonts w:ascii="Times New Roman" w:eastAsia="Times New Roman" w:hAnsi="Times New Roman" w:cs="Times New Roman"/>
                <w:b/>
                <w:color w:val="000000" w:themeColor="text1"/>
              </w:rPr>
            </w:pPr>
          </w:p>
          <w:p w:rsidR="00365D11" w:rsidRPr="00365D11" w:rsidRDefault="00365D11" w:rsidP="00365D11">
            <w:pPr>
              <w:jc w:val="center"/>
              <w:rPr>
                <w:rFonts w:ascii="Times New Roman" w:eastAsia="Times New Roman" w:hAnsi="Times New Roman" w:cs="Times New Roman"/>
                <w:b/>
                <w:color w:val="000000" w:themeColor="text1"/>
              </w:rPr>
            </w:pPr>
            <w:r w:rsidRPr="00365D11">
              <w:rPr>
                <w:rFonts w:ascii="Times New Roman" w:eastAsia="Times New Roman" w:hAnsi="Times New Roman" w:cs="Times New Roman"/>
                <w:b/>
                <w:color w:val="000000" w:themeColor="text1"/>
              </w:rPr>
              <w:t xml:space="preserve">Fisheries Co-Management </w:t>
            </w:r>
          </w:p>
          <w:p w:rsidR="00365D11" w:rsidRPr="00365D11" w:rsidRDefault="00365D11" w:rsidP="00365D11">
            <w:pPr>
              <w:jc w:val="center"/>
              <w:rPr>
                <w:rFonts w:ascii="Times New Roman" w:eastAsia="Times New Roman" w:hAnsi="Times New Roman" w:cs="Times New Roman"/>
                <w:b/>
                <w:color w:val="000000" w:themeColor="text1"/>
              </w:rPr>
            </w:pPr>
          </w:p>
        </w:tc>
      </w:tr>
      <w:tr w:rsidR="00365D11" w:rsidRPr="00365D11" w:rsidTr="0090104B">
        <w:trPr>
          <w:trHeight w:val="945"/>
        </w:trPr>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Definition</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“Ecosystem-based management is an integrated approach to management that considers the entire ecosystem, including humans” ([</w:t>
            </w:r>
            <w:r w:rsidR="006D1601">
              <w:rPr>
                <w:rFonts w:ascii="Times New Roman" w:eastAsia="Times New Roman" w:hAnsi="Times New Roman" w:cs="Times New Roman"/>
                <w:color w:val="000000" w:themeColor="text1"/>
              </w:rPr>
              <w:t>8</w:t>
            </w:r>
            <w:r w:rsidR="00634991">
              <w:rPr>
                <w:rFonts w:ascii="Times New Roman" w:eastAsia="Times New Roman" w:hAnsi="Times New Roman" w:cs="Times New Roman"/>
                <w:color w:val="000000" w:themeColor="text1"/>
              </w:rPr>
              <w:t>2</w:t>
            </w:r>
            <w:r w:rsidRPr="00365D11">
              <w:rPr>
                <w:rFonts w:ascii="Times New Roman" w:eastAsia="Times New Roman" w:hAnsi="Times New Roman" w:cs="Times New Roman"/>
                <w:color w:val="000000" w:themeColor="text1"/>
              </w:rPr>
              <w:t>], pg. 293)</w:t>
            </w:r>
          </w:p>
          <w:p w:rsidR="00365D11" w:rsidRPr="00365D11" w:rsidRDefault="00365D11" w:rsidP="00365D11">
            <w:pPr>
              <w:rPr>
                <w:rFonts w:ascii="Times New Roman" w:eastAsia="Times New Roman" w:hAnsi="Times New Roman" w:cs="Times New Roman"/>
                <w:color w:val="000000" w:themeColor="text1"/>
              </w:rPr>
            </w:pP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“In its board context, co-management is joint management through a cooperative organization of government and resources users” ([</w:t>
            </w:r>
            <w:r w:rsidR="006D1601">
              <w:rPr>
                <w:rFonts w:ascii="Times New Roman" w:eastAsia="Times New Roman" w:hAnsi="Times New Roman" w:cs="Times New Roman"/>
                <w:color w:val="000000" w:themeColor="text1"/>
              </w:rPr>
              <w:t>8</w:t>
            </w:r>
            <w:r w:rsidR="006D14A8">
              <w:rPr>
                <w:rFonts w:ascii="Times New Roman" w:eastAsia="Times New Roman" w:hAnsi="Times New Roman" w:cs="Times New Roman"/>
                <w:color w:val="000000" w:themeColor="text1"/>
              </w:rPr>
              <w:t>3</w:t>
            </w:r>
            <w:r w:rsidRPr="00365D11">
              <w:rPr>
                <w:rFonts w:ascii="Times New Roman" w:eastAsia="Times New Roman" w:hAnsi="Times New Roman" w:cs="Times New Roman"/>
                <w:color w:val="000000" w:themeColor="text1"/>
              </w:rPr>
              <w:t>], pg. 165)</w:t>
            </w:r>
          </w:p>
        </w:tc>
      </w:tr>
      <w:tr w:rsidR="00365D11" w:rsidRPr="00365D11" w:rsidTr="0090104B">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Driver</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“EBM is driven by a recognition of the failure of conventional management to protect marine ecosystems from over-exploitation” ([</w:t>
            </w:r>
            <w:r w:rsidR="006D14A8">
              <w:rPr>
                <w:rFonts w:ascii="Times New Roman" w:eastAsia="Times New Roman" w:hAnsi="Times New Roman" w:cs="Times New Roman"/>
                <w:color w:val="000000" w:themeColor="text1"/>
              </w:rPr>
              <w:t>59</w:t>
            </w:r>
            <w:r w:rsidRPr="00365D11">
              <w:rPr>
                <w:rFonts w:ascii="Times New Roman" w:eastAsia="Times New Roman" w:hAnsi="Times New Roman" w:cs="Times New Roman"/>
                <w:color w:val="000000" w:themeColor="text1"/>
              </w:rPr>
              <w:t>], pg. 245)</w:t>
            </w:r>
          </w:p>
          <w:p w:rsidR="00365D11" w:rsidRPr="00365D11" w:rsidRDefault="00365D11" w:rsidP="00365D11">
            <w:pPr>
              <w:rPr>
                <w:rFonts w:ascii="Times New Roman" w:eastAsia="Times New Roman" w:hAnsi="Times New Roman" w:cs="Times New Roman"/>
                <w:color w:val="000000" w:themeColor="text1"/>
              </w:rPr>
            </w:pP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“Co-management of marine resources is advocated by many as a solution to the failures of top-down management strategies or open access situations in ﬁsheries management” ([</w:t>
            </w:r>
            <w:r w:rsidR="00FB421D">
              <w:rPr>
                <w:rFonts w:ascii="Times New Roman" w:eastAsia="Times New Roman" w:hAnsi="Times New Roman" w:cs="Times New Roman"/>
                <w:color w:val="000000" w:themeColor="text1"/>
              </w:rPr>
              <w:t>47]</w:t>
            </w:r>
            <w:r w:rsidRPr="00365D11">
              <w:rPr>
                <w:rFonts w:ascii="Times New Roman" w:eastAsia="Times New Roman" w:hAnsi="Times New Roman" w:cs="Times New Roman"/>
                <w:color w:val="000000" w:themeColor="text1"/>
              </w:rPr>
              <w:t xml:space="preserve"> pg. 1279)</w:t>
            </w:r>
          </w:p>
        </w:tc>
      </w:tr>
      <w:tr w:rsidR="00365D11" w:rsidRPr="00365D11" w:rsidTr="00FB421D">
        <w:trPr>
          <w:trHeight w:val="2035"/>
        </w:trPr>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Attribute</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“Ecosystem-based ﬁsheries management (EBFM) requires the expansion of ﬁsheries research programs to include the relationship between target species and their habitats such that trophic and other ecological interactions can be assessed” ([</w:t>
            </w:r>
            <w:r w:rsidR="006D14A8">
              <w:rPr>
                <w:rFonts w:ascii="Times New Roman" w:eastAsia="Times New Roman" w:hAnsi="Times New Roman" w:cs="Times New Roman"/>
                <w:color w:val="000000" w:themeColor="text1"/>
              </w:rPr>
              <w:t>8</w:t>
            </w:r>
            <w:r w:rsidR="00634991">
              <w:rPr>
                <w:rFonts w:ascii="Times New Roman" w:eastAsia="Times New Roman" w:hAnsi="Times New Roman" w:cs="Times New Roman"/>
                <w:color w:val="000000" w:themeColor="text1"/>
              </w:rPr>
              <w:t>4</w:t>
            </w:r>
            <w:r w:rsidRPr="00365D11">
              <w:rPr>
                <w:rFonts w:ascii="Times New Roman" w:eastAsia="Times New Roman" w:hAnsi="Times New Roman" w:cs="Times New Roman"/>
                <w:color w:val="000000" w:themeColor="text1"/>
              </w:rPr>
              <w:t>], pg. 279 )</w:t>
            </w: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“Co-management arrangements generally have at least one vertical linkage between the government and a user group and may rely on the collaboration of diverse stakeholders across multiple scales, including research institutes, nongovernmental organizations (NGOs), and civil society” ([</w:t>
            </w:r>
            <w:r w:rsidR="00FB421D">
              <w:rPr>
                <w:rFonts w:ascii="Times New Roman" w:eastAsia="Times New Roman" w:hAnsi="Times New Roman" w:cs="Times New Roman"/>
                <w:color w:val="000000" w:themeColor="text1"/>
              </w:rPr>
              <w:t>8</w:t>
            </w:r>
            <w:r w:rsidR="00634991">
              <w:rPr>
                <w:rFonts w:ascii="Times New Roman" w:eastAsia="Times New Roman" w:hAnsi="Times New Roman" w:cs="Times New Roman"/>
                <w:color w:val="000000" w:themeColor="text1"/>
              </w:rPr>
              <w:t>5</w:t>
            </w:r>
            <w:r w:rsidRPr="00365D11">
              <w:rPr>
                <w:rFonts w:ascii="Times New Roman" w:eastAsia="Times New Roman" w:hAnsi="Times New Roman" w:cs="Times New Roman"/>
                <w:color w:val="000000" w:themeColor="text1"/>
              </w:rPr>
              <w:t>], pg. 1279 )</w:t>
            </w:r>
          </w:p>
        </w:tc>
      </w:tr>
      <w:tr w:rsidR="00365D11" w:rsidRPr="00365D11" w:rsidTr="0090104B">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Desired</w:t>
            </w: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Outcome</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“The aim of EBFM is to sustain healthy ecosystems and the ﬁsheries that they support” ([</w:t>
            </w:r>
            <w:r w:rsidR="00634991">
              <w:rPr>
                <w:rFonts w:ascii="Times New Roman" w:eastAsia="Times New Roman" w:hAnsi="Times New Roman" w:cs="Times New Roman"/>
                <w:color w:val="000000" w:themeColor="text1"/>
              </w:rPr>
              <w:t>86</w:t>
            </w:r>
            <w:r w:rsidRPr="00365D11">
              <w:rPr>
                <w:rFonts w:ascii="Times New Roman" w:eastAsia="Times New Roman" w:hAnsi="Times New Roman" w:cs="Times New Roman"/>
                <w:color w:val="000000" w:themeColor="text1"/>
              </w:rPr>
              <w:t xml:space="preserve">], pg. 1381) </w:t>
            </w:r>
          </w:p>
          <w:p w:rsidR="00365D11" w:rsidRPr="00365D11" w:rsidRDefault="00365D11" w:rsidP="00365D11">
            <w:pPr>
              <w:rPr>
                <w:rFonts w:ascii="Times New Roman" w:eastAsia="Times New Roman" w:hAnsi="Times New Roman" w:cs="Times New Roman"/>
                <w:color w:val="000000" w:themeColor="text1"/>
              </w:rPr>
            </w:pP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“Taken together, co-management has the potential to increase both community and ecosystem resilience through the sharing of knowledge and creation of management plans tailored to specific places and situations” ([</w:t>
            </w:r>
            <w:r w:rsidR="00634991">
              <w:rPr>
                <w:rFonts w:ascii="Times New Roman" w:eastAsia="Times New Roman" w:hAnsi="Times New Roman" w:cs="Times New Roman"/>
                <w:color w:val="000000" w:themeColor="text1"/>
              </w:rPr>
              <w:t>87</w:t>
            </w:r>
            <w:r w:rsidRPr="00365D11">
              <w:rPr>
                <w:rFonts w:ascii="Times New Roman" w:eastAsia="Times New Roman" w:hAnsi="Times New Roman" w:cs="Times New Roman"/>
                <w:color w:val="000000" w:themeColor="text1"/>
              </w:rPr>
              <w:t>], pg. 128)</w:t>
            </w:r>
          </w:p>
          <w:p w:rsidR="00365D11" w:rsidRPr="00365D11" w:rsidRDefault="00365D11" w:rsidP="00365D11">
            <w:pPr>
              <w:rPr>
                <w:rFonts w:ascii="Times New Roman" w:eastAsia="Times New Roman" w:hAnsi="Times New Roman" w:cs="Times New Roman"/>
                <w:color w:val="000000" w:themeColor="text1"/>
              </w:rPr>
            </w:pPr>
          </w:p>
        </w:tc>
      </w:tr>
      <w:tr w:rsidR="00365D11" w:rsidRPr="00365D11" w:rsidTr="0090104B">
        <w:trPr>
          <w:trHeight w:val="1854"/>
        </w:trPr>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Inhibiting Factors</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“The complexity of ecosystems, variety of stakeholders, lack of data, limited funding and capacity, conﬂicting management goals, and rapid shifts in political support are still serious impediments to implementing EBM, even in California where EBM approaches are required in law” ([</w:t>
            </w:r>
            <w:r w:rsidR="004F64F6">
              <w:rPr>
                <w:rFonts w:ascii="Times New Roman" w:eastAsia="Times New Roman" w:hAnsi="Times New Roman" w:cs="Times New Roman"/>
                <w:color w:val="000000" w:themeColor="text1"/>
              </w:rPr>
              <w:t>8</w:t>
            </w:r>
            <w:r w:rsidR="00634991">
              <w:rPr>
                <w:rFonts w:ascii="Times New Roman" w:eastAsia="Times New Roman" w:hAnsi="Times New Roman" w:cs="Times New Roman"/>
                <w:color w:val="000000" w:themeColor="text1"/>
              </w:rPr>
              <w:t>8</w:t>
            </w:r>
            <w:r w:rsidRPr="00365D11">
              <w:rPr>
                <w:rFonts w:ascii="Times New Roman" w:eastAsia="Times New Roman" w:hAnsi="Times New Roman" w:cs="Times New Roman"/>
                <w:color w:val="000000" w:themeColor="text1"/>
              </w:rPr>
              <w:t>], pg. 154)</w:t>
            </w:r>
          </w:p>
          <w:p w:rsidR="00365D11" w:rsidRPr="00365D11" w:rsidRDefault="00365D11" w:rsidP="00365D11">
            <w:pPr>
              <w:rPr>
                <w:rFonts w:ascii="Times New Roman" w:eastAsia="Times New Roman" w:hAnsi="Times New Roman" w:cs="Times New Roman"/>
                <w:color w:val="000000" w:themeColor="text1"/>
              </w:rPr>
            </w:pP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“Lack of funding and political will to support co-management was also considered a major factor inhibiting co-management implementation in Brazil” ([11], pg. 666)</w:t>
            </w:r>
          </w:p>
          <w:p w:rsidR="00365D11" w:rsidRPr="00365D11" w:rsidRDefault="00365D11" w:rsidP="00365D11">
            <w:pPr>
              <w:tabs>
                <w:tab w:val="left" w:pos="720"/>
                <w:tab w:val="center" w:pos="2142"/>
              </w:tabs>
              <w:rPr>
                <w:rFonts w:ascii="Times New Roman" w:eastAsia="Times New Roman" w:hAnsi="Times New Roman" w:cs="Times New Roman"/>
                <w:color w:val="000000" w:themeColor="text1"/>
              </w:rPr>
            </w:pPr>
          </w:p>
        </w:tc>
      </w:tr>
      <w:tr w:rsidR="00365D11" w:rsidRPr="00365D11" w:rsidTr="0090104B">
        <w:trPr>
          <w:trHeight w:val="1980"/>
        </w:trPr>
        <w:tc>
          <w:tcPr>
            <w:tcW w:w="1643" w:type="dxa"/>
            <w:shd w:val="clear" w:color="auto" w:fill="E7E6E6" w:themeFill="background2"/>
          </w:tcPr>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p>
          <w:p w:rsidR="00365D11" w:rsidRPr="00365D11" w:rsidRDefault="00365D11" w:rsidP="00365D11">
            <w:pPr>
              <w:jc w:val="center"/>
              <w:rPr>
                <w:rFonts w:ascii="Times New Roman" w:eastAsia="Times New Roman" w:hAnsi="Times New Roman" w:cs="Times New Roman"/>
                <w:b/>
                <w:i/>
                <w:color w:val="000000" w:themeColor="text1"/>
              </w:rPr>
            </w:pPr>
            <w:r w:rsidRPr="00365D11">
              <w:rPr>
                <w:rFonts w:ascii="Times New Roman" w:eastAsia="Times New Roman" w:hAnsi="Times New Roman" w:cs="Times New Roman"/>
                <w:b/>
                <w:i/>
                <w:color w:val="000000" w:themeColor="text1"/>
              </w:rPr>
              <w:t>Critiques</w:t>
            </w:r>
          </w:p>
        </w:tc>
        <w:tc>
          <w:tcPr>
            <w:tcW w:w="4742"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“EBFM is ‘holistic’ and considers ‘all factors,’ but it is impossible for management to incorporate all factors into EBFM” ([</w:t>
            </w:r>
            <w:r w:rsidR="00634991">
              <w:rPr>
                <w:rFonts w:ascii="Times New Roman" w:eastAsia="Times New Roman" w:hAnsi="Times New Roman" w:cs="Times New Roman"/>
                <w:color w:val="000000" w:themeColor="text1"/>
              </w:rPr>
              <w:t>69</w:t>
            </w:r>
            <w:r w:rsidRPr="00365D11">
              <w:rPr>
                <w:rFonts w:ascii="Times New Roman" w:eastAsia="Times New Roman" w:hAnsi="Times New Roman" w:cs="Times New Roman"/>
                <w:color w:val="000000" w:themeColor="text1"/>
              </w:rPr>
              <w:t>], pg. 40)</w:t>
            </w:r>
          </w:p>
        </w:tc>
        <w:tc>
          <w:tcPr>
            <w:tcW w:w="5220" w:type="dxa"/>
          </w:tcPr>
          <w:p w:rsidR="00365D11" w:rsidRPr="00365D11" w:rsidRDefault="00365D11" w:rsidP="00365D11">
            <w:pPr>
              <w:rPr>
                <w:rFonts w:ascii="Times New Roman" w:eastAsia="Times New Roman" w:hAnsi="Times New Roman" w:cs="Times New Roman"/>
                <w:color w:val="000000" w:themeColor="text1"/>
              </w:rPr>
            </w:pPr>
            <w:r w:rsidRPr="00365D11">
              <w:rPr>
                <w:rFonts w:ascii="Times New Roman" w:eastAsia="Times New Roman" w:hAnsi="Times New Roman" w:cs="Times New Roman"/>
                <w:color w:val="000000" w:themeColor="text1"/>
              </w:rPr>
              <w:t>“While co-management has been put forth as the only realistic solution for the majority of the world’s ﬁsheries, establishing real co-management arrangements, with strong community participation in resource management, is not a simple or even a feasible option in all ecological and governance contexts” ([</w:t>
            </w:r>
            <w:r w:rsidR="005A11C1">
              <w:rPr>
                <w:rFonts w:ascii="Times New Roman" w:eastAsia="Times New Roman" w:hAnsi="Times New Roman" w:cs="Times New Roman"/>
                <w:color w:val="000000" w:themeColor="text1"/>
              </w:rPr>
              <w:t>85</w:t>
            </w:r>
            <w:r w:rsidRPr="00365D11">
              <w:rPr>
                <w:rFonts w:ascii="Times New Roman" w:eastAsia="Times New Roman" w:hAnsi="Times New Roman" w:cs="Times New Roman"/>
                <w:color w:val="000000" w:themeColor="text1"/>
              </w:rPr>
              <w:t>], pg.1289)</w:t>
            </w:r>
          </w:p>
        </w:tc>
      </w:tr>
    </w:tbl>
    <w:p w:rsidR="005C7F51" w:rsidRDefault="00365D11" w:rsidP="005C7F51">
      <w:r w:rsidRPr="00AF558A">
        <w:rPr>
          <w:i/>
          <w:noProof/>
          <w:color w:val="000000" w:themeColor="text1"/>
        </w:rPr>
        <mc:AlternateContent>
          <mc:Choice Requires="wps">
            <w:drawing>
              <wp:anchor distT="0" distB="0" distL="114300" distR="114300" simplePos="0" relativeHeight="251659264" behindDoc="0" locked="0" layoutInCell="1" allowOverlap="1" wp14:anchorId="6C6816F0" wp14:editId="7044E008">
                <wp:simplePos x="0" y="0"/>
                <wp:positionH relativeFrom="column">
                  <wp:posOffset>-443753</wp:posOffset>
                </wp:positionH>
                <wp:positionV relativeFrom="paragraph">
                  <wp:posOffset>7119657</wp:posOffset>
                </wp:positionV>
                <wp:extent cx="7080068" cy="44513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7080068" cy="445135"/>
                        </a:xfrm>
                        <a:prstGeom prst="rect">
                          <a:avLst/>
                        </a:prstGeom>
                        <a:solidFill>
                          <a:schemeClr val="lt1"/>
                        </a:solidFill>
                        <a:ln w="6350">
                          <a:noFill/>
                        </a:ln>
                      </wps:spPr>
                      <wps:txbx>
                        <w:txbxContent>
                          <w:p w:rsidR="00365D11" w:rsidRPr="00365D11" w:rsidRDefault="00365D11" w:rsidP="00365D11">
                            <w:pPr>
                              <w:rPr>
                                <w:rFonts w:ascii="Times New Roman" w:hAnsi="Times New Roman" w:cs="Times New Roman"/>
                                <w:b/>
                              </w:rPr>
                            </w:pPr>
                            <w:r w:rsidRPr="00365D11">
                              <w:rPr>
                                <w:rFonts w:ascii="Times New Roman" w:hAnsi="Times New Roman" w:cs="Times New Roman"/>
                              </w:rPr>
                              <w:t>A list of inductive and deductive coding categories as well as example text for each management type derived from the literature.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C6816F0" id="_x0000_t202" coordsize="21600,21600" o:spt="202" path="m,l,21600r21600,l21600,xe">
                <v:stroke joinstyle="miter"/>
                <v:path gradientshapeok="t" o:connecttype="rect"/>
              </v:shapetype>
              <v:shape id="Text Box 110" o:spid="_x0000_s1026" type="#_x0000_t202" style="position:absolute;margin-left:-34.95pt;margin-top:560.6pt;width:557.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" fillcolor="white [3201]" stroked="f" strokeweight=".5pt">
                <v:textbox>
                  <w:txbxContent>
                    <w:p w:rsidR="00365D11" w:rsidRPr="00365D11" w:rsidRDefault="00365D11" w:rsidP="00365D11">
                      <w:pPr>
                        <w:rPr>
                          <w:rFonts w:ascii="Times New Roman" w:hAnsi="Times New Roman" w:cs="Times New Roman"/>
                          <w:b/>
                        </w:rPr>
                      </w:pPr>
                      <w:r w:rsidRPr="00365D11">
                        <w:rPr>
                          <w:rFonts w:ascii="Times New Roman" w:hAnsi="Times New Roman" w:cs="Times New Roman"/>
                        </w:rPr>
                        <w:t>A list of inductive and deductive coding categories as well as example text for each management type derived from the literature.</w:t>
                      </w:r>
                    </w:p>
                  </w:txbxContent>
                </v:textbox>
              </v:shape>
            </w:pict>
          </mc:Fallback>
        </mc:AlternateContent>
      </w:r>
    </w:p>
    <w:sectPr w:rsidR="005C7F51" w:rsidSect="008D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0E"/>
    <w:rsid w:val="00156836"/>
    <w:rsid w:val="0017133C"/>
    <w:rsid w:val="00365D11"/>
    <w:rsid w:val="004D60B6"/>
    <w:rsid w:val="004F64F6"/>
    <w:rsid w:val="005622BB"/>
    <w:rsid w:val="005A11C1"/>
    <w:rsid w:val="005C360E"/>
    <w:rsid w:val="005C7F51"/>
    <w:rsid w:val="00634991"/>
    <w:rsid w:val="006709CB"/>
    <w:rsid w:val="00690BBA"/>
    <w:rsid w:val="006D14A8"/>
    <w:rsid w:val="006D1601"/>
    <w:rsid w:val="006D4358"/>
    <w:rsid w:val="0074172A"/>
    <w:rsid w:val="008D2FEA"/>
    <w:rsid w:val="00A678C4"/>
    <w:rsid w:val="00C36EE8"/>
    <w:rsid w:val="00C92BE6"/>
    <w:rsid w:val="00E57CDA"/>
    <w:rsid w:val="00FA2F9D"/>
    <w:rsid w:val="00FB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841A"/>
  <w14:defaultImageDpi w14:val="32767"/>
  <w15:chartTrackingRefBased/>
  <w15:docId w15:val="{6B9E482A-D71C-5A48-8C2A-18E78C7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2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2BB"/>
    <w:rPr>
      <w:rFonts w:ascii="Times New Roman" w:hAnsi="Times New Roman" w:cs="Times New Roman"/>
      <w:sz w:val="18"/>
      <w:szCs w:val="18"/>
    </w:rPr>
  </w:style>
  <w:style w:type="table" w:customStyle="1" w:styleId="TableGrid">
    <w:name w:val="TableGrid"/>
    <w:rsid w:val="005C7F51"/>
    <w:rPr>
      <w:rFonts w:eastAsia="Times New Roman"/>
    </w:rPr>
    <w:tblPr>
      <w:tblCellMar>
        <w:top w:w="0" w:type="dxa"/>
        <w:left w:w="0" w:type="dxa"/>
        <w:bottom w:w="0" w:type="dxa"/>
        <w:right w:w="0" w:type="dxa"/>
      </w:tblCellMar>
    </w:tblPr>
  </w:style>
  <w:style w:type="table" w:customStyle="1" w:styleId="TableGrid1">
    <w:name w:val="TableGrid1"/>
    <w:rsid w:val="005C7F51"/>
    <w:rPr>
      <w:rFonts w:eastAsia="Times New Roman"/>
    </w:rPr>
    <w:tblPr>
      <w:tblCellMar>
        <w:top w:w="0" w:type="dxa"/>
        <w:left w:w="0" w:type="dxa"/>
        <w:bottom w:w="0" w:type="dxa"/>
        <w:right w:w="0" w:type="dxa"/>
      </w:tblCellMar>
    </w:tblPr>
  </w:style>
  <w:style w:type="table" w:customStyle="1" w:styleId="TableGrid2">
    <w:name w:val="TableGrid2"/>
    <w:rsid w:val="005C7F51"/>
    <w:rPr>
      <w:rFonts w:eastAsia="Times New Roman"/>
    </w:rPr>
    <w:tblPr>
      <w:tblCellMar>
        <w:top w:w="0" w:type="dxa"/>
        <w:left w:w="0" w:type="dxa"/>
        <w:bottom w:w="0" w:type="dxa"/>
        <w:right w:w="0" w:type="dxa"/>
      </w:tblCellMar>
    </w:tblPr>
  </w:style>
  <w:style w:type="table" w:styleId="TableGrid0">
    <w:name w:val="Table Grid"/>
    <w:basedOn w:val="TableNormal"/>
    <w:uiPriority w:val="39"/>
    <w:rsid w:val="0036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2926</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Cucuzza</dc:creator>
  <cp:keywords/>
  <dc:description/>
  <cp:lastModifiedBy>Marina Cucuzza</cp:lastModifiedBy>
  <cp:revision>2</cp:revision>
  <dcterms:created xsi:type="dcterms:W3CDTF">2020-09-08T18:34:00Z</dcterms:created>
  <dcterms:modified xsi:type="dcterms:W3CDTF">2020-09-08T18:34:00Z</dcterms:modified>
</cp:coreProperties>
</file>