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148EDC5B">
            <wp:extent cx="3216402" cy="612648"/>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6402" cy="612648"/>
                    </a:xfrm>
                    <a:prstGeom prst="rect">
                      <a:avLst/>
                    </a:prstGeom>
                    <a:noFill/>
                    <a:ln>
                      <a:noFill/>
                    </a:ln>
                  </pic:spPr>
                </pic:pic>
              </a:graphicData>
            </a:graphic>
          </wp:inline>
        </w:drawing>
      </w:r>
    </w:p>
    <w:p w14:paraId="7EE184DA" w14:textId="43811107" w:rsidR="00CE6EAA" w:rsidRPr="00BF1BF9" w:rsidRDefault="00B33B19"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2412B724" w14:textId="3D885C08" w:rsidR="00B33B19" w:rsidRDefault="00C95BCA" w:rsidP="00FF3503">
      <w:pPr>
        <w:spacing w:before="100" w:beforeAutospacing="1" w:after="100" w:afterAutospacing="1"/>
        <w:jc w:val="center"/>
        <w:rPr>
          <w:rFonts w:ascii="Myriad Pro" w:hAnsi="Myriad Pro"/>
          <w:b/>
          <w:sz w:val="22"/>
          <w:szCs w:val="22"/>
        </w:rPr>
      </w:pPr>
      <w:r>
        <w:rPr>
          <w:rFonts w:ascii="Myriad Pro" w:hAnsi="Myriad Pro"/>
          <w:b/>
          <w:sz w:val="22"/>
          <w:szCs w:val="22"/>
        </w:rPr>
        <w:t>Impacts of Shifting Subtropical Highs on the California and Canary Current Systems</w:t>
      </w:r>
    </w:p>
    <w:p w14:paraId="4C8E9743" w14:textId="7D1FA0AA" w:rsidR="00B33B19" w:rsidRDefault="00B33B19" w:rsidP="00FF3503">
      <w:pPr>
        <w:spacing w:before="100" w:beforeAutospacing="1" w:after="100" w:afterAutospacing="1"/>
        <w:jc w:val="center"/>
        <w:rPr>
          <w:rFonts w:ascii="Myriad Pro" w:hAnsi="Myriad Pro"/>
          <w:sz w:val="22"/>
          <w:szCs w:val="22"/>
        </w:rPr>
      </w:pPr>
      <w:r w:rsidRPr="00B33B19">
        <w:rPr>
          <w:rFonts w:ascii="Myriad Pro" w:hAnsi="Myriad Pro"/>
          <w:sz w:val="22"/>
          <w:szCs w:val="22"/>
        </w:rPr>
        <w:t>Daniel F. Schmidt</w:t>
      </w:r>
      <w:r w:rsidRPr="00B33B19">
        <w:rPr>
          <w:rFonts w:ascii="Myriad Pro" w:hAnsi="Myriad Pro"/>
          <w:sz w:val="22"/>
          <w:szCs w:val="22"/>
          <w:vertAlign w:val="superscript"/>
        </w:rPr>
        <w:t>1</w:t>
      </w:r>
      <w:r w:rsidRPr="00B33B19">
        <w:rPr>
          <w:rFonts w:ascii="Myriad Pro" w:hAnsi="Myriad Pro"/>
          <w:sz w:val="22"/>
          <w:szCs w:val="22"/>
        </w:rPr>
        <w:t>, Dillon J. Amaya</w:t>
      </w:r>
      <w:r w:rsidRPr="00B33B19">
        <w:rPr>
          <w:rFonts w:ascii="Myriad Pro" w:hAnsi="Myriad Pro"/>
          <w:sz w:val="22"/>
          <w:szCs w:val="22"/>
          <w:vertAlign w:val="superscript"/>
        </w:rPr>
        <w:t>2</w:t>
      </w:r>
      <w:r w:rsidRPr="00B33B19">
        <w:rPr>
          <w:rFonts w:ascii="Myriad Pro" w:hAnsi="Myriad Pro"/>
          <w:sz w:val="22"/>
          <w:szCs w:val="22"/>
        </w:rPr>
        <w:t>, Kevin M. Grise</w:t>
      </w:r>
      <w:r w:rsidRPr="00B33B19">
        <w:rPr>
          <w:rFonts w:ascii="Myriad Pro" w:hAnsi="Myriad Pro"/>
          <w:sz w:val="22"/>
          <w:szCs w:val="22"/>
          <w:vertAlign w:val="superscript"/>
        </w:rPr>
        <w:t>1</w:t>
      </w:r>
      <w:r w:rsidRPr="00B33B19">
        <w:rPr>
          <w:rFonts w:ascii="Myriad Pro" w:hAnsi="Myriad Pro"/>
          <w:sz w:val="22"/>
          <w:szCs w:val="22"/>
        </w:rPr>
        <w:t>, and Arthur J. Miller</w:t>
      </w:r>
      <w:r w:rsidRPr="00B33B19">
        <w:rPr>
          <w:rFonts w:ascii="Myriad Pro" w:hAnsi="Myriad Pro"/>
          <w:sz w:val="22"/>
          <w:szCs w:val="22"/>
          <w:vertAlign w:val="superscript"/>
        </w:rPr>
        <w:t>3</w:t>
      </w:r>
      <w:r w:rsidRPr="00B33B19">
        <w:rPr>
          <w:rFonts w:ascii="Myriad Pro" w:hAnsi="Myriad Pro"/>
          <w:sz w:val="22"/>
          <w:szCs w:val="22"/>
        </w:rPr>
        <w:t xml:space="preserve"> </w:t>
      </w:r>
    </w:p>
    <w:p w14:paraId="69976EF8" w14:textId="725900F0" w:rsidR="00B77E40" w:rsidRDefault="00B33B19" w:rsidP="00B33B19">
      <w:pPr>
        <w:jc w:val="center"/>
        <w:rPr>
          <w:rFonts w:ascii="Myriad Pro" w:hAnsi="Myriad Pro"/>
          <w:sz w:val="18"/>
          <w:szCs w:val="18"/>
        </w:rPr>
      </w:pPr>
      <w:r>
        <w:rPr>
          <w:rFonts w:ascii="Myriad Pro" w:hAnsi="Myriad Pro"/>
          <w:b/>
          <w:bCs/>
          <w:sz w:val="18"/>
          <w:szCs w:val="18"/>
          <w:vertAlign w:val="superscript"/>
        </w:rPr>
        <w:t>1</w:t>
      </w:r>
      <w:r>
        <w:rPr>
          <w:rFonts w:ascii="Myriad Pro" w:hAnsi="Myriad Pro"/>
          <w:sz w:val="18"/>
          <w:szCs w:val="18"/>
        </w:rPr>
        <w:t>Department of Environmental Sciences, University of Virginia</w:t>
      </w:r>
    </w:p>
    <w:p w14:paraId="676F4A89" w14:textId="77777777" w:rsidR="00B33B19" w:rsidRPr="00B33B19" w:rsidRDefault="00B33B19" w:rsidP="00B33B19">
      <w:pPr>
        <w:jc w:val="center"/>
        <w:rPr>
          <w:rFonts w:ascii="Myriad Pro" w:hAnsi="Myriad Pro"/>
          <w:sz w:val="18"/>
          <w:szCs w:val="18"/>
        </w:rPr>
      </w:pPr>
      <w:r w:rsidRPr="00B33B19">
        <w:rPr>
          <w:rFonts w:ascii="Myriad Pro" w:hAnsi="Myriad Pro"/>
          <w:b/>
          <w:bCs/>
          <w:sz w:val="18"/>
          <w:szCs w:val="18"/>
          <w:vertAlign w:val="superscript"/>
        </w:rPr>
        <w:t>2</w:t>
      </w:r>
      <w:r w:rsidRPr="00B33B19">
        <w:rPr>
          <w:rFonts w:ascii="Myriad Pro" w:hAnsi="Myriad Pro"/>
          <w:sz w:val="18"/>
          <w:szCs w:val="18"/>
        </w:rPr>
        <w:t>Cooperative Institute for Research in Environmental Sciences—University of Colorado at Boulder</w:t>
      </w:r>
    </w:p>
    <w:p w14:paraId="6E6A6D77" w14:textId="77777777" w:rsidR="00B33B19" w:rsidRPr="00B33B19" w:rsidRDefault="00B33B19" w:rsidP="00B33B19">
      <w:pPr>
        <w:jc w:val="center"/>
        <w:rPr>
          <w:rFonts w:ascii="Myriad Pro" w:hAnsi="Myriad Pro"/>
          <w:sz w:val="18"/>
          <w:szCs w:val="18"/>
        </w:rPr>
      </w:pPr>
      <w:r w:rsidRPr="00B33B19">
        <w:rPr>
          <w:rFonts w:ascii="Myriad Pro" w:hAnsi="Myriad Pro"/>
          <w:b/>
          <w:bCs/>
          <w:sz w:val="18"/>
          <w:szCs w:val="18"/>
          <w:vertAlign w:val="superscript"/>
        </w:rPr>
        <w:t>3</w:t>
      </w:r>
      <w:r w:rsidRPr="00B33B19">
        <w:rPr>
          <w:rFonts w:ascii="Myriad Pro" w:hAnsi="Myriad Pro"/>
          <w:sz w:val="18"/>
          <w:szCs w:val="18"/>
        </w:rPr>
        <w:t>Scripps Institution of Oceanography—University of California at San Diego</w:t>
      </w:r>
    </w:p>
    <w:p w14:paraId="60B5EBE6" w14:textId="14421D62" w:rsidR="00B33B19" w:rsidRDefault="00B33B19" w:rsidP="00FF3503">
      <w:pPr>
        <w:spacing w:before="100" w:beforeAutospacing="1" w:after="100" w:afterAutospacing="1"/>
        <w:jc w:val="center"/>
        <w:rPr>
          <w:rFonts w:ascii="Myriad Pro" w:hAnsi="Myriad Pro"/>
          <w:sz w:val="18"/>
          <w:szCs w:val="18"/>
        </w:rPr>
      </w:pP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55E3D5A7"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1E4BB5">
        <w:rPr>
          <w:rFonts w:ascii="Myriad Pro" w:hAnsi="Myriad Pro"/>
          <w:sz w:val="22"/>
          <w:szCs w:val="22"/>
        </w:rPr>
        <w:t>3</w:t>
      </w:r>
    </w:p>
    <w:p w14:paraId="6807841A" w14:textId="5B8F33B7" w:rsidR="00111843" w:rsidRPr="00CE6EAA" w:rsidRDefault="00111843" w:rsidP="00111843">
      <w:pPr>
        <w:ind w:left="720"/>
        <w:rPr>
          <w:rFonts w:ascii="Myriad Pro" w:hAnsi="Myriad Pro"/>
          <w:sz w:val="22"/>
          <w:szCs w:val="22"/>
        </w:rPr>
      </w:pPr>
      <w:r w:rsidRPr="00CE6EAA">
        <w:rPr>
          <w:rFonts w:ascii="Myriad Pro" w:hAnsi="Myriad Pro"/>
          <w:sz w:val="22"/>
          <w:szCs w:val="22"/>
        </w:rPr>
        <w:t>Tables S1 to S</w:t>
      </w:r>
      <w:r w:rsidR="00BA5BE1">
        <w:rPr>
          <w:rFonts w:ascii="Myriad Pro" w:hAnsi="Myriad Pro"/>
          <w:sz w:val="22"/>
          <w:szCs w:val="22"/>
        </w:rPr>
        <w:t>3</w:t>
      </w:r>
      <w:r w:rsidR="00AA76F3">
        <w:rPr>
          <w:rFonts w:ascii="Myriad Pro" w:hAnsi="Myriad Pro"/>
          <w:sz w:val="22"/>
          <w:szCs w:val="22"/>
        </w:rPr>
        <w:t xml:space="preserve"> </w:t>
      </w:r>
    </w:p>
    <w:p w14:paraId="0363B503" w14:textId="77777777" w:rsidR="00111843" w:rsidRPr="00E40896" w:rsidRDefault="00111843" w:rsidP="00111843">
      <w:pPr>
        <w:ind w:left="720"/>
        <w:rPr>
          <w:rFonts w:ascii="Myriad Pro" w:hAnsi="Myriad Pro"/>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218F825A" w14:textId="71C77071" w:rsidR="00FF3503" w:rsidRPr="00CE6EAA" w:rsidRDefault="00CF2704" w:rsidP="00CF2704">
      <w:pPr>
        <w:spacing w:before="100" w:beforeAutospacing="1" w:after="100" w:afterAutospacing="1"/>
        <w:rPr>
          <w:rFonts w:ascii="Myriad Pro" w:hAnsi="Myriad Pro"/>
          <w:sz w:val="22"/>
          <w:szCs w:val="22"/>
        </w:rPr>
      </w:pPr>
      <w:r>
        <w:rPr>
          <w:rFonts w:ascii="Myriad Pro" w:hAnsi="Myriad Pro"/>
          <w:sz w:val="22"/>
          <w:szCs w:val="22"/>
        </w:rPr>
        <w:t xml:space="preserve">The </w:t>
      </w:r>
      <w:r w:rsidR="00BA5BE1">
        <w:rPr>
          <w:rFonts w:ascii="Myriad Pro" w:hAnsi="Myriad Pro"/>
          <w:sz w:val="22"/>
          <w:szCs w:val="22"/>
        </w:rPr>
        <w:t xml:space="preserve">text </w:t>
      </w:r>
      <w:r>
        <w:rPr>
          <w:rFonts w:ascii="Myriad Pro" w:hAnsi="Myriad Pro"/>
          <w:sz w:val="22"/>
          <w:szCs w:val="22"/>
        </w:rPr>
        <w:t xml:space="preserve">below describes the differences between </w:t>
      </w:r>
      <w:r w:rsidR="00BA5BE1">
        <w:rPr>
          <w:rFonts w:ascii="Myriad Pro" w:hAnsi="Myriad Pro"/>
          <w:sz w:val="22"/>
          <w:szCs w:val="22"/>
        </w:rPr>
        <w:t>t</w:t>
      </w:r>
      <w:r>
        <w:rPr>
          <w:rFonts w:ascii="Myriad Pro" w:hAnsi="Myriad Pro"/>
          <w:sz w:val="22"/>
          <w:szCs w:val="22"/>
        </w:rPr>
        <w:t>he</w:t>
      </w:r>
      <w:r w:rsidR="00BA5BE1">
        <w:rPr>
          <w:rFonts w:ascii="Myriad Pro" w:hAnsi="Myriad Pro"/>
          <w:sz w:val="22"/>
          <w:szCs w:val="22"/>
        </w:rPr>
        <w:t xml:space="preserve"> model and reanalysis representations of the climatological mean positions of the subtropical highs, followed by a discussion of the correlations among the four upwelling-related variables described in the main text</w:t>
      </w:r>
      <w:r>
        <w:rPr>
          <w:rFonts w:ascii="Myriad Pro" w:hAnsi="Myriad Pro"/>
          <w:sz w:val="22"/>
          <w:szCs w:val="22"/>
        </w:rPr>
        <w:t xml:space="preserve">.  The </w:t>
      </w:r>
      <w:r w:rsidR="00BA5BE1">
        <w:rPr>
          <w:rFonts w:ascii="Myriad Pro" w:hAnsi="Myriad Pro"/>
          <w:sz w:val="22"/>
          <w:szCs w:val="22"/>
        </w:rPr>
        <w:t>f</w:t>
      </w:r>
      <w:r>
        <w:rPr>
          <w:rFonts w:ascii="Myriad Pro" w:hAnsi="Myriad Pro"/>
          <w:sz w:val="22"/>
          <w:szCs w:val="22"/>
        </w:rPr>
        <w:t>igure</w:t>
      </w:r>
      <w:r w:rsidR="00BA5BE1">
        <w:rPr>
          <w:rFonts w:ascii="Myriad Pro" w:hAnsi="Myriad Pro"/>
          <w:sz w:val="22"/>
          <w:szCs w:val="22"/>
        </w:rPr>
        <w:t>s include a schematic representation of the relationships among upwelling-related variables</w:t>
      </w:r>
      <w:r w:rsidR="001E4BB5">
        <w:rPr>
          <w:rFonts w:ascii="Myriad Pro" w:hAnsi="Myriad Pro"/>
          <w:sz w:val="22"/>
          <w:szCs w:val="22"/>
        </w:rPr>
        <w:t>, a figure analogous to Figure 2 but for reanalysis,</w:t>
      </w:r>
      <w:r w:rsidR="00BA5BE1">
        <w:rPr>
          <w:rFonts w:ascii="Myriad Pro" w:hAnsi="Myriad Pro"/>
          <w:sz w:val="22"/>
          <w:szCs w:val="22"/>
        </w:rPr>
        <w:t xml:space="preserve"> and a figure analogous to Figure 4 but for Hadley cell indices.  </w:t>
      </w:r>
      <w:r w:rsidR="001E4BB5">
        <w:rPr>
          <w:rFonts w:ascii="Myriad Pro" w:hAnsi="Myriad Pro"/>
          <w:sz w:val="22"/>
          <w:szCs w:val="22"/>
        </w:rPr>
        <w:t xml:space="preserve">The three tables show correlations among variables referenced in the text.  </w:t>
      </w:r>
    </w:p>
    <w:p w14:paraId="19886F0B" w14:textId="77777777" w:rsidR="002C030F" w:rsidRPr="00E40896" w:rsidRDefault="002C030F">
      <w:pPr>
        <w:rPr>
          <w:rFonts w:ascii="Myriad Pro" w:hAnsi="Myriad Pro"/>
        </w:rPr>
      </w:pPr>
    </w:p>
    <w:p w14:paraId="2218C341" w14:textId="3D9C1490" w:rsidR="00015F74" w:rsidRDefault="00015F74">
      <w:pPr>
        <w:rPr>
          <w:rFonts w:ascii="Myriad Pro" w:hAnsi="Myriad Pro"/>
          <w:b/>
        </w:rPr>
      </w:pPr>
    </w:p>
    <w:p w14:paraId="27CD9B86" w14:textId="45D88B85" w:rsidR="006558F9" w:rsidRDefault="006558F9">
      <w:pPr>
        <w:rPr>
          <w:rFonts w:ascii="Myriad Pro" w:hAnsi="Myriad Pro"/>
          <w:b/>
        </w:rPr>
      </w:pPr>
    </w:p>
    <w:p w14:paraId="1F6D4BA7" w14:textId="77777777" w:rsidR="00A12E8F" w:rsidRDefault="00A12E8F">
      <w:pPr>
        <w:rPr>
          <w:rFonts w:ascii="Myriad Pro" w:hAnsi="Myriad Pro"/>
          <w:b/>
        </w:rPr>
      </w:pPr>
    </w:p>
    <w:p w14:paraId="1092601B" w14:textId="77777777" w:rsidR="006558F9" w:rsidRPr="00E40896" w:rsidRDefault="006558F9">
      <w:pPr>
        <w:rPr>
          <w:rFonts w:ascii="Myriad Pro" w:hAnsi="Myriad Pro"/>
          <w:b/>
        </w:rPr>
      </w:pPr>
    </w:p>
    <w:p w14:paraId="2B074851" w14:textId="5FDFA8E8" w:rsidR="002C030F" w:rsidRDefault="002C030F">
      <w:pPr>
        <w:rPr>
          <w:rFonts w:ascii="Myriad Pro" w:hAnsi="Myriad Pro"/>
        </w:rPr>
      </w:pPr>
    </w:p>
    <w:p w14:paraId="225FC4B1" w14:textId="77777777" w:rsidR="00D75F25" w:rsidRPr="00E40896" w:rsidRDefault="00D75F25">
      <w:pPr>
        <w:rPr>
          <w:rFonts w:ascii="Myriad Pro" w:hAnsi="Myriad Pro"/>
        </w:rPr>
      </w:pPr>
    </w:p>
    <w:p w14:paraId="667D8CA8" w14:textId="3C01464A" w:rsidR="00015F74" w:rsidRPr="0016759C" w:rsidRDefault="00CF2704" w:rsidP="00B9440A">
      <w:pPr>
        <w:pStyle w:val="SMHeading"/>
        <w:rPr>
          <w:rFonts w:asciiTheme="minorHAnsi" w:hAnsiTheme="minorHAnsi" w:cstheme="minorHAnsi"/>
          <w:sz w:val="22"/>
          <w:szCs w:val="22"/>
        </w:rPr>
      </w:pPr>
      <w:r w:rsidRPr="0016759C">
        <w:rPr>
          <w:rFonts w:asciiTheme="minorHAnsi" w:hAnsiTheme="minorHAnsi" w:cstheme="minorHAnsi"/>
          <w:sz w:val="22"/>
          <w:szCs w:val="22"/>
        </w:rPr>
        <w:lastRenderedPageBreak/>
        <w:t>Comparison of Modeled vs. Observed Climatology</w:t>
      </w:r>
    </w:p>
    <w:p w14:paraId="3BDF5F04" w14:textId="25B56510" w:rsidR="00B3147F" w:rsidRPr="0016759C" w:rsidRDefault="00B3147F" w:rsidP="00EF25A3">
      <w:pPr>
        <w:pStyle w:val="SMText"/>
        <w:ind w:firstLine="0"/>
        <w:rPr>
          <w:rFonts w:asciiTheme="minorHAnsi" w:hAnsiTheme="minorHAnsi" w:cstheme="minorHAnsi"/>
          <w:sz w:val="22"/>
          <w:szCs w:val="22"/>
        </w:rPr>
      </w:pPr>
    </w:p>
    <w:p w14:paraId="48E64FF9" w14:textId="28968469" w:rsidR="0016759C" w:rsidRPr="0016759C" w:rsidRDefault="00CF422F" w:rsidP="00EF25A3">
      <w:pPr>
        <w:pStyle w:val="SMText"/>
        <w:ind w:firstLine="0"/>
        <w:rPr>
          <w:rFonts w:asciiTheme="minorHAnsi" w:hAnsiTheme="minorHAnsi" w:cstheme="minorHAnsi"/>
          <w:sz w:val="22"/>
          <w:szCs w:val="22"/>
        </w:rPr>
      </w:pPr>
      <w:r w:rsidRPr="0016759C">
        <w:rPr>
          <w:rFonts w:asciiTheme="minorHAnsi" w:hAnsiTheme="minorHAnsi" w:cstheme="minorHAnsi"/>
          <w:sz w:val="22"/>
          <w:szCs w:val="22"/>
        </w:rPr>
        <w:t xml:space="preserve">The NPSH, as defined here, has a JJA-season climatological mean position of </w:t>
      </w:r>
      <w:r w:rsidR="006F04EF" w:rsidRPr="0016759C">
        <w:rPr>
          <w:rFonts w:asciiTheme="minorHAnsi" w:hAnsiTheme="minorHAnsi" w:cstheme="minorHAnsi"/>
          <w:sz w:val="22"/>
          <w:szCs w:val="22"/>
        </w:rPr>
        <w:t>150.</w:t>
      </w:r>
      <w:r w:rsidR="0016759C" w:rsidRPr="0016759C">
        <w:rPr>
          <w:rFonts w:asciiTheme="minorHAnsi" w:hAnsiTheme="minorHAnsi" w:cstheme="minorHAnsi"/>
          <w:sz w:val="22"/>
          <w:szCs w:val="22"/>
        </w:rPr>
        <w:t>8</w:t>
      </w:r>
      <w:r w:rsidRPr="0016759C">
        <w:rPr>
          <w:rFonts w:asciiTheme="minorHAnsi" w:hAnsiTheme="minorHAnsi" w:cstheme="minorHAnsi"/>
          <w:sz w:val="22"/>
          <w:szCs w:val="22"/>
        </w:rPr>
        <w:t>˚</w:t>
      </w:r>
      <w:r w:rsidR="006F04EF" w:rsidRPr="0016759C">
        <w:rPr>
          <w:rFonts w:asciiTheme="minorHAnsi" w:hAnsiTheme="minorHAnsi" w:cstheme="minorHAnsi"/>
          <w:sz w:val="22"/>
          <w:szCs w:val="22"/>
        </w:rPr>
        <w:t>W</w:t>
      </w:r>
      <w:r w:rsidRPr="0016759C">
        <w:rPr>
          <w:rFonts w:asciiTheme="minorHAnsi" w:hAnsiTheme="minorHAnsi" w:cstheme="minorHAnsi"/>
          <w:sz w:val="22"/>
          <w:szCs w:val="22"/>
        </w:rPr>
        <w:t>, 37.4˚N according to the CESM coupled control run.  By comparison, the mean N</w:t>
      </w:r>
      <w:r w:rsidR="00184132">
        <w:rPr>
          <w:rFonts w:asciiTheme="minorHAnsi" w:hAnsiTheme="minorHAnsi" w:cstheme="minorHAnsi"/>
          <w:sz w:val="22"/>
          <w:szCs w:val="22"/>
        </w:rPr>
        <w:t>P</w:t>
      </w:r>
      <w:r w:rsidRPr="0016759C">
        <w:rPr>
          <w:rFonts w:asciiTheme="minorHAnsi" w:hAnsiTheme="minorHAnsi" w:cstheme="minorHAnsi"/>
          <w:sz w:val="22"/>
          <w:szCs w:val="22"/>
        </w:rPr>
        <w:t>SH position in the ERA-Interim reanalysis</w:t>
      </w:r>
      <w:r w:rsidR="00233BDC" w:rsidRPr="0016759C">
        <w:rPr>
          <w:rFonts w:asciiTheme="minorHAnsi" w:hAnsiTheme="minorHAnsi" w:cstheme="minorHAnsi"/>
          <w:sz w:val="22"/>
          <w:szCs w:val="22"/>
        </w:rPr>
        <w:t xml:space="preserve"> for the period 19</w:t>
      </w:r>
      <w:r w:rsidR="007B018C">
        <w:rPr>
          <w:rFonts w:asciiTheme="minorHAnsi" w:hAnsiTheme="minorHAnsi" w:cstheme="minorHAnsi"/>
          <w:sz w:val="22"/>
          <w:szCs w:val="22"/>
        </w:rPr>
        <w:t>80</w:t>
      </w:r>
      <w:r w:rsidR="00233BDC" w:rsidRPr="0016759C">
        <w:rPr>
          <w:rFonts w:asciiTheme="minorHAnsi" w:hAnsiTheme="minorHAnsi" w:cstheme="minorHAnsi"/>
          <w:sz w:val="22"/>
          <w:szCs w:val="22"/>
        </w:rPr>
        <w:t>-201</w:t>
      </w:r>
      <w:r w:rsidR="007B018C">
        <w:rPr>
          <w:rFonts w:asciiTheme="minorHAnsi" w:hAnsiTheme="minorHAnsi" w:cstheme="minorHAnsi"/>
          <w:sz w:val="22"/>
          <w:szCs w:val="22"/>
        </w:rPr>
        <w:t>6</w:t>
      </w:r>
      <w:r w:rsidRPr="0016759C">
        <w:rPr>
          <w:rFonts w:asciiTheme="minorHAnsi" w:hAnsiTheme="minorHAnsi" w:cstheme="minorHAnsi"/>
          <w:sz w:val="22"/>
          <w:szCs w:val="22"/>
        </w:rPr>
        <w:t xml:space="preserve"> is </w:t>
      </w:r>
      <w:r w:rsidR="006F04EF" w:rsidRPr="0016759C">
        <w:rPr>
          <w:rFonts w:asciiTheme="minorHAnsi" w:hAnsiTheme="minorHAnsi" w:cstheme="minorHAnsi"/>
          <w:sz w:val="22"/>
          <w:szCs w:val="22"/>
        </w:rPr>
        <w:t>151.2</w:t>
      </w:r>
      <w:r w:rsidRPr="0016759C">
        <w:rPr>
          <w:rFonts w:asciiTheme="minorHAnsi" w:hAnsiTheme="minorHAnsi" w:cstheme="minorHAnsi"/>
          <w:sz w:val="22"/>
          <w:szCs w:val="22"/>
        </w:rPr>
        <w:t>˚</w:t>
      </w:r>
      <w:r w:rsidR="006F04EF" w:rsidRPr="0016759C">
        <w:rPr>
          <w:rFonts w:asciiTheme="minorHAnsi" w:hAnsiTheme="minorHAnsi" w:cstheme="minorHAnsi"/>
          <w:sz w:val="22"/>
          <w:szCs w:val="22"/>
        </w:rPr>
        <w:t>W,</w:t>
      </w:r>
      <w:r w:rsidRPr="0016759C">
        <w:rPr>
          <w:rFonts w:asciiTheme="minorHAnsi" w:hAnsiTheme="minorHAnsi" w:cstheme="minorHAnsi"/>
          <w:sz w:val="22"/>
          <w:szCs w:val="22"/>
        </w:rPr>
        <w:t xml:space="preserve"> 35.9˚N</w:t>
      </w:r>
      <w:r w:rsidR="00725BDC" w:rsidRPr="0016759C">
        <w:rPr>
          <w:rFonts w:asciiTheme="minorHAnsi" w:hAnsiTheme="minorHAnsi" w:cstheme="minorHAnsi"/>
          <w:sz w:val="22"/>
          <w:szCs w:val="22"/>
        </w:rPr>
        <w:t xml:space="preserve">.  </w:t>
      </w:r>
      <w:r w:rsidR="0016759C" w:rsidRPr="0016759C">
        <w:rPr>
          <w:rFonts w:asciiTheme="minorHAnsi" w:hAnsiTheme="minorHAnsi" w:cstheme="minorHAnsi"/>
          <w:sz w:val="22"/>
          <w:szCs w:val="22"/>
        </w:rPr>
        <w:t>Similarly, the mean position of the NASH is 44.6˚</w:t>
      </w:r>
      <w:r w:rsidR="0016759C">
        <w:rPr>
          <w:rFonts w:asciiTheme="minorHAnsi" w:hAnsiTheme="minorHAnsi" w:cstheme="minorHAnsi"/>
          <w:sz w:val="22"/>
          <w:szCs w:val="22"/>
        </w:rPr>
        <w:t>W, 34.1</w:t>
      </w:r>
      <w:r w:rsidR="0016759C" w:rsidRPr="0016759C">
        <w:rPr>
          <w:rFonts w:asciiTheme="minorHAnsi" w:hAnsiTheme="minorHAnsi" w:cstheme="minorHAnsi"/>
          <w:sz w:val="22"/>
          <w:szCs w:val="22"/>
        </w:rPr>
        <w:t>˚</w:t>
      </w:r>
      <w:r w:rsidR="0016759C">
        <w:rPr>
          <w:rFonts w:asciiTheme="minorHAnsi" w:hAnsiTheme="minorHAnsi" w:cstheme="minorHAnsi"/>
          <w:sz w:val="22"/>
          <w:szCs w:val="22"/>
        </w:rPr>
        <w:t xml:space="preserve">N in CESM and </w:t>
      </w:r>
      <w:r w:rsidR="007B018C">
        <w:rPr>
          <w:rFonts w:asciiTheme="minorHAnsi" w:hAnsiTheme="minorHAnsi" w:cstheme="minorHAnsi"/>
          <w:sz w:val="22"/>
          <w:szCs w:val="22"/>
        </w:rPr>
        <w:t>39.7</w:t>
      </w:r>
      <w:r w:rsidR="007B018C" w:rsidRPr="0016759C">
        <w:rPr>
          <w:rFonts w:asciiTheme="minorHAnsi" w:hAnsiTheme="minorHAnsi" w:cstheme="minorHAnsi"/>
          <w:sz w:val="22"/>
          <w:szCs w:val="22"/>
        </w:rPr>
        <w:t>˚</w:t>
      </w:r>
      <w:r w:rsidR="007B018C">
        <w:rPr>
          <w:rFonts w:asciiTheme="minorHAnsi" w:hAnsiTheme="minorHAnsi" w:cstheme="minorHAnsi"/>
          <w:sz w:val="22"/>
          <w:szCs w:val="22"/>
        </w:rPr>
        <w:t>W, 33.4</w:t>
      </w:r>
      <w:r w:rsidR="007B018C" w:rsidRPr="0016759C">
        <w:rPr>
          <w:rFonts w:asciiTheme="minorHAnsi" w:hAnsiTheme="minorHAnsi" w:cstheme="minorHAnsi"/>
          <w:sz w:val="22"/>
          <w:szCs w:val="22"/>
        </w:rPr>
        <w:t>˚</w:t>
      </w:r>
      <w:r w:rsidR="007B018C">
        <w:rPr>
          <w:rFonts w:asciiTheme="minorHAnsi" w:hAnsiTheme="minorHAnsi" w:cstheme="minorHAnsi"/>
          <w:sz w:val="22"/>
          <w:szCs w:val="22"/>
        </w:rPr>
        <w:t xml:space="preserve">N in ERA-Interim.  </w:t>
      </w:r>
    </w:p>
    <w:p w14:paraId="228F76FC" w14:textId="77777777" w:rsidR="0016759C" w:rsidRPr="0016759C" w:rsidRDefault="0016759C" w:rsidP="00EF25A3">
      <w:pPr>
        <w:pStyle w:val="SMText"/>
        <w:ind w:firstLine="0"/>
        <w:rPr>
          <w:rFonts w:asciiTheme="minorHAnsi" w:hAnsiTheme="minorHAnsi" w:cstheme="minorHAnsi"/>
          <w:sz w:val="22"/>
          <w:szCs w:val="22"/>
        </w:rPr>
      </w:pPr>
    </w:p>
    <w:p w14:paraId="6ED47894" w14:textId="672B9156" w:rsidR="0016759C" w:rsidRPr="0016759C" w:rsidRDefault="00052418" w:rsidP="00EF25A3">
      <w:pPr>
        <w:pStyle w:val="SMText"/>
        <w:ind w:firstLine="0"/>
        <w:rPr>
          <w:rFonts w:asciiTheme="minorHAnsi" w:hAnsiTheme="minorHAnsi" w:cstheme="minorHAnsi"/>
          <w:sz w:val="22"/>
          <w:szCs w:val="22"/>
        </w:rPr>
      </w:pPr>
      <w:r w:rsidRPr="0016759C">
        <w:rPr>
          <w:rFonts w:asciiTheme="minorHAnsi" w:hAnsiTheme="minorHAnsi" w:cstheme="minorHAnsi"/>
          <w:sz w:val="22"/>
          <w:szCs w:val="22"/>
        </w:rPr>
        <w:t>Hence, the model appears to have a good representation of the climatological mean state of the NPSH</w:t>
      </w:r>
      <w:r w:rsidR="007B018C">
        <w:rPr>
          <w:rFonts w:asciiTheme="minorHAnsi" w:hAnsiTheme="minorHAnsi" w:cstheme="minorHAnsi"/>
          <w:sz w:val="22"/>
          <w:szCs w:val="22"/>
        </w:rPr>
        <w:t xml:space="preserve">, though the modeled NASH is too far to the west.  This is unlikely to change the conclusions however: the patterns in the bottom row of Figure 2 miss the Canary current not because they are too far west, but because they are too far north.  </w:t>
      </w:r>
    </w:p>
    <w:p w14:paraId="14CA5E31" w14:textId="5A5E43DE" w:rsidR="0016759C" w:rsidRPr="0016759C" w:rsidRDefault="0016759C" w:rsidP="00EF25A3">
      <w:pPr>
        <w:pStyle w:val="SMText"/>
        <w:ind w:firstLine="0"/>
        <w:rPr>
          <w:rFonts w:asciiTheme="minorHAnsi" w:hAnsiTheme="minorHAnsi" w:cstheme="minorHAnsi"/>
          <w:sz w:val="22"/>
          <w:szCs w:val="22"/>
        </w:rPr>
      </w:pPr>
    </w:p>
    <w:p w14:paraId="2C87F69E" w14:textId="0A15B119" w:rsidR="00CF422F" w:rsidRPr="0016759C" w:rsidRDefault="00052418" w:rsidP="00EF25A3">
      <w:pPr>
        <w:pStyle w:val="SMText"/>
        <w:ind w:firstLine="0"/>
        <w:rPr>
          <w:rFonts w:asciiTheme="minorHAnsi" w:hAnsiTheme="minorHAnsi" w:cstheme="minorHAnsi"/>
          <w:sz w:val="22"/>
          <w:szCs w:val="22"/>
        </w:rPr>
      </w:pPr>
      <w:r w:rsidRPr="0016759C">
        <w:rPr>
          <w:rFonts w:asciiTheme="minorHAnsi" w:hAnsiTheme="minorHAnsi" w:cstheme="minorHAnsi"/>
          <w:sz w:val="22"/>
          <w:szCs w:val="22"/>
        </w:rPr>
        <w:t xml:space="preserve">On the other hand, the </w:t>
      </w:r>
      <w:r w:rsidR="00CF422F" w:rsidRPr="0016759C">
        <w:rPr>
          <w:rFonts w:asciiTheme="minorHAnsi" w:hAnsiTheme="minorHAnsi" w:cstheme="minorHAnsi"/>
          <w:sz w:val="22"/>
          <w:szCs w:val="22"/>
        </w:rPr>
        <w:t xml:space="preserve">mean JJA-season Hadley cell edge in CESM is at 38.5˚N, whereas in ERA-Interim it is found at </w:t>
      </w:r>
      <w:r w:rsidR="00233BDC" w:rsidRPr="0016759C">
        <w:rPr>
          <w:rFonts w:asciiTheme="minorHAnsi" w:hAnsiTheme="minorHAnsi" w:cstheme="minorHAnsi"/>
          <w:sz w:val="22"/>
          <w:szCs w:val="22"/>
        </w:rPr>
        <w:t xml:space="preserve">only </w:t>
      </w:r>
      <w:r w:rsidRPr="0016759C">
        <w:rPr>
          <w:rFonts w:asciiTheme="minorHAnsi" w:hAnsiTheme="minorHAnsi" w:cstheme="minorHAnsi"/>
          <w:sz w:val="22"/>
          <w:szCs w:val="22"/>
        </w:rPr>
        <w:t xml:space="preserve">32.7˚N.  This is a notable discrepancy, and could imply that the pattern of anomalies in SLP or other variables associated with shifts in the Hadley cell edge are </w:t>
      </w:r>
      <w:r w:rsidR="00CF2704" w:rsidRPr="0016759C">
        <w:rPr>
          <w:rFonts w:asciiTheme="minorHAnsi" w:hAnsiTheme="minorHAnsi" w:cstheme="minorHAnsi"/>
          <w:sz w:val="22"/>
          <w:szCs w:val="22"/>
        </w:rPr>
        <w:t xml:space="preserve">also </w:t>
      </w:r>
      <w:r w:rsidRPr="0016759C">
        <w:rPr>
          <w:rFonts w:asciiTheme="minorHAnsi" w:hAnsiTheme="minorHAnsi" w:cstheme="minorHAnsi"/>
          <w:sz w:val="22"/>
          <w:szCs w:val="22"/>
        </w:rPr>
        <w:t xml:space="preserve">displaced poleward compared to the real atmosphere.  </w:t>
      </w:r>
      <w:r w:rsidR="00D10AC5">
        <w:rPr>
          <w:rFonts w:asciiTheme="minorHAnsi" w:hAnsiTheme="minorHAnsi" w:cstheme="minorHAnsi"/>
          <w:sz w:val="22"/>
          <w:szCs w:val="22"/>
        </w:rPr>
        <w:t xml:space="preserve">Once again though, </w:t>
      </w:r>
      <w:r w:rsidR="00D10AC5" w:rsidRPr="0016759C">
        <w:rPr>
          <w:rFonts w:asciiTheme="minorHAnsi" w:hAnsiTheme="minorHAnsi" w:cstheme="minorHAnsi"/>
          <w:sz w:val="22"/>
          <w:szCs w:val="22"/>
        </w:rPr>
        <w:t>this displacement is unlikely to affect the conclusions of this study</w:t>
      </w:r>
      <w:r w:rsidR="00D10AC5">
        <w:rPr>
          <w:rFonts w:asciiTheme="minorHAnsi" w:hAnsiTheme="minorHAnsi" w:cstheme="minorHAnsi"/>
          <w:sz w:val="22"/>
          <w:szCs w:val="22"/>
        </w:rPr>
        <w:t xml:space="preserve">, as </w:t>
      </w:r>
      <w:r w:rsidRPr="0016759C">
        <w:rPr>
          <w:rFonts w:asciiTheme="minorHAnsi" w:hAnsiTheme="minorHAnsi" w:cstheme="minorHAnsi"/>
          <w:sz w:val="22"/>
          <w:szCs w:val="22"/>
        </w:rPr>
        <w:t>those</w:t>
      </w:r>
      <w:r w:rsidR="00D10AC5">
        <w:rPr>
          <w:rFonts w:asciiTheme="minorHAnsi" w:hAnsiTheme="minorHAnsi" w:cstheme="minorHAnsi"/>
          <w:sz w:val="22"/>
          <w:szCs w:val="22"/>
        </w:rPr>
        <w:t xml:space="preserve"> SLP</w:t>
      </w:r>
      <w:r w:rsidRPr="0016759C">
        <w:rPr>
          <w:rFonts w:asciiTheme="minorHAnsi" w:hAnsiTheme="minorHAnsi" w:cstheme="minorHAnsi"/>
          <w:sz w:val="22"/>
          <w:szCs w:val="22"/>
        </w:rPr>
        <w:t xml:space="preserve"> anomalies are weak at any latitude</w:t>
      </w:r>
      <w:r w:rsidR="00D10AC5">
        <w:rPr>
          <w:rFonts w:asciiTheme="minorHAnsi" w:hAnsiTheme="minorHAnsi" w:cstheme="minorHAnsi"/>
          <w:sz w:val="22"/>
          <w:szCs w:val="22"/>
        </w:rPr>
        <w:t xml:space="preserve"> </w:t>
      </w:r>
      <w:r w:rsidR="00D10AC5" w:rsidRPr="0016759C">
        <w:rPr>
          <w:rFonts w:asciiTheme="minorHAnsi" w:hAnsiTheme="minorHAnsi" w:cstheme="minorHAnsi"/>
          <w:sz w:val="22"/>
          <w:szCs w:val="22"/>
        </w:rPr>
        <w:t>(see Figure 5 of Schmidt &amp; Grise, 2019)</w:t>
      </w:r>
      <w:r w:rsidR="00D10AC5">
        <w:rPr>
          <w:rFonts w:asciiTheme="minorHAnsi" w:hAnsiTheme="minorHAnsi" w:cstheme="minorHAnsi"/>
          <w:sz w:val="22"/>
          <w:szCs w:val="22"/>
        </w:rPr>
        <w:t xml:space="preserve">.  </w:t>
      </w:r>
    </w:p>
    <w:p w14:paraId="0B762B01" w14:textId="3D2DFD66" w:rsidR="00CF422F" w:rsidRPr="0016759C" w:rsidRDefault="00CF422F" w:rsidP="00EF25A3">
      <w:pPr>
        <w:pStyle w:val="SMText"/>
        <w:ind w:firstLine="0"/>
        <w:rPr>
          <w:rFonts w:asciiTheme="minorHAnsi" w:hAnsiTheme="minorHAnsi" w:cstheme="minorHAnsi"/>
          <w:sz w:val="22"/>
          <w:szCs w:val="22"/>
        </w:rPr>
      </w:pPr>
    </w:p>
    <w:p w14:paraId="285EFB7C" w14:textId="5EE29E2F" w:rsidR="00FA5A72" w:rsidRPr="0016759C" w:rsidRDefault="00FA5A72" w:rsidP="00EF25A3">
      <w:pPr>
        <w:pStyle w:val="SMText"/>
        <w:ind w:firstLine="0"/>
        <w:rPr>
          <w:rFonts w:asciiTheme="minorHAnsi" w:hAnsiTheme="minorHAnsi" w:cstheme="minorHAnsi"/>
          <w:sz w:val="22"/>
          <w:szCs w:val="22"/>
        </w:rPr>
      </w:pPr>
    </w:p>
    <w:p w14:paraId="36DB5E9F" w14:textId="17F24F4A" w:rsidR="00FA5A72" w:rsidRPr="0016759C" w:rsidRDefault="00BA5BE1" w:rsidP="00EF25A3">
      <w:pPr>
        <w:pStyle w:val="SMText"/>
        <w:ind w:firstLine="0"/>
        <w:rPr>
          <w:rFonts w:asciiTheme="minorHAnsi" w:hAnsiTheme="minorHAnsi" w:cstheme="minorHAnsi"/>
          <w:sz w:val="22"/>
          <w:szCs w:val="22"/>
        </w:rPr>
      </w:pPr>
      <w:r w:rsidRPr="0016759C">
        <w:rPr>
          <w:rFonts w:asciiTheme="minorHAnsi" w:hAnsiTheme="minorHAnsi" w:cstheme="minorHAnsi"/>
          <w:b/>
          <w:bCs/>
          <w:sz w:val="22"/>
          <w:szCs w:val="22"/>
        </w:rPr>
        <w:t>Correlations Between Upwelling-Related Variables</w:t>
      </w:r>
    </w:p>
    <w:p w14:paraId="2B762FB7" w14:textId="07E68FA8" w:rsidR="00BA5BE1" w:rsidRPr="0016759C" w:rsidRDefault="00BA5BE1" w:rsidP="00EF25A3">
      <w:pPr>
        <w:pStyle w:val="SMText"/>
        <w:ind w:firstLine="0"/>
        <w:rPr>
          <w:rFonts w:asciiTheme="minorHAnsi" w:hAnsiTheme="minorHAnsi" w:cstheme="minorHAnsi"/>
          <w:sz w:val="22"/>
          <w:szCs w:val="22"/>
        </w:rPr>
      </w:pPr>
    </w:p>
    <w:p w14:paraId="18192AD8" w14:textId="6E3359C9" w:rsidR="00BA5BE1" w:rsidRDefault="00BA5BE1" w:rsidP="00BA5BE1">
      <w:pPr>
        <w:pStyle w:val="SMText"/>
        <w:spacing w:after="240"/>
        <w:ind w:firstLine="0"/>
        <w:rPr>
          <w:rFonts w:asciiTheme="minorHAnsi" w:hAnsiTheme="minorHAnsi" w:cstheme="minorHAnsi"/>
          <w:sz w:val="22"/>
          <w:szCs w:val="22"/>
        </w:rPr>
      </w:pPr>
      <w:r w:rsidRPr="0016759C">
        <w:rPr>
          <w:rFonts w:asciiTheme="minorHAnsi" w:hAnsiTheme="minorHAnsi" w:cstheme="minorHAnsi"/>
          <w:sz w:val="22"/>
          <w:szCs w:val="22"/>
        </w:rPr>
        <w:t>As described in the main text, there are four variables related to upwelling in the eastern boundary current regions: (1) surface wind stress, (2) surface ocean current, (3) upwelling, and (4) chlorophyll.  We define surface currents in terms of the highest model level, we use upwelling in the model layer spanning depths 50-60 meters, and we use chlorophyll summed over depths 0-100 meters.  For each of these four variables, we average over the red polygon</w:t>
      </w:r>
      <w:r w:rsidR="00D8169B">
        <w:rPr>
          <w:rFonts w:asciiTheme="minorHAnsi" w:hAnsiTheme="minorHAnsi" w:cstheme="minorHAnsi"/>
          <w:sz w:val="22"/>
          <w:szCs w:val="22"/>
        </w:rPr>
        <w:t>s</w:t>
      </w:r>
      <w:r w:rsidRPr="0016759C">
        <w:rPr>
          <w:rFonts w:asciiTheme="minorHAnsi" w:hAnsiTheme="minorHAnsi" w:cstheme="minorHAnsi"/>
          <w:sz w:val="22"/>
          <w:szCs w:val="22"/>
        </w:rPr>
        <w:t xml:space="preserve"> from Figure 1 to give a single index for each variable in each basin for each month.  </w:t>
      </w:r>
    </w:p>
    <w:p w14:paraId="71303AF5" w14:textId="73D5511E" w:rsidR="00F65CC7" w:rsidRPr="0016759C" w:rsidRDefault="00F65CC7" w:rsidP="00BA5BE1">
      <w:pPr>
        <w:pStyle w:val="SMText"/>
        <w:spacing w:after="240"/>
        <w:ind w:firstLine="0"/>
        <w:rPr>
          <w:rFonts w:asciiTheme="minorHAnsi" w:hAnsiTheme="minorHAnsi" w:cstheme="minorHAnsi"/>
          <w:sz w:val="22"/>
          <w:szCs w:val="22"/>
        </w:rPr>
      </w:pPr>
      <w:r>
        <w:rPr>
          <w:rFonts w:asciiTheme="minorHAnsi" w:hAnsiTheme="minorHAnsi" w:cstheme="minorHAnsi"/>
          <w:sz w:val="22"/>
          <w:szCs w:val="22"/>
        </w:rPr>
        <w:t xml:space="preserve">In order to </w:t>
      </w:r>
      <w:r w:rsidR="003115C3">
        <w:rPr>
          <w:rFonts w:asciiTheme="minorHAnsi" w:hAnsiTheme="minorHAnsi" w:cstheme="minorHAnsi"/>
          <w:sz w:val="22"/>
          <w:szCs w:val="22"/>
        </w:rPr>
        <w:t>distinguish</w:t>
      </w:r>
      <w:r>
        <w:rPr>
          <w:rFonts w:asciiTheme="minorHAnsi" w:hAnsiTheme="minorHAnsi" w:cstheme="minorHAnsi"/>
          <w:sz w:val="22"/>
          <w:szCs w:val="22"/>
        </w:rPr>
        <w:t xml:space="preserve"> alongshore </w:t>
      </w:r>
      <w:r w:rsidR="003115C3">
        <w:rPr>
          <w:rFonts w:asciiTheme="minorHAnsi" w:hAnsiTheme="minorHAnsi" w:cstheme="minorHAnsi"/>
          <w:sz w:val="22"/>
          <w:szCs w:val="22"/>
        </w:rPr>
        <w:t xml:space="preserve">from cross-shore </w:t>
      </w:r>
      <w:r>
        <w:rPr>
          <w:rFonts w:asciiTheme="minorHAnsi" w:hAnsiTheme="minorHAnsi" w:cstheme="minorHAnsi"/>
          <w:sz w:val="22"/>
          <w:szCs w:val="22"/>
        </w:rPr>
        <w:t>wind</w:t>
      </w:r>
      <w:r w:rsidR="003115C3">
        <w:rPr>
          <w:rFonts w:asciiTheme="minorHAnsi" w:hAnsiTheme="minorHAnsi" w:cstheme="minorHAnsi"/>
          <w:sz w:val="22"/>
          <w:szCs w:val="22"/>
        </w:rPr>
        <w:t>,</w:t>
      </w:r>
      <w:r>
        <w:rPr>
          <w:rFonts w:asciiTheme="minorHAnsi" w:hAnsiTheme="minorHAnsi" w:cstheme="minorHAnsi"/>
          <w:sz w:val="22"/>
          <w:szCs w:val="22"/>
        </w:rPr>
        <w:t xml:space="preserve"> It will be convenient to consider a rotated coordinate system: instead of the usual x- and y-coordinates, we will define, for each region, a t-coordinate in the alongshore direction (defined by a linear least-squares regression fit to the coastline) and an n-coordinate normal to this.  The positive t-direction is roughly to the north or northeast, and the positive n-direction is roughly to the east or southeast, toward land.  </w:t>
      </w:r>
    </w:p>
    <w:p w14:paraId="188D51D9" w14:textId="00C20B36" w:rsidR="00BA5BE1" w:rsidRPr="0016759C" w:rsidRDefault="00BA5BE1" w:rsidP="00BA5BE1">
      <w:pPr>
        <w:pStyle w:val="SMText"/>
        <w:spacing w:after="240"/>
        <w:ind w:firstLine="0"/>
        <w:rPr>
          <w:rFonts w:asciiTheme="minorHAnsi" w:hAnsiTheme="minorHAnsi" w:cstheme="minorHAnsi"/>
          <w:sz w:val="22"/>
          <w:szCs w:val="22"/>
        </w:rPr>
      </w:pPr>
      <w:r w:rsidRPr="0016759C">
        <w:rPr>
          <w:rFonts w:asciiTheme="minorHAnsi" w:hAnsiTheme="minorHAnsi" w:cstheme="minorHAnsi"/>
          <w:sz w:val="22"/>
          <w:szCs w:val="22"/>
        </w:rPr>
        <w:t xml:space="preserve">To verify the expected links between variables, we calculate the correlations shown in Figure S1.  Note that we show the correlations between the </w:t>
      </w:r>
      <w:r w:rsidR="00F65CC7">
        <w:rPr>
          <w:rFonts w:asciiTheme="minorHAnsi" w:hAnsiTheme="minorHAnsi" w:cstheme="minorHAnsi"/>
          <w:sz w:val="22"/>
          <w:szCs w:val="22"/>
        </w:rPr>
        <w:t>t</w:t>
      </w:r>
      <w:r w:rsidRPr="0016759C">
        <w:rPr>
          <w:rFonts w:asciiTheme="minorHAnsi" w:hAnsiTheme="minorHAnsi" w:cstheme="minorHAnsi"/>
          <w:sz w:val="22"/>
          <w:szCs w:val="22"/>
        </w:rPr>
        <w:t>-component of wind stress (TAU</w:t>
      </w:r>
      <w:r w:rsidR="00F65CC7">
        <w:rPr>
          <w:rFonts w:asciiTheme="minorHAnsi" w:hAnsiTheme="minorHAnsi" w:cstheme="minorHAnsi"/>
          <w:sz w:val="22"/>
          <w:szCs w:val="22"/>
        </w:rPr>
        <w:t>T</w:t>
      </w:r>
      <w:r w:rsidRPr="0016759C">
        <w:rPr>
          <w:rFonts w:asciiTheme="minorHAnsi" w:hAnsiTheme="minorHAnsi" w:cstheme="minorHAnsi"/>
          <w:sz w:val="22"/>
          <w:szCs w:val="22"/>
        </w:rPr>
        <w:t xml:space="preserve">) and the </w:t>
      </w:r>
      <w:r w:rsidR="00F65CC7">
        <w:rPr>
          <w:rFonts w:asciiTheme="minorHAnsi" w:hAnsiTheme="minorHAnsi" w:cstheme="minorHAnsi"/>
          <w:sz w:val="22"/>
          <w:szCs w:val="22"/>
        </w:rPr>
        <w:t>n</w:t>
      </w:r>
      <w:r w:rsidRPr="0016759C">
        <w:rPr>
          <w:rFonts w:asciiTheme="minorHAnsi" w:hAnsiTheme="minorHAnsi" w:cstheme="minorHAnsi"/>
          <w:sz w:val="22"/>
          <w:szCs w:val="22"/>
        </w:rPr>
        <w:t xml:space="preserve">-component of </w:t>
      </w:r>
      <w:r w:rsidR="00542C14" w:rsidRPr="0016759C">
        <w:rPr>
          <w:rFonts w:asciiTheme="minorHAnsi" w:hAnsiTheme="minorHAnsi" w:cstheme="minorHAnsi"/>
          <w:sz w:val="22"/>
          <w:szCs w:val="22"/>
        </w:rPr>
        <w:t xml:space="preserve">surface </w:t>
      </w:r>
      <w:r w:rsidRPr="0016759C">
        <w:rPr>
          <w:rFonts w:asciiTheme="minorHAnsi" w:hAnsiTheme="minorHAnsi" w:cstheme="minorHAnsi"/>
          <w:sz w:val="22"/>
          <w:szCs w:val="22"/>
        </w:rPr>
        <w:t>current (</w:t>
      </w:r>
      <w:r w:rsidR="00F65CC7">
        <w:rPr>
          <w:rFonts w:asciiTheme="minorHAnsi" w:hAnsiTheme="minorHAnsi" w:cstheme="minorHAnsi"/>
          <w:sz w:val="22"/>
          <w:szCs w:val="22"/>
        </w:rPr>
        <w:t>CURN</w:t>
      </w:r>
      <w:r w:rsidRPr="0016759C">
        <w:rPr>
          <w:rFonts w:asciiTheme="minorHAnsi" w:hAnsiTheme="minorHAnsi" w:cstheme="minorHAnsi"/>
          <w:sz w:val="22"/>
          <w:szCs w:val="22"/>
        </w:rPr>
        <w:t xml:space="preserve">).  The reason is that the </w:t>
      </w:r>
      <w:proofErr w:type="gramStart"/>
      <w:r w:rsidRPr="0016759C">
        <w:rPr>
          <w:rFonts w:asciiTheme="minorHAnsi" w:hAnsiTheme="minorHAnsi" w:cstheme="minorHAnsi"/>
          <w:sz w:val="22"/>
          <w:szCs w:val="22"/>
        </w:rPr>
        <w:t>0-10 meter</w:t>
      </w:r>
      <w:proofErr w:type="gramEnd"/>
      <w:r w:rsidRPr="0016759C">
        <w:rPr>
          <w:rFonts w:asciiTheme="minorHAnsi" w:hAnsiTheme="minorHAnsi" w:cstheme="minorHAnsi"/>
          <w:sz w:val="22"/>
          <w:szCs w:val="22"/>
        </w:rPr>
        <w:t xml:space="preserve"> layer of water</w:t>
      </w:r>
      <w:r w:rsidR="000A3049" w:rsidRPr="0016759C">
        <w:rPr>
          <w:rFonts w:asciiTheme="minorHAnsi" w:hAnsiTheme="minorHAnsi" w:cstheme="minorHAnsi"/>
          <w:sz w:val="22"/>
          <w:szCs w:val="22"/>
        </w:rPr>
        <w:t>, over which the “surface” current is defined,</w:t>
      </w:r>
      <w:r w:rsidRPr="0016759C">
        <w:rPr>
          <w:rFonts w:asciiTheme="minorHAnsi" w:hAnsiTheme="minorHAnsi" w:cstheme="minorHAnsi"/>
          <w:sz w:val="22"/>
          <w:szCs w:val="22"/>
        </w:rPr>
        <w:t xml:space="preserve"> is deep enough to include a substantial fraction of the Ekman layer, and the wind-driven current in this layer is somewhat to the right of the direction of the wind itself.  </w:t>
      </w:r>
    </w:p>
    <w:p w14:paraId="45A4FDE6" w14:textId="50F8597F" w:rsidR="007E7657" w:rsidRDefault="00AB2353" w:rsidP="00AB2353">
      <w:pPr>
        <w:pStyle w:val="SMText"/>
        <w:spacing w:after="240"/>
        <w:ind w:firstLine="0"/>
        <w:jc w:val="center"/>
        <w:rPr>
          <w:rFonts w:ascii="Myriad Pro" w:hAnsi="Myriad Pro"/>
          <w:b/>
          <w:bCs/>
          <w:sz w:val="22"/>
          <w:szCs w:val="22"/>
        </w:rPr>
      </w:pPr>
      <w:r>
        <w:rPr>
          <w:rFonts w:ascii="Myriad Pro" w:hAnsi="Myriad Pro"/>
          <w:b/>
          <w:bCs/>
          <w:noProof/>
          <w:sz w:val="22"/>
          <w:szCs w:val="22"/>
        </w:rPr>
        <w:drawing>
          <wp:inline distT="0" distB="0" distL="0" distR="0" wp14:anchorId="628E36F9" wp14:editId="65F59E7B">
            <wp:extent cx="4779264" cy="57851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1.tif"/>
                    <pic:cNvPicPr/>
                  </pic:nvPicPr>
                  <pic:blipFill>
                    <a:blip r:embed="rId8">
                      <a:extLst>
                        <a:ext uri="{28A0092B-C50C-407E-A947-70E740481C1C}">
                          <a14:useLocalDpi xmlns:a14="http://schemas.microsoft.com/office/drawing/2010/main" val="0"/>
                        </a:ext>
                      </a:extLst>
                    </a:blip>
                    <a:stretch>
                      <a:fillRect/>
                    </a:stretch>
                  </pic:blipFill>
                  <pic:spPr>
                    <a:xfrm>
                      <a:off x="0" y="0"/>
                      <a:ext cx="4779264" cy="5785104"/>
                    </a:xfrm>
                    <a:prstGeom prst="rect">
                      <a:avLst/>
                    </a:prstGeom>
                  </pic:spPr>
                </pic:pic>
              </a:graphicData>
            </a:graphic>
          </wp:inline>
        </w:drawing>
      </w:r>
    </w:p>
    <w:p w14:paraId="5B0811BB" w14:textId="77777777" w:rsidR="00AB2353" w:rsidRPr="00AB2353" w:rsidRDefault="00AB2353" w:rsidP="00AB2353">
      <w:pPr>
        <w:pStyle w:val="SMText"/>
        <w:spacing w:after="240"/>
        <w:ind w:firstLine="0"/>
        <w:rPr>
          <w:rFonts w:ascii="Myriad Pro" w:hAnsi="Myriad Pro"/>
          <w:sz w:val="22"/>
          <w:szCs w:val="22"/>
        </w:rPr>
      </w:pPr>
      <w:r w:rsidRPr="00AB2353">
        <w:rPr>
          <w:rFonts w:ascii="Myriad Pro" w:hAnsi="Myriad Pro"/>
          <w:b/>
          <w:bCs/>
          <w:sz w:val="22"/>
          <w:szCs w:val="22"/>
        </w:rPr>
        <w:t xml:space="preserve">Figure S1.  </w:t>
      </w:r>
      <w:r w:rsidRPr="00AB2353">
        <w:rPr>
          <w:rFonts w:ascii="Myriad Pro" w:hAnsi="Myriad Pro"/>
          <w:sz w:val="22"/>
          <w:szCs w:val="22"/>
        </w:rPr>
        <w:t xml:space="preserve">Correlations (blue numbers) among upwelling-related variables, including surface wind stress in the alongshore direction (TAUT) surface current in the cross-shore direction (CURN) upwelling at 50-60 meters (WVEL), and chlorophyll at 0-100 meters (CHL).  Each variable is averaged over one of the red polygons in Figure 1, using de-seasonalized JJA-season data from the first 500 years of the CESM fully-coupled control run.  Chlorophyll is lagged by 1 month for the California Current region only (see methods).  The alongshore direction is defined by a linear least-squares regression fit to the coastline within the red polygon, with the positive direction being roughly north or northeast, and the cross-shore direction is perpendicular to this, with the positive direction being roughly east or southeast.  </w:t>
      </w:r>
    </w:p>
    <w:p w14:paraId="0106E7EB" w14:textId="2F84DDC8" w:rsidR="00AB2353" w:rsidRPr="00AB2353" w:rsidRDefault="00AB2353" w:rsidP="00AB2353">
      <w:pPr>
        <w:pStyle w:val="SMText"/>
        <w:spacing w:after="240"/>
        <w:ind w:firstLine="0"/>
        <w:rPr>
          <w:rFonts w:ascii="Myriad Pro" w:hAnsi="Myriad Pro"/>
          <w:sz w:val="22"/>
          <w:szCs w:val="22"/>
        </w:rPr>
      </w:pPr>
      <w:r>
        <w:rPr>
          <w:rFonts w:ascii="Myriad Pro" w:hAnsi="Myriad Pro"/>
          <w:noProof/>
          <w:sz w:val="22"/>
          <w:szCs w:val="22"/>
        </w:rPr>
        <w:drawing>
          <wp:inline distT="0" distB="0" distL="0" distR="0" wp14:anchorId="060CB3E5" wp14:editId="6F8C10AD">
            <wp:extent cx="5352585" cy="5286991"/>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2.tif"/>
                    <pic:cNvPicPr/>
                  </pic:nvPicPr>
                  <pic:blipFill rotWithShape="1">
                    <a:blip r:embed="rId9">
                      <a:extLst>
                        <a:ext uri="{28A0092B-C50C-407E-A947-70E740481C1C}">
                          <a14:useLocalDpi xmlns:a14="http://schemas.microsoft.com/office/drawing/2010/main" val="0"/>
                        </a:ext>
                      </a:extLst>
                    </a:blip>
                    <a:srcRect l="10366" r="6704" b="8062"/>
                    <a:stretch/>
                  </pic:blipFill>
                  <pic:spPr bwMode="auto">
                    <a:xfrm>
                      <a:off x="0" y="0"/>
                      <a:ext cx="5376463" cy="5310577"/>
                    </a:xfrm>
                    <a:prstGeom prst="rect">
                      <a:avLst/>
                    </a:prstGeom>
                    <a:ln>
                      <a:noFill/>
                    </a:ln>
                    <a:extLst>
                      <a:ext uri="{53640926-AAD7-44D8-BBD7-CCE9431645EC}">
                        <a14:shadowObscured xmlns:a14="http://schemas.microsoft.com/office/drawing/2010/main"/>
                      </a:ext>
                    </a:extLst>
                  </pic:spPr>
                </pic:pic>
              </a:graphicData>
            </a:graphic>
          </wp:inline>
        </w:drawing>
      </w:r>
      <w:r w:rsidRPr="00AB2353">
        <w:rPr>
          <w:rFonts w:ascii="Myriad Pro" w:hAnsi="Myriad Pro"/>
          <w:b/>
          <w:bCs/>
          <w:sz w:val="22"/>
          <w:szCs w:val="22"/>
        </w:rPr>
        <w:t>Figure S2</w:t>
      </w:r>
      <w:r w:rsidRPr="00AB2353">
        <w:rPr>
          <w:rFonts w:ascii="Myriad Pro" w:hAnsi="Myriad Pro"/>
          <w:sz w:val="22"/>
          <w:szCs w:val="22"/>
        </w:rPr>
        <w:t xml:space="preserve">. Regression of 10-meter wind to the NPSH indices </w:t>
      </w:r>
      <w:r w:rsidRPr="00AB2353">
        <w:rPr>
          <w:rFonts w:ascii="Myriad Pro" w:hAnsi="Myriad Pro"/>
          <w:b/>
          <w:bCs/>
          <w:sz w:val="22"/>
          <w:szCs w:val="22"/>
        </w:rPr>
        <w:t xml:space="preserve">(top row) </w:t>
      </w:r>
      <w:r w:rsidRPr="00AB2353">
        <w:rPr>
          <w:rFonts w:ascii="Myriad Pro" w:hAnsi="Myriad Pro"/>
          <w:sz w:val="22"/>
          <w:szCs w:val="22"/>
        </w:rPr>
        <w:t xml:space="preserve">and NASH indices </w:t>
      </w:r>
      <w:r w:rsidRPr="00AB2353">
        <w:rPr>
          <w:rFonts w:ascii="Myriad Pro" w:hAnsi="Myriad Pro"/>
          <w:b/>
          <w:bCs/>
          <w:sz w:val="22"/>
          <w:szCs w:val="22"/>
        </w:rPr>
        <w:t>(bottom row)</w:t>
      </w:r>
      <w:r w:rsidRPr="00AB2353">
        <w:rPr>
          <w:rFonts w:ascii="Myriad Pro" w:hAnsi="Myriad Pro"/>
          <w:sz w:val="22"/>
          <w:szCs w:val="22"/>
        </w:rPr>
        <w:t>.</w:t>
      </w:r>
      <w:r w:rsidRPr="00AB2353">
        <w:rPr>
          <w:rFonts w:ascii="Myriad Pro" w:hAnsi="Myriad Pro"/>
          <w:b/>
          <w:bCs/>
          <w:sz w:val="22"/>
          <w:szCs w:val="22"/>
        </w:rPr>
        <w:t xml:space="preserve">  </w:t>
      </w:r>
      <w:r w:rsidRPr="00AB2353">
        <w:rPr>
          <w:rFonts w:ascii="Myriad Pro" w:hAnsi="Myriad Pro"/>
          <w:sz w:val="22"/>
          <w:szCs w:val="22"/>
        </w:rPr>
        <w:t xml:space="preserve">All data are de-seasonalized and de-trended monthly means from the JJA seasons of ERA-Interim data, using years 1980-2016. The bold arrow in the corner represents a regression of 4 (m/s)/sigma, for scale, where sigma represents the standard deviation of the index.  </w:t>
      </w:r>
      <w:r w:rsidRPr="00AB2353">
        <w:rPr>
          <w:rFonts w:ascii="Myriad Pro" w:hAnsi="Myriad Pro"/>
          <w:b/>
          <w:bCs/>
          <w:sz w:val="22"/>
          <w:szCs w:val="22"/>
        </w:rPr>
        <w:t xml:space="preserve">Note that the scale cannot be directly compared with Figure 2.  </w:t>
      </w:r>
    </w:p>
    <w:p w14:paraId="4FAF5257" w14:textId="13F6A1C2" w:rsidR="009A175F" w:rsidRDefault="009A175F" w:rsidP="00BA5BE1">
      <w:pPr>
        <w:pStyle w:val="SMText"/>
        <w:spacing w:after="240"/>
        <w:ind w:firstLine="0"/>
        <w:rPr>
          <w:rFonts w:ascii="Myriad Pro" w:hAnsi="Myriad Pro"/>
          <w:sz w:val="22"/>
          <w:szCs w:val="22"/>
        </w:rPr>
      </w:pPr>
    </w:p>
    <w:p w14:paraId="1F09A237" w14:textId="56E7EE6D" w:rsidR="009A175F" w:rsidRDefault="00710C91" w:rsidP="009A175F">
      <w:pPr>
        <w:pStyle w:val="SMText"/>
        <w:spacing w:after="240"/>
        <w:ind w:firstLine="0"/>
        <w:rPr>
          <w:rFonts w:ascii="Myriad Pro" w:hAnsi="Myriad Pro"/>
          <w:sz w:val="22"/>
          <w:szCs w:val="22"/>
        </w:rPr>
      </w:pPr>
      <w:r>
        <w:rPr>
          <w:rFonts w:ascii="Myriad Pro" w:hAnsi="Myriad Pro"/>
          <w:noProof/>
          <w:sz w:val="22"/>
          <w:szCs w:val="22"/>
        </w:rPr>
        <w:drawing>
          <wp:anchor distT="0" distB="0" distL="114300" distR="114300" simplePos="0" relativeHeight="251659264" behindDoc="0" locked="0" layoutInCell="1" allowOverlap="1" wp14:anchorId="4EDBB0B9" wp14:editId="5D177BED">
            <wp:simplePos x="0" y="0"/>
            <wp:positionH relativeFrom="column">
              <wp:posOffset>0</wp:posOffset>
            </wp:positionH>
            <wp:positionV relativeFrom="paragraph">
              <wp:posOffset>0</wp:posOffset>
            </wp:positionV>
            <wp:extent cx="5486400" cy="24739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tif"/>
                    <pic:cNvPicPr/>
                  </pic:nvPicPr>
                  <pic:blipFill>
                    <a:blip r:embed="rId10">
                      <a:extLst>
                        <a:ext uri="{28A0092B-C50C-407E-A947-70E740481C1C}">
                          <a14:useLocalDpi xmlns:a14="http://schemas.microsoft.com/office/drawing/2010/main" val="0"/>
                        </a:ext>
                      </a:extLst>
                    </a:blip>
                    <a:stretch>
                      <a:fillRect/>
                    </a:stretch>
                  </pic:blipFill>
                  <pic:spPr>
                    <a:xfrm>
                      <a:off x="0" y="0"/>
                      <a:ext cx="5486400" cy="2473960"/>
                    </a:xfrm>
                    <a:prstGeom prst="rect">
                      <a:avLst/>
                    </a:prstGeom>
                  </pic:spPr>
                </pic:pic>
              </a:graphicData>
            </a:graphic>
          </wp:anchor>
        </w:drawing>
      </w:r>
      <w:r w:rsidR="009A175F" w:rsidRPr="009A175F">
        <w:rPr>
          <w:rFonts w:ascii="Myriad Pro" w:hAnsi="Myriad Pro"/>
          <w:b/>
          <w:bCs/>
          <w:sz w:val="22"/>
          <w:szCs w:val="22"/>
        </w:rPr>
        <w:t>Figure S</w:t>
      </w:r>
      <w:r w:rsidR="00AB2353">
        <w:rPr>
          <w:rFonts w:ascii="Myriad Pro" w:hAnsi="Myriad Pro"/>
          <w:b/>
          <w:bCs/>
          <w:sz w:val="22"/>
          <w:szCs w:val="22"/>
        </w:rPr>
        <w:t>3</w:t>
      </w:r>
      <w:r w:rsidR="009A175F" w:rsidRPr="009A175F">
        <w:rPr>
          <w:rFonts w:ascii="Myriad Pro" w:hAnsi="Myriad Pro"/>
          <w:b/>
          <w:bCs/>
          <w:sz w:val="22"/>
          <w:szCs w:val="22"/>
        </w:rPr>
        <w:t>.</w:t>
      </w:r>
      <w:r w:rsidR="009A175F" w:rsidRPr="009A175F">
        <w:rPr>
          <w:rFonts w:ascii="Myriad Pro" w:hAnsi="Myriad Pro"/>
          <w:sz w:val="22"/>
          <w:szCs w:val="22"/>
        </w:rPr>
        <w:t xml:space="preserve">  As in Figure 4, but for </w:t>
      </w:r>
      <w:r w:rsidR="007666D5">
        <w:rPr>
          <w:rFonts w:ascii="Myriad Pro" w:hAnsi="Myriad Pro"/>
          <w:sz w:val="22"/>
          <w:szCs w:val="22"/>
        </w:rPr>
        <w:t xml:space="preserve">the </w:t>
      </w:r>
      <w:r w:rsidR="009A175F" w:rsidRPr="009A175F">
        <w:rPr>
          <w:rFonts w:ascii="Myriad Pro" w:hAnsi="Myriad Pro"/>
          <w:sz w:val="22"/>
          <w:szCs w:val="22"/>
        </w:rPr>
        <w:t xml:space="preserve">Northern Hemisphere Hadley cell width and strength instead of </w:t>
      </w:r>
      <w:r w:rsidR="007666D5">
        <w:rPr>
          <w:rFonts w:ascii="Myriad Pro" w:hAnsi="Myriad Pro"/>
          <w:sz w:val="22"/>
          <w:szCs w:val="22"/>
        </w:rPr>
        <w:t xml:space="preserve">the </w:t>
      </w:r>
      <w:r w:rsidR="009A175F" w:rsidRPr="009A175F">
        <w:rPr>
          <w:rFonts w:ascii="Myriad Pro" w:hAnsi="Myriad Pro"/>
          <w:sz w:val="22"/>
          <w:szCs w:val="22"/>
        </w:rPr>
        <w:t xml:space="preserve">subtropical high indices.  </w:t>
      </w:r>
      <w:r w:rsidR="009A175F">
        <w:rPr>
          <w:rFonts w:ascii="Myriad Pro" w:hAnsi="Myriad Pro"/>
          <w:sz w:val="22"/>
          <w:szCs w:val="22"/>
        </w:rPr>
        <w:t>C</w:t>
      </w:r>
      <w:r w:rsidR="009A175F" w:rsidRPr="009A175F">
        <w:rPr>
          <w:rFonts w:ascii="Myriad Pro" w:hAnsi="Myriad Pro"/>
          <w:sz w:val="22"/>
          <w:szCs w:val="22"/>
        </w:rPr>
        <w:t xml:space="preserve">hlorophyll is lagged by 1 month in the </w:t>
      </w:r>
      <w:r w:rsidR="00090412">
        <w:rPr>
          <w:rFonts w:ascii="Myriad Pro" w:hAnsi="Myriad Pro"/>
          <w:sz w:val="22"/>
          <w:szCs w:val="22"/>
        </w:rPr>
        <w:t>Pacific</w:t>
      </w:r>
      <w:r w:rsidR="000A3049" w:rsidRPr="009A175F">
        <w:rPr>
          <w:rFonts w:ascii="Myriad Pro" w:hAnsi="Myriad Pro"/>
          <w:sz w:val="22"/>
          <w:szCs w:val="22"/>
        </w:rPr>
        <w:t xml:space="preserve"> </w:t>
      </w:r>
      <w:r w:rsidR="009A175F" w:rsidRPr="009A175F">
        <w:rPr>
          <w:rFonts w:ascii="Myriad Pro" w:hAnsi="Myriad Pro"/>
          <w:sz w:val="22"/>
          <w:szCs w:val="22"/>
        </w:rPr>
        <w:t>only</w:t>
      </w:r>
      <w:r w:rsidR="00A603F7">
        <w:rPr>
          <w:rFonts w:ascii="Myriad Pro" w:hAnsi="Myriad Pro"/>
          <w:sz w:val="22"/>
          <w:szCs w:val="22"/>
        </w:rPr>
        <w:t xml:space="preserve"> (left panel)</w:t>
      </w:r>
      <w:r w:rsidR="009A175F" w:rsidRPr="009A175F">
        <w:rPr>
          <w:rFonts w:ascii="Myriad Pro" w:hAnsi="Myriad Pro"/>
          <w:sz w:val="22"/>
          <w:szCs w:val="22"/>
        </w:rPr>
        <w:t>.</w:t>
      </w:r>
    </w:p>
    <w:p w14:paraId="07B891B4" w14:textId="640FE855" w:rsidR="009A175F" w:rsidRDefault="009A175F" w:rsidP="009A175F">
      <w:pPr>
        <w:pStyle w:val="SMText"/>
        <w:spacing w:after="240"/>
        <w:ind w:firstLine="0"/>
        <w:rPr>
          <w:rFonts w:ascii="Myriad Pro" w:hAnsi="Myriad Pro"/>
          <w:sz w:val="22"/>
          <w:szCs w:val="22"/>
        </w:rPr>
      </w:pPr>
    </w:p>
    <w:p w14:paraId="5150FD96" w14:textId="77777777" w:rsidR="00710C91" w:rsidRDefault="00710C91" w:rsidP="009A175F">
      <w:pPr>
        <w:pStyle w:val="SMText"/>
        <w:spacing w:after="240"/>
        <w:ind w:firstLine="0"/>
        <w:rPr>
          <w:rFonts w:ascii="Myriad Pro" w:hAnsi="Myriad Pro"/>
          <w:sz w:val="22"/>
          <w:szCs w:val="22"/>
        </w:rPr>
      </w:pPr>
    </w:p>
    <w:p w14:paraId="5C5E9F1B" w14:textId="2A3E3A1D" w:rsidR="009A175F" w:rsidRDefault="009A175F" w:rsidP="009A175F">
      <w:pPr>
        <w:pStyle w:val="SMText"/>
        <w:spacing w:after="240"/>
        <w:ind w:firstLine="0"/>
        <w:rPr>
          <w:rFonts w:ascii="Myriad Pro" w:hAnsi="Myriad Pro"/>
          <w:sz w:val="22"/>
          <w:szCs w:val="22"/>
        </w:rPr>
      </w:pPr>
      <w:r>
        <w:rPr>
          <w:rFonts w:ascii="Myriad Pro" w:hAnsi="Myriad Pro"/>
          <w:noProof/>
          <w:sz w:val="22"/>
          <w:szCs w:val="22"/>
        </w:rPr>
        <w:drawing>
          <wp:inline distT="0" distB="0" distL="0" distR="0" wp14:anchorId="2138D164" wp14:editId="489F81AA">
            <wp:extent cx="5486400" cy="2199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S1.tif"/>
                    <pic:cNvPicPr/>
                  </pic:nvPicPr>
                  <pic:blipFill>
                    <a:blip r:embed="rId11">
                      <a:extLst>
                        <a:ext uri="{28A0092B-C50C-407E-A947-70E740481C1C}">
                          <a14:useLocalDpi xmlns:a14="http://schemas.microsoft.com/office/drawing/2010/main" val="0"/>
                        </a:ext>
                      </a:extLst>
                    </a:blip>
                    <a:stretch>
                      <a:fillRect/>
                    </a:stretch>
                  </pic:blipFill>
                  <pic:spPr>
                    <a:xfrm>
                      <a:off x="0" y="0"/>
                      <a:ext cx="5486400" cy="2199005"/>
                    </a:xfrm>
                    <a:prstGeom prst="rect">
                      <a:avLst/>
                    </a:prstGeom>
                  </pic:spPr>
                </pic:pic>
              </a:graphicData>
            </a:graphic>
          </wp:inline>
        </w:drawing>
      </w:r>
    </w:p>
    <w:p w14:paraId="30483ED5" w14:textId="53CB2547" w:rsidR="009A175F" w:rsidRDefault="009A175F" w:rsidP="009A175F">
      <w:pPr>
        <w:pStyle w:val="SMText"/>
        <w:spacing w:after="240"/>
        <w:ind w:firstLine="0"/>
        <w:rPr>
          <w:rFonts w:ascii="Myriad Pro" w:hAnsi="Myriad Pro"/>
          <w:sz w:val="22"/>
          <w:szCs w:val="22"/>
        </w:rPr>
      </w:pPr>
      <w:r w:rsidRPr="009A175F">
        <w:rPr>
          <w:rFonts w:ascii="Myriad Pro" w:hAnsi="Myriad Pro"/>
          <w:b/>
          <w:bCs/>
          <w:sz w:val="22"/>
          <w:szCs w:val="22"/>
        </w:rPr>
        <w:t>Table S1.</w:t>
      </w:r>
      <w:r w:rsidRPr="009A175F">
        <w:rPr>
          <w:rFonts w:ascii="Myriad Pro" w:hAnsi="Myriad Pro"/>
          <w:sz w:val="22"/>
          <w:szCs w:val="22"/>
        </w:rPr>
        <w:t xml:space="preserve">  Correlations among subtropical high indices</w:t>
      </w:r>
      <w:r w:rsidR="002A66E6">
        <w:rPr>
          <w:rFonts w:ascii="Myriad Pro" w:hAnsi="Myriad Pro"/>
          <w:sz w:val="22"/>
          <w:szCs w:val="22"/>
        </w:rPr>
        <w:t xml:space="preserve"> (</w:t>
      </w:r>
      <w:proofErr w:type="spellStart"/>
      <w:r w:rsidR="002A66E6">
        <w:rPr>
          <w:rFonts w:ascii="Myriad Pro" w:hAnsi="Myriad Pro"/>
          <w:sz w:val="22"/>
          <w:szCs w:val="22"/>
        </w:rPr>
        <w:t>lon</w:t>
      </w:r>
      <w:proofErr w:type="spellEnd"/>
      <w:r w:rsidR="002A66E6">
        <w:rPr>
          <w:rFonts w:ascii="Myriad Pro" w:hAnsi="Myriad Pro"/>
          <w:sz w:val="22"/>
          <w:szCs w:val="22"/>
        </w:rPr>
        <w:t xml:space="preserve">: longitude, </w:t>
      </w:r>
      <w:proofErr w:type="spellStart"/>
      <w:r w:rsidR="002A66E6">
        <w:rPr>
          <w:rFonts w:ascii="Myriad Pro" w:hAnsi="Myriad Pro"/>
          <w:sz w:val="22"/>
          <w:szCs w:val="22"/>
        </w:rPr>
        <w:t>lat</w:t>
      </w:r>
      <w:proofErr w:type="spellEnd"/>
      <w:r w:rsidR="002A66E6">
        <w:rPr>
          <w:rFonts w:ascii="Myriad Pro" w:hAnsi="Myriad Pro"/>
          <w:sz w:val="22"/>
          <w:szCs w:val="22"/>
        </w:rPr>
        <w:t>: latitude, and str: strength)</w:t>
      </w:r>
      <w:r w:rsidRPr="009A175F">
        <w:rPr>
          <w:rFonts w:ascii="Myriad Pro" w:hAnsi="Myriad Pro"/>
          <w:sz w:val="22"/>
          <w:szCs w:val="22"/>
        </w:rPr>
        <w:t xml:space="preserve">, using monthly de-seasonalized JJA-season data from the full 1800 years of the CESM coupled control run.  Due to the long time series, all correlations larger than 0.03 are statistically significant at the </w:t>
      </w:r>
      <w:r w:rsidRPr="009A175F">
        <w:rPr>
          <w:rFonts w:ascii="Cambria Math" w:hAnsi="Cambria Math" w:cs="Cambria Math"/>
          <w:sz w:val="22"/>
          <w:szCs w:val="22"/>
        </w:rPr>
        <w:t>𝑝</w:t>
      </w:r>
      <w:r w:rsidRPr="009A175F">
        <w:rPr>
          <w:rFonts w:ascii="Myriad Pro" w:hAnsi="Myriad Pro"/>
          <w:sz w:val="22"/>
          <w:szCs w:val="22"/>
        </w:rPr>
        <w:t xml:space="preserve">&lt;0.01 level.  </w:t>
      </w:r>
    </w:p>
    <w:p w14:paraId="08FF84C2" w14:textId="4D94A9C4" w:rsidR="009A175F" w:rsidRDefault="009A175F" w:rsidP="009A175F">
      <w:pPr>
        <w:pStyle w:val="SMText"/>
        <w:spacing w:after="240"/>
        <w:ind w:firstLine="0"/>
        <w:rPr>
          <w:rFonts w:ascii="Myriad Pro" w:hAnsi="Myriad Pro"/>
          <w:sz w:val="22"/>
          <w:szCs w:val="22"/>
        </w:rPr>
      </w:pPr>
    </w:p>
    <w:p w14:paraId="5B41B33F" w14:textId="02865913" w:rsidR="009A175F" w:rsidRDefault="009A175F" w:rsidP="009A175F">
      <w:pPr>
        <w:pStyle w:val="SMText"/>
        <w:spacing w:after="240"/>
        <w:ind w:firstLine="0"/>
        <w:rPr>
          <w:rFonts w:ascii="Myriad Pro" w:hAnsi="Myriad Pro"/>
          <w:sz w:val="22"/>
          <w:szCs w:val="22"/>
        </w:rPr>
      </w:pPr>
    </w:p>
    <w:p w14:paraId="7713D191" w14:textId="4E5B9333" w:rsidR="009A175F" w:rsidRDefault="009A175F" w:rsidP="009A175F">
      <w:pPr>
        <w:pStyle w:val="SMText"/>
        <w:spacing w:after="240"/>
        <w:ind w:firstLine="0"/>
        <w:rPr>
          <w:rFonts w:ascii="Myriad Pro" w:hAnsi="Myriad Pro"/>
          <w:sz w:val="22"/>
          <w:szCs w:val="22"/>
        </w:rPr>
      </w:pPr>
    </w:p>
    <w:p w14:paraId="2BB585CF" w14:textId="77777777" w:rsidR="009A175F" w:rsidRDefault="009A175F" w:rsidP="009A175F">
      <w:pPr>
        <w:pStyle w:val="SMText"/>
        <w:spacing w:after="240"/>
        <w:ind w:firstLine="0"/>
        <w:rPr>
          <w:rFonts w:ascii="Myriad Pro" w:hAnsi="Myriad Pro"/>
          <w:sz w:val="22"/>
          <w:szCs w:val="22"/>
        </w:rPr>
      </w:pPr>
      <w:r>
        <w:rPr>
          <w:rFonts w:ascii="Myriad Pro" w:hAnsi="Myriad Pro"/>
          <w:noProof/>
          <w:sz w:val="22"/>
          <w:szCs w:val="22"/>
        </w:rPr>
        <w:drawing>
          <wp:inline distT="0" distB="0" distL="0" distR="0" wp14:anchorId="580FC069" wp14:editId="190E164B">
            <wp:extent cx="5486400" cy="1590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S2.tif"/>
                    <pic:cNvPicPr/>
                  </pic:nvPicPr>
                  <pic:blipFill>
                    <a:blip r:embed="rId12">
                      <a:extLst>
                        <a:ext uri="{28A0092B-C50C-407E-A947-70E740481C1C}">
                          <a14:useLocalDpi xmlns:a14="http://schemas.microsoft.com/office/drawing/2010/main" val="0"/>
                        </a:ext>
                      </a:extLst>
                    </a:blip>
                    <a:stretch>
                      <a:fillRect/>
                    </a:stretch>
                  </pic:blipFill>
                  <pic:spPr>
                    <a:xfrm>
                      <a:off x="0" y="0"/>
                      <a:ext cx="5486400" cy="1590675"/>
                    </a:xfrm>
                    <a:prstGeom prst="rect">
                      <a:avLst/>
                    </a:prstGeom>
                  </pic:spPr>
                </pic:pic>
              </a:graphicData>
            </a:graphic>
          </wp:inline>
        </w:drawing>
      </w:r>
    </w:p>
    <w:p w14:paraId="093F8A4E" w14:textId="669AF58C" w:rsidR="009A175F" w:rsidRDefault="009A175F" w:rsidP="009A175F">
      <w:pPr>
        <w:pStyle w:val="SMText"/>
        <w:spacing w:after="240"/>
        <w:ind w:firstLine="0"/>
        <w:rPr>
          <w:rFonts w:ascii="Myriad Pro" w:hAnsi="Myriad Pro"/>
          <w:sz w:val="22"/>
          <w:szCs w:val="22"/>
        </w:rPr>
      </w:pPr>
      <w:r w:rsidRPr="009A175F">
        <w:rPr>
          <w:rFonts w:ascii="Myriad Pro" w:hAnsi="Myriad Pro"/>
          <w:b/>
          <w:bCs/>
          <w:sz w:val="22"/>
          <w:szCs w:val="22"/>
        </w:rPr>
        <w:t>Table S2.</w:t>
      </w:r>
      <w:r w:rsidRPr="009A175F">
        <w:rPr>
          <w:rFonts w:ascii="Myriad Pro" w:hAnsi="Myriad Pro"/>
          <w:sz w:val="22"/>
          <w:szCs w:val="22"/>
        </w:rPr>
        <w:t xml:space="preserve">  Correlations between subtropical high indices and upwelling-related indices, using de-seasonalized JJA-season data from the first 500 years of the CESM fully-coupled control run.  Chlorophyll</w:t>
      </w:r>
      <w:r w:rsidR="007D107E">
        <w:rPr>
          <w:rFonts w:ascii="Myriad Pro" w:hAnsi="Myriad Pro"/>
          <w:sz w:val="22"/>
          <w:szCs w:val="22"/>
        </w:rPr>
        <w:t xml:space="preserve"> (</w:t>
      </w:r>
      <w:proofErr w:type="spellStart"/>
      <w:r w:rsidR="007D107E">
        <w:rPr>
          <w:rFonts w:ascii="Myriad Pro" w:hAnsi="Myriad Pro"/>
          <w:sz w:val="22"/>
          <w:szCs w:val="22"/>
        </w:rPr>
        <w:t>Chl</w:t>
      </w:r>
      <w:proofErr w:type="spellEnd"/>
      <w:r w:rsidR="007D107E">
        <w:rPr>
          <w:rFonts w:ascii="Myriad Pro" w:hAnsi="Myriad Pro"/>
          <w:sz w:val="22"/>
          <w:szCs w:val="22"/>
        </w:rPr>
        <w:t>)</w:t>
      </w:r>
      <w:r w:rsidRPr="009A175F">
        <w:rPr>
          <w:rFonts w:ascii="Myriad Pro" w:hAnsi="Myriad Pro"/>
          <w:sz w:val="22"/>
          <w:szCs w:val="22"/>
        </w:rPr>
        <w:t xml:space="preserve"> and wind stress</w:t>
      </w:r>
      <w:r w:rsidR="007D107E">
        <w:rPr>
          <w:rFonts w:ascii="Myriad Pro" w:hAnsi="Myriad Pro"/>
          <w:sz w:val="22"/>
          <w:szCs w:val="22"/>
        </w:rPr>
        <w:t xml:space="preserve"> (TAUX, TAUY)</w:t>
      </w:r>
      <w:r w:rsidRPr="009A175F">
        <w:rPr>
          <w:rFonts w:ascii="Myriad Pro" w:hAnsi="Myriad Pro"/>
          <w:sz w:val="22"/>
          <w:szCs w:val="22"/>
        </w:rPr>
        <w:t xml:space="preserve"> are averaged over the red polygons from Figure 1.  Chlorophyll is lagged by 1 month for </w:t>
      </w:r>
      <w:r>
        <w:rPr>
          <w:rFonts w:ascii="Myriad Pro" w:hAnsi="Myriad Pro"/>
          <w:sz w:val="22"/>
          <w:szCs w:val="22"/>
        </w:rPr>
        <w:t xml:space="preserve">the </w:t>
      </w:r>
      <w:r w:rsidR="000A3049">
        <w:rPr>
          <w:rFonts w:ascii="Myriad Pro" w:hAnsi="Myriad Pro"/>
          <w:sz w:val="22"/>
          <w:szCs w:val="22"/>
        </w:rPr>
        <w:t>California Current</w:t>
      </w:r>
      <w:r>
        <w:rPr>
          <w:rFonts w:ascii="Myriad Pro" w:hAnsi="Myriad Pro"/>
          <w:sz w:val="22"/>
          <w:szCs w:val="22"/>
        </w:rPr>
        <w:t xml:space="preserve"> only</w:t>
      </w:r>
      <w:r w:rsidRPr="009A175F">
        <w:rPr>
          <w:rFonts w:ascii="Myriad Pro" w:hAnsi="Myriad Pro"/>
          <w:sz w:val="22"/>
          <w:szCs w:val="22"/>
        </w:rPr>
        <w:t xml:space="preserve"> (see text).  Due to the long time series of 1500 months, all correlations with absolute value greater than or equal to 0.06 are statistically significant at the </w:t>
      </w:r>
      <w:r w:rsidRPr="009A175F">
        <w:rPr>
          <w:rFonts w:ascii="Cambria Math" w:hAnsi="Cambria Math" w:cs="Cambria Math"/>
          <w:sz w:val="22"/>
          <w:szCs w:val="22"/>
        </w:rPr>
        <w:t>𝑝</w:t>
      </w:r>
      <w:r w:rsidRPr="009A175F">
        <w:rPr>
          <w:rFonts w:ascii="Myriad Pro" w:hAnsi="Myriad Pro"/>
          <w:sz w:val="22"/>
          <w:szCs w:val="22"/>
        </w:rPr>
        <w:t xml:space="preserve">&lt;0.05 level.  (The cutoff is 0.07 for </w:t>
      </w:r>
      <w:r>
        <w:rPr>
          <w:rFonts w:ascii="Myriad Pro" w:hAnsi="Myriad Pro"/>
          <w:sz w:val="22"/>
          <w:szCs w:val="22"/>
        </w:rPr>
        <w:t>Pacific</w:t>
      </w:r>
      <w:r w:rsidRPr="009A175F">
        <w:rPr>
          <w:rFonts w:ascii="Myriad Pro" w:hAnsi="Myriad Pro"/>
          <w:sz w:val="22"/>
          <w:szCs w:val="22"/>
        </w:rPr>
        <w:t xml:space="preserve"> chlorophyll, where only 1000 months are used</w:t>
      </w:r>
      <w:r>
        <w:rPr>
          <w:rFonts w:ascii="Myriad Pro" w:hAnsi="Myriad Pro"/>
          <w:sz w:val="22"/>
          <w:szCs w:val="22"/>
        </w:rPr>
        <w:t xml:space="preserve"> due to the lag</w:t>
      </w:r>
      <w:r w:rsidRPr="009A175F">
        <w:rPr>
          <w:rFonts w:ascii="Myriad Pro" w:hAnsi="Myriad Pro"/>
          <w:sz w:val="22"/>
          <w:szCs w:val="22"/>
        </w:rPr>
        <w:t xml:space="preserve">).  </w:t>
      </w:r>
    </w:p>
    <w:p w14:paraId="2C7C33DA" w14:textId="77777777" w:rsidR="009A175F" w:rsidRDefault="009A175F" w:rsidP="009A175F">
      <w:pPr>
        <w:pStyle w:val="SMText"/>
        <w:spacing w:after="240"/>
        <w:ind w:firstLine="0"/>
        <w:rPr>
          <w:rFonts w:ascii="Myriad Pro" w:hAnsi="Myriad Pro"/>
          <w:sz w:val="22"/>
          <w:szCs w:val="22"/>
        </w:rPr>
      </w:pPr>
    </w:p>
    <w:p w14:paraId="2A2AEF1C" w14:textId="092ECAEB" w:rsidR="009A175F" w:rsidRDefault="009A175F" w:rsidP="009A175F">
      <w:pPr>
        <w:pStyle w:val="SMText"/>
        <w:spacing w:after="240"/>
        <w:ind w:firstLine="0"/>
        <w:rPr>
          <w:rFonts w:ascii="Myriad Pro" w:hAnsi="Myriad Pro"/>
          <w:sz w:val="22"/>
          <w:szCs w:val="22"/>
        </w:rPr>
      </w:pPr>
      <w:r>
        <w:rPr>
          <w:rFonts w:ascii="Myriad Pro" w:hAnsi="Myriad Pro"/>
          <w:noProof/>
          <w:sz w:val="22"/>
          <w:szCs w:val="22"/>
        </w:rPr>
        <w:drawing>
          <wp:inline distT="0" distB="0" distL="0" distR="0" wp14:anchorId="6732D031" wp14:editId="4C79F145">
            <wp:extent cx="5486400" cy="1661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S3.tif"/>
                    <pic:cNvPicPr/>
                  </pic:nvPicPr>
                  <pic:blipFill>
                    <a:blip r:embed="rId13">
                      <a:extLst>
                        <a:ext uri="{28A0092B-C50C-407E-A947-70E740481C1C}">
                          <a14:useLocalDpi xmlns:a14="http://schemas.microsoft.com/office/drawing/2010/main" val="0"/>
                        </a:ext>
                      </a:extLst>
                    </a:blip>
                    <a:stretch>
                      <a:fillRect/>
                    </a:stretch>
                  </pic:blipFill>
                  <pic:spPr>
                    <a:xfrm>
                      <a:off x="0" y="0"/>
                      <a:ext cx="5486400" cy="1661795"/>
                    </a:xfrm>
                    <a:prstGeom prst="rect">
                      <a:avLst/>
                    </a:prstGeom>
                  </pic:spPr>
                </pic:pic>
              </a:graphicData>
            </a:graphic>
          </wp:inline>
        </w:drawing>
      </w:r>
    </w:p>
    <w:p w14:paraId="632B54DD" w14:textId="30F9F748" w:rsidR="009A175F" w:rsidRDefault="009A175F" w:rsidP="009A175F">
      <w:pPr>
        <w:pStyle w:val="SMText"/>
        <w:spacing w:after="240"/>
        <w:ind w:firstLine="0"/>
        <w:rPr>
          <w:rFonts w:ascii="Myriad Pro" w:hAnsi="Myriad Pro"/>
          <w:sz w:val="22"/>
          <w:szCs w:val="22"/>
        </w:rPr>
      </w:pPr>
      <w:r w:rsidRPr="009A175F">
        <w:rPr>
          <w:rFonts w:ascii="Myriad Pro" w:hAnsi="Myriad Pro"/>
          <w:b/>
          <w:bCs/>
          <w:sz w:val="22"/>
          <w:szCs w:val="22"/>
        </w:rPr>
        <w:t>Table S3.</w:t>
      </w:r>
      <w:r w:rsidRPr="009A175F">
        <w:rPr>
          <w:rFonts w:ascii="Myriad Pro" w:hAnsi="Myriad Pro"/>
          <w:sz w:val="22"/>
          <w:szCs w:val="22"/>
        </w:rPr>
        <w:t xml:space="preserve">  Correlations between </w:t>
      </w:r>
      <w:r w:rsidR="00A55DD3">
        <w:rPr>
          <w:rFonts w:ascii="Myriad Pro" w:hAnsi="Myriad Pro"/>
          <w:sz w:val="22"/>
          <w:szCs w:val="22"/>
        </w:rPr>
        <w:t xml:space="preserve">2006-2100 </w:t>
      </w:r>
      <w:r w:rsidRPr="009A175F">
        <w:rPr>
          <w:rFonts w:ascii="Myriad Pro" w:hAnsi="Myriad Pro"/>
          <w:sz w:val="22"/>
          <w:szCs w:val="22"/>
        </w:rPr>
        <w:t xml:space="preserve">trends of upwelling-related indices </w:t>
      </w:r>
      <w:r w:rsidR="000A3049">
        <w:rPr>
          <w:rFonts w:ascii="Myriad Pro" w:hAnsi="Myriad Pro"/>
          <w:sz w:val="22"/>
          <w:szCs w:val="22"/>
        </w:rPr>
        <w:t xml:space="preserve">for the California Current </w:t>
      </w:r>
      <w:r w:rsidRPr="009A175F">
        <w:rPr>
          <w:rFonts w:ascii="Myriad Pro" w:hAnsi="Myriad Pro"/>
          <w:sz w:val="22"/>
          <w:szCs w:val="22"/>
        </w:rPr>
        <w:t>and trends of subtropical high indices across ensemble members of CESM-LENS</w:t>
      </w:r>
      <w:r w:rsidR="00A55DD3">
        <w:rPr>
          <w:rFonts w:ascii="Myriad Pro" w:hAnsi="Myriad Pro"/>
          <w:sz w:val="22"/>
          <w:szCs w:val="22"/>
        </w:rPr>
        <w:t xml:space="preserve"> (RCP 8.5 scenario)</w:t>
      </w:r>
      <w:r w:rsidRPr="009A175F">
        <w:rPr>
          <w:rFonts w:ascii="Myriad Pro" w:hAnsi="Myriad Pro"/>
          <w:sz w:val="22"/>
          <w:szCs w:val="22"/>
        </w:rPr>
        <w:t xml:space="preserve">.  Bold </w:t>
      </w:r>
      <w:r w:rsidR="00644E44">
        <w:rPr>
          <w:rFonts w:ascii="Myriad Pro" w:hAnsi="Myriad Pro"/>
          <w:sz w:val="22"/>
          <w:szCs w:val="22"/>
        </w:rPr>
        <w:t>values</w:t>
      </w:r>
      <w:r w:rsidRPr="009A175F">
        <w:rPr>
          <w:rFonts w:ascii="Myriad Pro" w:hAnsi="Myriad Pro"/>
          <w:sz w:val="22"/>
          <w:szCs w:val="22"/>
        </w:rPr>
        <w:t xml:space="preserve"> are statistically significant at the </w:t>
      </w:r>
      <w:r w:rsidRPr="009A175F">
        <w:rPr>
          <w:rFonts w:ascii="Cambria Math" w:hAnsi="Cambria Math" w:cs="Cambria Math"/>
          <w:sz w:val="22"/>
          <w:szCs w:val="22"/>
        </w:rPr>
        <w:t>𝑝</w:t>
      </w:r>
      <w:r w:rsidRPr="009A175F">
        <w:rPr>
          <w:rFonts w:ascii="Myriad Pro" w:hAnsi="Myriad Pro"/>
          <w:sz w:val="22"/>
          <w:szCs w:val="22"/>
        </w:rPr>
        <w:t xml:space="preserve">&lt;0.05 level.  Note that since the anticipated sign of each correlation is known from Figure 2, we use a one-tailed t-test.  Also note that since only 34 of the 40 ensemble members include chlorophyll, the threshold for statistical significance is slightly higher for first row.  All data are monthly means from the JJA season.  </w:t>
      </w:r>
    </w:p>
    <w:sectPr w:rsidR="009A175F" w:rsidSect="00F125EE">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B0AF3" w14:textId="77777777" w:rsidR="00EF1D0C" w:rsidRDefault="00EF1D0C">
      <w:r>
        <w:separator/>
      </w:r>
    </w:p>
  </w:endnote>
  <w:endnote w:type="continuationSeparator" w:id="0">
    <w:p w14:paraId="54E2C8BB" w14:textId="77777777" w:rsidR="00EF1D0C" w:rsidRDefault="00EF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charset w:val="00"/>
    <w:family w:val="auto"/>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F50EE" w14:textId="77777777" w:rsidR="00EF1D0C" w:rsidRDefault="00EF1D0C">
      <w:r>
        <w:separator/>
      </w:r>
    </w:p>
  </w:footnote>
  <w:footnote w:type="continuationSeparator" w:id="0">
    <w:p w14:paraId="34D99D01" w14:textId="77777777" w:rsidR="00EF1D0C" w:rsidRDefault="00EF1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4DD5"/>
    <w:rsid w:val="00015F74"/>
    <w:rsid w:val="00043571"/>
    <w:rsid w:val="00052418"/>
    <w:rsid w:val="00065EBD"/>
    <w:rsid w:val="00083B44"/>
    <w:rsid w:val="000850DC"/>
    <w:rsid w:val="00090412"/>
    <w:rsid w:val="00094365"/>
    <w:rsid w:val="000A3049"/>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6759C"/>
    <w:rsid w:val="00184132"/>
    <w:rsid w:val="001966FD"/>
    <w:rsid w:val="00197826"/>
    <w:rsid w:val="001A1BDE"/>
    <w:rsid w:val="001C7B4E"/>
    <w:rsid w:val="001E4BB5"/>
    <w:rsid w:val="001F0876"/>
    <w:rsid w:val="001F167C"/>
    <w:rsid w:val="001F5E91"/>
    <w:rsid w:val="0020183F"/>
    <w:rsid w:val="002077B9"/>
    <w:rsid w:val="00221C70"/>
    <w:rsid w:val="002251AF"/>
    <w:rsid w:val="00227D86"/>
    <w:rsid w:val="00233BDC"/>
    <w:rsid w:val="00243B68"/>
    <w:rsid w:val="00262D72"/>
    <w:rsid w:val="002648B0"/>
    <w:rsid w:val="002800B6"/>
    <w:rsid w:val="002A66E6"/>
    <w:rsid w:val="002B35D4"/>
    <w:rsid w:val="002C030F"/>
    <w:rsid w:val="002F3966"/>
    <w:rsid w:val="003115C3"/>
    <w:rsid w:val="00320E2C"/>
    <w:rsid w:val="00331D75"/>
    <w:rsid w:val="00332740"/>
    <w:rsid w:val="00355362"/>
    <w:rsid w:val="00356ABF"/>
    <w:rsid w:val="00363E44"/>
    <w:rsid w:val="00364857"/>
    <w:rsid w:val="00395E86"/>
    <w:rsid w:val="003A2FD8"/>
    <w:rsid w:val="003B40E6"/>
    <w:rsid w:val="003C007A"/>
    <w:rsid w:val="003E1980"/>
    <w:rsid w:val="003F6E14"/>
    <w:rsid w:val="00405336"/>
    <w:rsid w:val="004568BC"/>
    <w:rsid w:val="00456FDA"/>
    <w:rsid w:val="004571D5"/>
    <w:rsid w:val="004621A9"/>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2C14"/>
    <w:rsid w:val="0054432F"/>
    <w:rsid w:val="0055082C"/>
    <w:rsid w:val="00552C23"/>
    <w:rsid w:val="005575D0"/>
    <w:rsid w:val="005607DD"/>
    <w:rsid w:val="00572DFF"/>
    <w:rsid w:val="005A558C"/>
    <w:rsid w:val="005B186E"/>
    <w:rsid w:val="005C6651"/>
    <w:rsid w:val="005D6D71"/>
    <w:rsid w:val="005E28F8"/>
    <w:rsid w:val="005E6513"/>
    <w:rsid w:val="00611F9E"/>
    <w:rsid w:val="0062260E"/>
    <w:rsid w:val="006237D4"/>
    <w:rsid w:val="00644E44"/>
    <w:rsid w:val="00651114"/>
    <w:rsid w:val="006558F9"/>
    <w:rsid w:val="006622CF"/>
    <w:rsid w:val="00664A12"/>
    <w:rsid w:val="0066722B"/>
    <w:rsid w:val="00670299"/>
    <w:rsid w:val="0068469F"/>
    <w:rsid w:val="00691985"/>
    <w:rsid w:val="006962C1"/>
    <w:rsid w:val="006A1B64"/>
    <w:rsid w:val="006B03AD"/>
    <w:rsid w:val="006F04EF"/>
    <w:rsid w:val="006F602A"/>
    <w:rsid w:val="007108F5"/>
    <w:rsid w:val="00710C91"/>
    <w:rsid w:val="00713AF2"/>
    <w:rsid w:val="00713E5B"/>
    <w:rsid w:val="00725BDC"/>
    <w:rsid w:val="007402FC"/>
    <w:rsid w:val="007411A1"/>
    <w:rsid w:val="007563F2"/>
    <w:rsid w:val="00764008"/>
    <w:rsid w:val="007666D5"/>
    <w:rsid w:val="007B018C"/>
    <w:rsid w:val="007D107E"/>
    <w:rsid w:val="007E7657"/>
    <w:rsid w:val="00807D35"/>
    <w:rsid w:val="008115D9"/>
    <w:rsid w:val="00825950"/>
    <w:rsid w:val="00885C9B"/>
    <w:rsid w:val="008927D0"/>
    <w:rsid w:val="008D5D2A"/>
    <w:rsid w:val="008E2CF1"/>
    <w:rsid w:val="008E46C3"/>
    <w:rsid w:val="008F08DC"/>
    <w:rsid w:val="008F5A8A"/>
    <w:rsid w:val="009055D1"/>
    <w:rsid w:val="00914B63"/>
    <w:rsid w:val="00922705"/>
    <w:rsid w:val="00924546"/>
    <w:rsid w:val="00932FE5"/>
    <w:rsid w:val="009354F3"/>
    <w:rsid w:val="009447DC"/>
    <w:rsid w:val="00961BA5"/>
    <w:rsid w:val="009743A9"/>
    <w:rsid w:val="00975720"/>
    <w:rsid w:val="009859A7"/>
    <w:rsid w:val="009A175F"/>
    <w:rsid w:val="009A5287"/>
    <w:rsid w:val="009B2AC5"/>
    <w:rsid w:val="009B7984"/>
    <w:rsid w:val="009F4BED"/>
    <w:rsid w:val="009F7D93"/>
    <w:rsid w:val="00A12E8F"/>
    <w:rsid w:val="00A276DF"/>
    <w:rsid w:val="00A3084A"/>
    <w:rsid w:val="00A3403B"/>
    <w:rsid w:val="00A50033"/>
    <w:rsid w:val="00A51A12"/>
    <w:rsid w:val="00A55DD3"/>
    <w:rsid w:val="00A603F7"/>
    <w:rsid w:val="00A627D4"/>
    <w:rsid w:val="00A74DA2"/>
    <w:rsid w:val="00A92733"/>
    <w:rsid w:val="00AA76F3"/>
    <w:rsid w:val="00AB2353"/>
    <w:rsid w:val="00AC5F62"/>
    <w:rsid w:val="00AC7DA6"/>
    <w:rsid w:val="00AD499C"/>
    <w:rsid w:val="00B0296A"/>
    <w:rsid w:val="00B15FF6"/>
    <w:rsid w:val="00B30334"/>
    <w:rsid w:val="00B3147F"/>
    <w:rsid w:val="00B33B19"/>
    <w:rsid w:val="00B36523"/>
    <w:rsid w:val="00B36869"/>
    <w:rsid w:val="00B43B31"/>
    <w:rsid w:val="00B47CFA"/>
    <w:rsid w:val="00B57F00"/>
    <w:rsid w:val="00B626CB"/>
    <w:rsid w:val="00B7560C"/>
    <w:rsid w:val="00B77E40"/>
    <w:rsid w:val="00B82C22"/>
    <w:rsid w:val="00B93DBA"/>
    <w:rsid w:val="00B9440A"/>
    <w:rsid w:val="00B952C1"/>
    <w:rsid w:val="00B968D7"/>
    <w:rsid w:val="00BA3953"/>
    <w:rsid w:val="00BA5BE1"/>
    <w:rsid w:val="00BB2D2A"/>
    <w:rsid w:val="00BD58CF"/>
    <w:rsid w:val="00BF1BEB"/>
    <w:rsid w:val="00BF1BF9"/>
    <w:rsid w:val="00C04CC1"/>
    <w:rsid w:val="00C071FC"/>
    <w:rsid w:val="00C22C02"/>
    <w:rsid w:val="00C27F6F"/>
    <w:rsid w:val="00C30BBF"/>
    <w:rsid w:val="00C30E83"/>
    <w:rsid w:val="00C50C6D"/>
    <w:rsid w:val="00C600D9"/>
    <w:rsid w:val="00C634D7"/>
    <w:rsid w:val="00C73E09"/>
    <w:rsid w:val="00C95BCA"/>
    <w:rsid w:val="00CC1384"/>
    <w:rsid w:val="00CD3720"/>
    <w:rsid w:val="00CE6EAA"/>
    <w:rsid w:val="00CF1848"/>
    <w:rsid w:val="00CF2704"/>
    <w:rsid w:val="00CF422F"/>
    <w:rsid w:val="00CF5C2F"/>
    <w:rsid w:val="00D04BCF"/>
    <w:rsid w:val="00D10134"/>
    <w:rsid w:val="00D10AC5"/>
    <w:rsid w:val="00D143D9"/>
    <w:rsid w:val="00D4372A"/>
    <w:rsid w:val="00D60BB0"/>
    <w:rsid w:val="00D65708"/>
    <w:rsid w:val="00D75F25"/>
    <w:rsid w:val="00D8159F"/>
    <w:rsid w:val="00D8169B"/>
    <w:rsid w:val="00DB3B25"/>
    <w:rsid w:val="00DB4DDE"/>
    <w:rsid w:val="00DD1D04"/>
    <w:rsid w:val="00DD79D7"/>
    <w:rsid w:val="00E20431"/>
    <w:rsid w:val="00E257C8"/>
    <w:rsid w:val="00E40896"/>
    <w:rsid w:val="00E43D2D"/>
    <w:rsid w:val="00E449CB"/>
    <w:rsid w:val="00E518CF"/>
    <w:rsid w:val="00E63760"/>
    <w:rsid w:val="00E64049"/>
    <w:rsid w:val="00E9773B"/>
    <w:rsid w:val="00EC13A3"/>
    <w:rsid w:val="00EC7C85"/>
    <w:rsid w:val="00ED69CA"/>
    <w:rsid w:val="00EE35AB"/>
    <w:rsid w:val="00EF1D0C"/>
    <w:rsid w:val="00EF25A3"/>
    <w:rsid w:val="00EF37F4"/>
    <w:rsid w:val="00F125EE"/>
    <w:rsid w:val="00F12E98"/>
    <w:rsid w:val="00F14BF2"/>
    <w:rsid w:val="00F22029"/>
    <w:rsid w:val="00F23E46"/>
    <w:rsid w:val="00F3515C"/>
    <w:rsid w:val="00F47BA3"/>
    <w:rsid w:val="00F56E67"/>
    <w:rsid w:val="00F630EA"/>
    <w:rsid w:val="00F6474F"/>
    <w:rsid w:val="00F659B0"/>
    <w:rsid w:val="00F65CC7"/>
    <w:rsid w:val="00F7007E"/>
    <w:rsid w:val="00F73193"/>
    <w:rsid w:val="00F74F95"/>
    <w:rsid w:val="00F80705"/>
    <w:rsid w:val="00FA1481"/>
    <w:rsid w:val="00FA5A72"/>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124200811">
      <w:bodyDiv w:val="1"/>
      <w:marLeft w:val="0"/>
      <w:marRight w:val="0"/>
      <w:marTop w:val="0"/>
      <w:marBottom w:val="0"/>
      <w:divBdr>
        <w:top w:val="none" w:sz="0" w:space="0" w:color="auto"/>
        <w:left w:val="none" w:sz="0" w:space="0" w:color="auto"/>
        <w:bottom w:val="none" w:sz="0" w:space="0" w:color="auto"/>
        <w:right w:val="none" w:sz="0" w:space="0" w:color="auto"/>
      </w:divBdr>
    </w:div>
    <w:div w:id="198128653">
      <w:bodyDiv w:val="1"/>
      <w:marLeft w:val="0"/>
      <w:marRight w:val="0"/>
      <w:marTop w:val="0"/>
      <w:marBottom w:val="0"/>
      <w:divBdr>
        <w:top w:val="none" w:sz="0" w:space="0" w:color="auto"/>
        <w:left w:val="none" w:sz="0" w:space="0" w:color="auto"/>
        <w:bottom w:val="none" w:sz="0" w:space="0" w:color="auto"/>
        <w:right w:val="none" w:sz="0" w:space="0" w:color="auto"/>
      </w:divBdr>
    </w:div>
    <w:div w:id="206600815">
      <w:bodyDiv w:val="1"/>
      <w:marLeft w:val="0"/>
      <w:marRight w:val="0"/>
      <w:marTop w:val="0"/>
      <w:marBottom w:val="0"/>
      <w:divBdr>
        <w:top w:val="none" w:sz="0" w:space="0" w:color="auto"/>
        <w:left w:val="none" w:sz="0" w:space="0" w:color="auto"/>
        <w:bottom w:val="none" w:sz="0" w:space="0" w:color="auto"/>
        <w:right w:val="none" w:sz="0" w:space="0" w:color="auto"/>
      </w:divBdr>
    </w:div>
    <w:div w:id="516970917">
      <w:bodyDiv w:val="1"/>
      <w:marLeft w:val="0"/>
      <w:marRight w:val="0"/>
      <w:marTop w:val="0"/>
      <w:marBottom w:val="0"/>
      <w:divBdr>
        <w:top w:val="none" w:sz="0" w:space="0" w:color="auto"/>
        <w:left w:val="none" w:sz="0" w:space="0" w:color="auto"/>
        <w:bottom w:val="none" w:sz="0" w:space="0" w:color="auto"/>
        <w:right w:val="none" w:sz="0" w:space="0" w:color="auto"/>
      </w:divBdr>
    </w:div>
    <w:div w:id="520818958">
      <w:bodyDiv w:val="1"/>
      <w:marLeft w:val="0"/>
      <w:marRight w:val="0"/>
      <w:marTop w:val="0"/>
      <w:marBottom w:val="0"/>
      <w:divBdr>
        <w:top w:val="none" w:sz="0" w:space="0" w:color="auto"/>
        <w:left w:val="none" w:sz="0" w:space="0" w:color="auto"/>
        <w:bottom w:val="none" w:sz="0" w:space="0" w:color="auto"/>
        <w:right w:val="none" w:sz="0" w:space="0" w:color="auto"/>
      </w:divBdr>
    </w:div>
    <w:div w:id="555355787">
      <w:bodyDiv w:val="1"/>
      <w:marLeft w:val="0"/>
      <w:marRight w:val="0"/>
      <w:marTop w:val="0"/>
      <w:marBottom w:val="0"/>
      <w:divBdr>
        <w:top w:val="none" w:sz="0" w:space="0" w:color="auto"/>
        <w:left w:val="none" w:sz="0" w:space="0" w:color="auto"/>
        <w:bottom w:val="none" w:sz="0" w:space="0" w:color="auto"/>
        <w:right w:val="none" w:sz="0" w:space="0" w:color="auto"/>
      </w:divBdr>
    </w:div>
    <w:div w:id="814571169">
      <w:bodyDiv w:val="1"/>
      <w:marLeft w:val="0"/>
      <w:marRight w:val="0"/>
      <w:marTop w:val="0"/>
      <w:marBottom w:val="0"/>
      <w:divBdr>
        <w:top w:val="none" w:sz="0" w:space="0" w:color="auto"/>
        <w:left w:val="none" w:sz="0" w:space="0" w:color="auto"/>
        <w:bottom w:val="none" w:sz="0" w:space="0" w:color="auto"/>
        <w:right w:val="none" w:sz="0" w:space="0" w:color="auto"/>
      </w:divBdr>
    </w:div>
    <w:div w:id="860968557">
      <w:bodyDiv w:val="1"/>
      <w:marLeft w:val="0"/>
      <w:marRight w:val="0"/>
      <w:marTop w:val="0"/>
      <w:marBottom w:val="0"/>
      <w:divBdr>
        <w:top w:val="none" w:sz="0" w:space="0" w:color="auto"/>
        <w:left w:val="none" w:sz="0" w:space="0" w:color="auto"/>
        <w:bottom w:val="none" w:sz="0" w:space="0" w:color="auto"/>
        <w:right w:val="none" w:sz="0" w:space="0" w:color="auto"/>
      </w:divBdr>
    </w:div>
    <w:div w:id="89138239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98478192">
      <w:bodyDiv w:val="1"/>
      <w:marLeft w:val="0"/>
      <w:marRight w:val="0"/>
      <w:marTop w:val="0"/>
      <w:marBottom w:val="0"/>
      <w:divBdr>
        <w:top w:val="none" w:sz="0" w:space="0" w:color="auto"/>
        <w:left w:val="none" w:sz="0" w:space="0" w:color="auto"/>
        <w:bottom w:val="none" w:sz="0" w:space="0" w:color="auto"/>
        <w:right w:val="none" w:sz="0" w:space="0" w:color="auto"/>
      </w:divBdr>
    </w:div>
    <w:div w:id="1120950623">
      <w:bodyDiv w:val="1"/>
      <w:marLeft w:val="0"/>
      <w:marRight w:val="0"/>
      <w:marTop w:val="0"/>
      <w:marBottom w:val="0"/>
      <w:divBdr>
        <w:top w:val="none" w:sz="0" w:space="0" w:color="auto"/>
        <w:left w:val="none" w:sz="0" w:space="0" w:color="auto"/>
        <w:bottom w:val="none" w:sz="0" w:space="0" w:color="auto"/>
        <w:right w:val="none" w:sz="0" w:space="0" w:color="auto"/>
      </w:divBdr>
    </w:div>
    <w:div w:id="1219901596">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17148424">
      <w:bodyDiv w:val="1"/>
      <w:marLeft w:val="0"/>
      <w:marRight w:val="0"/>
      <w:marTop w:val="0"/>
      <w:marBottom w:val="0"/>
      <w:divBdr>
        <w:top w:val="none" w:sz="0" w:space="0" w:color="auto"/>
        <w:left w:val="none" w:sz="0" w:space="0" w:color="auto"/>
        <w:bottom w:val="none" w:sz="0" w:space="0" w:color="auto"/>
        <w:right w:val="none" w:sz="0" w:space="0" w:color="auto"/>
      </w:divBdr>
    </w:div>
    <w:div w:id="1407992527">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466198742">
      <w:bodyDiv w:val="1"/>
      <w:marLeft w:val="0"/>
      <w:marRight w:val="0"/>
      <w:marTop w:val="0"/>
      <w:marBottom w:val="0"/>
      <w:divBdr>
        <w:top w:val="none" w:sz="0" w:space="0" w:color="auto"/>
        <w:left w:val="none" w:sz="0" w:space="0" w:color="auto"/>
        <w:bottom w:val="none" w:sz="0" w:space="0" w:color="auto"/>
        <w:right w:val="none" w:sz="0" w:space="0" w:color="auto"/>
      </w:divBdr>
    </w:div>
    <w:div w:id="1726758790">
      <w:bodyDiv w:val="1"/>
      <w:marLeft w:val="0"/>
      <w:marRight w:val="0"/>
      <w:marTop w:val="0"/>
      <w:marBottom w:val="0"/>
      <w:divBdr>
        <w:top w:val="none" w:sz="0" w:space="0" w:color="auto"/>
        <w:left w:val="none" w:sz="0" w:space="0" w:color="auto"/>
        <w:bottom w:val="none" w:sz="0" w:space="0" w:color="auto"/>
        <w:right w:val="none" w:sz="0" w:space="0" w:color="auto"/>
      </w:divBdr>
    </w:div>
    <w:div w:id="1888443995">
      <w:bodyDiv w:val="1"/>
      <w:marLeft w:val="0"/>
      <w:marRight w:val="0"/>
      <w:marTop w:val="0"/>
      <w:marBottom w:val="0"/>
      <w:divBdr>
        <w:top w:val="none" w:sz="0" w:space="0" w:color="auto"/>
        <w:left w:val="none" w:sz="0" w:space="0" w:color="auto"/>
        <w:bottom w:val="none" w:sz="0" w:space="0" w:color="auto"/>
        <w:right w:val="none" w:sz="0" w:space="0" w:color="auto"/>
      </w:divBdr>
    </w:div>
    <w:div w:id="1941986524">
      <w:bodyDiv w:val="1"/>
      <w:marLeft w:val="0"/>
      <w:marRight w:val="0"/>
      <w:marTop w:val="0"/>
      <w:marBottom w:val="0"/>
      <w:divBdr>
        <w:top w:val="none" w:sz="0" w:space="0" w:color="auto"/>
        <w:left w:val="none" w:sz="0" w:space="0" w:color="auto"/>
        <w:bottom w:val="none" w:sz="0" w:space="0" w:color="auto"/>
        <w:right w:val="none" w:sz="0" w:space="0" w:color="auto"/>
      </w:divBdr>
    </w:div>
    <w:div w:id="2024814755">
      <w:bodyDiv w:val="1"/>
      <w:marLeft w:val="0"/>
      <w:marRight w:val="0"/>
      <w:marTop w:val="0"/>
      <w:marBottom w:val="0"/>
      <w:divBdr>
        <w:top w:val="none" w:sz="0" w:space="0" w:color="auto"/>
        <w:left w:val="none" w:sz="0" w:space="0" w:color="auto"/>
        <w:bottom w:val="none" w:sz="0" w:space="0" w:color="auto"/>
        <w:right w:val="none" w:sz="0" w:space="0" w:color="auto"/>
      </w:divBdr>
    </w:div>
    <w:div w:id="212048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ti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i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1311</TotalTime>
  <Pages>6</Pages>
  <Words>1040</Words>
  <Characters>5929</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Supporting Online Material for</vt:lpstr>
      <vt:lpstr>Comparison of Modeled vs. Observed Climatology</vt:lpstr>
    </vt:vector>
  </TitlesOfParts>
  <Company>AAAS</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Daniel Schmidt</cp:lastModifiedBy>
  <cp:revision>34</cp:revision>
  <cp:lastPrinted>2014-09-30T16:49:00Z</cp:lastPrinted>
  <dcterms:created xsi:type="dcterms:W3CDTF">2016-06-06T17:38:00Z</dcterms:created>
  <dcterms:modified xsi:type="dcterms:W3CDTF">2020-06-29T15:43:00Z</dcterms:modified>
</cp:coreProperties>
</file>