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B8594" w14:textId="23CB9F87" w:rsidR="00E47AE6" w:rsidRPr="001764C8" w:rsidRDefault="0012483B">
      <w:pPr>
        <w:rPr>
          <w:rFonts w:ascii="Times New Roman" w:hAnsi="Times New Roman" w:cs="Times New Roman"/>
          <w:b/>
          <w:sz w:val="24"/>
          <w:szCs w:val="24"/>
        </w:rPr>
      </w:pPr>
      <w:r>
        <w:rPr>
          <w:rFonts w:ascii="Times New Roman" w:hAnsi="Times New Roman" w:cs="Times New Roman"/>
          <w:b/>
          <w:sz w:val="24"/>
          <w:szCs w:val="24"/>
        </w:rPr>
        <w:t>Supporting</w:t>
      </w:r>
      <w:bookmarkStart w:id="0" w:name="_GoBack"/>
      <w:bookmarkEnd w:id="0"/>
      <w:r w:rsidR="0032602E" w:rsidRPr="001764C8">
        <w:rPr>
          <w:rFonts w:ascii="Times New Roman" w:hAnsi="Times New Roman" w:cs="Times New Roman"/>
          <w:b/>
          <w:sz w:val="24"/>
          <w:szCs w:val="24"/>
        </w:rPr>
        <w:t xml:space="preserve"> Information</w:t>
      </w:r>
      <w:r w:rsidR="00D3003F" w:rsidRPr="001764C8">
        <w:rPr>
          <w:rFonts w:ascii="Times New Roman" w:hAnsi="Times New Roman" w:cs="Times New Roman"/>
          <w:b/>
          <w:sz w:val="24"/>
          <w:szCs w:val="24"/>
        </w:rPr>
        <w:t xml:space="preserve"> – </w:t>
      </w:r>
      <w:r w:rsidR="001764C8" w:rsidRPr="001764C8">
        <w:rPr>
          <w:rFonts w:ascii="Times New Roman" w:hAnsi="Times New Roman" w:cs="Times New Roman"/>
          <w:b/>
          <w:sz w:val="24"/>
          <w:szCs w:val="24"/>
        </w:rPr>
        <w:t>Sampling and modeling of a</w:t>
      </w:r>
      <w:r w:rsidR="00D3003F" w:rsidRPr="001764C8">
        <w:rPr>
          <w:rFonts w:ascii="Times New Roman" w:hAnsi="Times New Roman" w:cs="Times New Roman"/>
          <w:b/>
          <w:sz w:val="24"/>
          <w:szCs w:val="24"/>
        </w:rPr>
        <w:t xml:space="preserve">boveground </w:t>
      </w:r>
      <w:r w:rsidR="001764C8" w:rsidRPr="001764C8">
        <w:rPr>
          <w:rFonts w:ascii="Times New Roman" w:hAnsi="Times New Roman" w:cs="Times New Roman"/>
          <w:b/>
          <w:sz w:val="24"/>
          <w:szCs w:val="24"/>
        </w:rPr>
        <w:t>biomass</w:t>
      </w:r>
    </w:p>
    <w:p w14:paraId="5BE02D25" w14:textId="63E8EA43" w:rsidR="00D3003F" w:rsidRPr="00FE35F1" w:rsidRDefault="00D3003F" w:rsidP="00D3003F">
      <w:pPr>
        <w:spacing w:after="0" w:line="480" w:lineRule="auto"/>
        <w:rPr>
          <w:rFonts w:ascii="Times New Roman" w:hAnsi="Times New Roman" w:cs="Times New Roman"/>
          <w:sz w:val="24"/>
          <w:szCs w:val="24"/>
        </w:rPr>
      </w:pPr>
      <w:r w:rsidRPr="00FE35F1">
        <w:rPr>
          <w:rFonts w:ascii="Times New Roman" w:hAnsi="Times New Roman" w:cs="Times New Roman"/>
          <w:sz w:val="24"/>
          <w:szCs w:val="24"/>
        </w:rPr>
        <w:t xml:space="preserve">     We collected peak-season biomass at eleven randomly selected sites within 30 meter</w:t>
      </w:r>
      <w:r w:rsidR="00605E58" w:rsidRPr="00FE35F1">
        <w:rPr>
          <w:rFonts w:ascii="Times New Roman" w:hAnsi="Times New Roman" w:cs="Times New Roman"/>
          <w:sz w:val="24"/>
          <w:szCs w:val="24"/>
        </w:rPr>
        <w:t>s</w:t>
      </w:r>
      <w:r w:rsidRPr="00FE35F1">
        <w:rPr>
          <w:rFonts w:ascii="Times New Roman" w:hAnsi="Times New Roman" w:cs="Times New Roman"/>
          <w:sz w:val="24"/>
          <w:szCs w:val="24"/>
        </w:rPr>
        <w:t xml:space="preserve"> of coastlines in the Grand Bay NERR in August 2012, five for </w:t>
      </w:r>
      <w:r w:rsidRPr="00FE35F1">
        <w:rPr>
          <w:rFonts w:ascii="Times New Roman" w:hAnsi="Times New Roman" w:cs="Times New Roman"/>
          <w:i/>
          <w:sz w:val="24"/>
          <w:szCs w:val="24"/>
        </w:rPr>
        <w:t>Juncus roemerianus</w:t>
      </w:r>
      <w:r w:rsidRPr="00FE35F1">
        <w:rPr>
          <w:rFonts w:ascii="Times New Roman" w:hAnsi="Times New Roman" w:cs="Times New Roman"/>
          <w:sz w:val="24"/>
          <w:szCs w:val="24"/>
        </w:rPr>
        <w:t xml:space="preserve"> using a quadrat of 15x15 cm, six for </w:t>
      </w:r>
      <w:r w:rsidRPr="00FE35F1">
        <w:rPr>
          <w:rFonts w:ascii="Times New Roman" w:hAnsi="Times New Roman" w:cs="Times New Roman"/>
          <w:i/>
          <w:sz w:val="24"/>
          <w:szCs w:val="24"/>
        </w:rPr>
        <w:t>Spartina alterniflora</w:t>
      </w:r>
      <w:r w:rsidRPr="00FE35F1">
        <w:rPr>
          <w:rFonts w:ascii="Times New Roman" w:hAnsi="Times New Roman" w:cs="Times New Roman"/>
          <w:sz w:val="24"/>
          <w:szCs w:val="24"/>
        </w:rPr>
        <w:t xml:space="preserve"> using a quadrat of 25x25 cm (Fig. 2). For each sampling site, we selected 5 subsites with one subsite in the middle, four subsites 5 meters away from the middle subsite in the shape of cross (Fig. 2 inset). For each subsite, we collected duplicate samples with a distance of ~1 m from each other. Altogether, we collected 50 biomass samples for </w:t>
      </w:r>
      <w:r w:rsidRPr="00FE35F1">
        <w:rPr>
          <w:rFonts w:ascii="Times New Roman" w:hAnsi="Times New Roman" w:cs="Times New Roman"/>
          <w:i/>
          <w:sz w:val="24"/>
          <w:szCs w:val="24"/>
        </w:rPr>
        <w:t>J. roemerianus</w:t>
      </w:r>
      <w:r w:rsidRPr="00FE35F1">
        <w:rPr>
          <w:rFonts w:ascii="Times New Roman" w:hAnsi="Times New Roman" w:cs="Times New Roman"/>
          <w:sz w:val="24"/>
          <w:szCs w:val="24"/>
        </w:rPr>
        <w:t xml:space="preserve"> and 60 biomass samples for </w:t>
      </w:r>
      <w:r w:rsidRPr="00FE35F1">
        <w:rPr>
          <w:rFonts w:ascii="Times New Roman" w:hAnsi="Times New Roman" w:cs="Times New Roman"/>
          <w:i/>
          <w:sz w:val="24"/>
          <w:szCs w:val="24"/>
        </w:rPr>
        <w:t>S. alterniflora</w:t>
      </w:r>
      <w:r w:rsidRPr="00FE35F1">
        <w:rPr>
          <w:rFonts w:ascii="Times New Roman" w:hAnsi="Times New Roman" w:cs="Times New Roman"/>
          <w:sz w:val="24"/>
          <w:szCs w:val="24"/>
        </w:rPr>
        <w:t xml:space="preserve">. We cut off </w:t>
      </w:r>
      <w:r w:rsidRPr="00FE35F1">
        <w:rPr>
          <w:rFonts w:ascii="Times New Roman" w:hAnsi="Times New Roman" w:cs="Times New Roman"/>
          <w:bCs/>
          <w:sz w:val="24"/>
          <w:szCs w:val="24"/>
        </w:rPr>
        <w:t>all the marsh plants within each sampling quadrat at the ground level and we collected all the leaves above the ground, including the green and dead ones placed into sampling bags, and transported them to the lab within the same day. In the lab, we separated green shoots from the dead ones, cut them, and dried them in the oven at 70</w:t>
      </w:r>
      <w:r w:rsidRPr="00FE35F1">
        <w:rPr>
          <w:rFonts w:ascii="Times New Roman" w:hAnsi="Times New Roman" w:cs="Times New Roman"/>
          <w:bCs/>
          <w:sz w:val="24"/>
          <w:szCs w:val="24"/>
          <w:vertAlign w:val="superscript"/>
        </w:rPr>
        <w:t xml:space="preserve"> o</w:t>
      </w:r>
      <w:r w:rsidRPr="00FE35F1">
        <w:rPr>
          <w:rFonts w:ascii="Times New Roman" w:hAnsi="Times New Roman" w:cs="Times New Roman"/>
          <w:bCs/>
          <w:sz w:val="24"/>
          <w:szCs w:val="24"/>
        </w:rPr>
        <w:t>C for three to four days until constant weight. Then we weighed the dry biomass of green shoots.</w:t>
      </w:r>
      <w:r w:rsidRPr="00FE35F1">
        <w:rPr>
          <w:rFonts w:ascii="Times New Roman" w:hAnsi="Times New Roman" w:cs="Times New Roman"/>
          <w:sz w:val="24"/>
          <w:szCs w:val="24"/>
        </w:rPr>
        <w:t xml:space="preserve"> We averaged the biomass of duplicate samples to get live above-ground biomass at a given subsite.</w:t>
      </w:r>
    </w:p>
    <w:p w14:paraId="0977AA62" w14:textId="213DC558" w:rsidR="00EF5388" w:rsidRPr="00FE35F1" w:rsidRDefault="00EF5388" w:rsidP="00EF5388">
      <w:pPr>
        <w:spacing w:after="0" w:line="480" w:lineRule="auto"/>
        <w:rPr>
          <w:rFonts w:ascii="Times New Roman" w:hAnsi="Times New Roman" w:cs="Times New Roman"/>
          <w:sz w:val="24"/>
          <w:szCs w:val="24"/>
        </w:rPr>
      </w:pPr>
      <w:r w:rsidRPr="00FE35F1">
        <w:rPr>
          <w:rFonts w:ascii="Times New Roman" w:hAnsi="Times New Roman" w:cs="Times New Roman"/>
          <w:sz w:val="24"/>
          <w:szCs w:val="24"/>
        </w:rPr>
        <w:t xml:space="preserve">    We compared the aboveground biomass models without random effects, with random effect of site only, with random effect of species only, with random effect of sites within species, with random effect of site and species but no nested structure, and we found the model with random effect of sites within species had the lowest Akaike Information Criterion (AIC) so we chose it to estimate biomass for the whole study area at a spatial resolution of 2 meters (Table S1).  AIC, an estimator of the expected Kullback discrepancy between the true model and a fitted candidate model (Eq. S1):</w:t>
      </w:r>
    </w:p>
    <w:p w14:paraId="4ED03796" w14:textId="2D33E7B8" w:rsidR="00EF5388" w:rsidRPr="00FE35F1" w:rsidRDefault="00EF5388" w:rsidP="00EF5388">
      <w:pPr>
        <w:spacing w:after="0" w:line="480" w:lineRule="auto"/>
        <w:rPr>
          <w:rFonts w:ascii="Times New Roman" w:hAnsi="Times New Roman" w:cs="Times New Roman"/>
          <w:bCs/>
          <w:sz w:val="24"/>
          <w:szCs w:val="24"/>
        </w:rPr>
      </w:pPr>
      <w:r w:rsidRPr="00FE35F1">
        <w:rPr>
          <w:rFonts w:ascii="Times New Roman" w:hAnsi="Times New Roman" w:cs="Times New Roman"/>
          <w:bCs/>
          <w:position w:val="-10"/>
          <w:sz w:val="24"/>
          <w:szCs w:val="24"/>
        </w:rPr>
        <w:object w:dxaOrig="3080" w:dyaOrig="380" w14:anchorId="2F93F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8.75pt" o:ole="">
            <v:imagedata r:id="rId5" o:title=""/>
          </v:shape>
          <o:OLEObject Type="Embed" ProgID="Equation.3" ShapeID="_x0000_i1025" DrawAspect="Content" ObjectID="_1558259855" r:id="rId6"/>
        </w:object>
      </w:r>
      <w:r w:rsidRPr="00FE35F1">
        <w:rPr>
          <w:rFonts w:ascii="Times New Roman" w:hAnsi="Times New Roman" w:cs="Times New Roman"/>
          <w:bCs/>
          <w:sz w:val="24"/>
          <w:szCs w:val="24"/>
        </w:rPr>
        <w:t xml:space="preserve"> - Eq. S1</w:t>
      </w:r>
    </w:p>
    <w:p w14:paraId="24F141FF" w14:textId="77777777" w:rsidR="00EF5388" w:rsidRPr="00FE35F1" w:rsidRDefault="00EF5388" w:rsidP="00EF5388">
      <w:pPr>
        <w:spacing w:after="0" w:line="480" w:lineRule="auto"/>
        <w:rPr>
          <w:rFonts w:ascii="Times New Roman" w:hAnsi="Times New Roman" w:cs="Times New Roman"/>
          <w:sz w:val="24"/>
          <w:szCs w:val="24"/>
        </w:rPr>
      </w:pPr>
      <w:r w:rsidRPr="00FE35F1">
        <w:rPr>
          <w:rFonts w:ascii="Times New Roman" w:hAnsi="Times New Roman" w:cs="Times New Roman"/>
          <w:bCs/>
          <w:sz w:val="24"/>
          <w:szCs w:val="24"/>
        </w:rPr>
        <w:lastRenderedPageBreak/>
        <w:t xml:space="preserve">Where </w:t>
      </w:r>
      <w:r w:rsidRPr="00FE35F1">
        <w:rPr>
          <w:rFonts w:ascii="Times New Roman" w:hAnsi="Times New Roman" w:cs="Times New Roman"/>
          <w:position w:val="-10"/>
          <w:sz w:val="24"/>
          <w:szCs w:val="24"/>
        </w:rPr>
        <w:object w:dxaOrig="1560" w:dyaOrig="380" w14:anchorId="59BA01A3">
          <v:shape id="_x0000_i1026" type="#_x0000_t75" style="width:78pt;height:18.75pt" o:ole="">
            <v:imagedata r:id="rId7" o:title=""/>
          </v:shape>
          <o:OLEObject Type="Embed" ProgID="Equation.3" ShapeID="_x0000_i1026" DrawAspect="Content" ObjectID="_1558259856" r:id="rId8"/>
        </w:object>
      </w:r>
      <w:r w:rsidRPr="00FE35F1">
        <w:rPr>
          <w:rFonts w:ascii="Times New Roman" w:hAnsi="Times New Roman" w:cs="Times New Roman"/>
          <w:bCs/>
          <w:sz w:val="24"/>
          <w:szCs w:val="24"/>
        </w:rPr>
        <w:t xml:space="preserve"> is the maximum log-likelihood (</w:t>
      </w:r>
      <w:r w:rsidRPr="00FE35F1">
        <w:rPr>
          <w:rFonts w:ascii="Times New Roman" w:hAnsi="Times New Roman" w:cs="Times New Roman"/>
          <w:position w:val="-6"/>
          <w:sz w:val="24"/>
          <w:szCs w:val="24"/>
        </w:rPr>
        <w:object w:dxaOrig="200" w:dyaOrig="340" w14:anchorId="4FDDC266">
          <v:shape id="_x0000_i1027" type="#_x0000_t75" style="width:9.75pt;height:17.25pt" o:ole="">
            <v:imagedata r:id="rId9" o:title=""/>
          </v:shape>
          <o:OLEObject Type="Embed" ProgID="Equation.3" ShapeID="_x0000_i1027" DrawAspect="Content" ObjectID="_1558259857" r:id="rId10"/>
        </w:object>
      </w:r>
      <w:r w:rsidRPr="00FE35F1">
        <w:rPr>
          <w:rFonts w:ascii="Times New Roman" w:hAnsi="Times New Roman" w:cs="Times New Roman"/>
          <w:sz w:val="24"/>
          <w:szCs w:val="24"/>
        </w:rPr>
        <w:t xml:space="preserve"> denotes estimated model parameters)</w:t>
      </w:r>
      <w:r w:rsidRPr="00FE35F1">
        <w:rPr>
          <w:rFonts w:ascii="Times New Roman" w:hAnsi="Times New Roman" w:cs="Times New Roman"/>
          <w:bCs/>
          <w:sz w:val="24"/>
          <w:szCs w:val="24"/>
        </w:rPr>
        <w:t xml:space="preserve">, and K is the number of parameters. </w:t>
      </w:r>
      <w:r w:rsidRPr="00FE35F1">
        <w:rPr>
          <w:rFonts w:ascii="Times New Roman" w:hAnsi="Times New Roman" w:cs="Times New Roman"/>
          <w:sz w:val="24"/>
          <w:szCs w:val="24"/>
        </w:rPr>
        <w:t>The absolute values of AIC are not meaningful, but the relative values and difference of AIC can be used as a guideline for model selection (Burnham and Anderson, 2004). The lower the AIC, the better is the model prediction. A rule of thumb is that two models are essentially undistinguishable if the difference in AIC is smaller than 2.</w:t>
      </w:r>
    </w:p>
    <w:p w14:paraId="567D9892" w14:textId="3B4D5835" w:rsidR="00EF5388" w:rsidRPr="00FE35F1" w:rsidRDefault="00EF5388" w:rsidP="00EF5388">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Table S1 Sets of candidate linear mixed models to predict biomass. The optimum random effect was site nested within species (B denotes biomass in g/m</w:t>
      </w:r>
      <w:r w:rsidRPr="00FE35F1">
        <w:rPr>
          <w:rFonts w:ascii="Times New Roman" w:hAnsi="Times New Roman" w:cs="Times New Roman"/>
          <w:bCs/>
          <w:sz w:val="24"/>
          <w:szCs w:val="24"/>
          <w:vertAlign w:val="superscript"/>
        </w:rPr>
        <w:t>2</w:t>
      </w:r>
      <w:r w:rsidRPr="00FE35F1">
        <w:rPr>
          <w:rFonts w:ascii="Times New Roman" w:hAnsi="Times New Roman" w:cs="Times New Roman"/>
          <w:bCs/>
          <w:sz w:val="24"/>
          <w:szCs w:val="24"/>
        </w:rPr>
        <w:t>, and E denotes elevation in meters</w:t>
      </w:r>
      <w:r w:rsidRPr="00FE35F1">
        <w:rPr>
          <w:rFonts w:ascii="Times New Roman" w:hAnsi="Times New Roman" w:cs="Times New Roman"/>
          <w:bCs/>
          <w:sz w:val="24"/>
          <w:szCs w:val="24"/>
          <w:vertAlign w:val="superscript"/>
        </w:rPr>
        <w:t>1</w:t>
      </w:r>
      <w:r w:rsidRPr="00FE35F1">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2185"/>
        <w:gridCol w:w="3164"/>
        <w:gridCol w:w="1885"/>
        <w:gridCol w:w="2116"/>
      </w:tblGrid>
      <w:tr w:rsidR="00EF5388" w:rsidRPr="00FE35F1" w14:paraId="36943C0E" w14:textId="77777777" w:rsidTr="00182BD6">
        <w:tc>
          <w:tcPr>
            <w:tcW w:w="2305" w:type="dxa"/>
          </w:tcPr>
          <w:p w14:paraId="2B52F713"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Random effects</w:t>
            </w:r>
          </w:p>
        </w:tc>
        <w:tc>
          <w:tcPr>
            <w:tcW w:w="2810" w:type="dxa"/>
          </w:tcPr>
          <w:p w14:paraId="28DD6C2B"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Fixed effects</w:t>
            </w:r>
          </w:p>
        </w:tc>
        <w:tc>
          <w:tcPr>
            <w:tcW w:w="1990" w:type="dxa"/>
          </w:tcPr>
          <w:p w14:paraId="518B8669"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p-value</w:t>
            </w:r>
          </w:p>
        </w:tc>
        <w:tc>
          <w:tcPr>
            <w:tcW w:w="2245" w:type="dxa"/>
          </w:tcPr>
          <w:p w14:paraId="70B04D59"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AIC</w:t>
            </w:r>
          </w:p>
        </w:tc>
      </w:tr>
      <w:tr w:rsidR="00EF5388" w:rsidRPr="00FE35F1" w14:paraId="0281EA51" w14:textId="77777777" w:rsidTr="00182BD6">
        <w:tc>
          <w:tcPr>
            <w:tcW w:w="2305" w:type="dxa"/>
          </w:tcPr>
          <w:p w14:paraId="6FD0AE23"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No</w:t>
            </w:r>
          </w:p>
        </w:tc>
        <w:tc>
          <w:tcPr>
            <w:tcW w:w="2810" w:type="dxa"/>
          </w:tcPr>
          <w:p w14:paraId="33B578BD"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B=597.30+387.89×(E+0.065)</w:t>
            </w:r>
            <w:r w:rsidRPr="00FE35F1">
              <w:rPr>
                <w:rFonts w:ascii="Times New Roman" w:hAnsi="Times New Roman" w:cs="Times New Roman"/>
                <w:bCs/>
                <w:sz w:val="24"/>
                <w:szCs w:val="24"/>
                <w:vertAlign w:val="superscript"/>
              </w:rPr>
              <w:t>2</w:t>
            </w:r>
          </w:p>
        </w:tc>
        <w:tc>
          <w:tcPr>
            <w:tcW w:w="1990" w:type="dxa"/>
          </w:tcPr>
          <w:p w14:paraId="53E5C699"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0.6197</w:t>
            </w:r>
          </w:p>
        </w:tc>
        <w:tc>
          <w:tcPr>
            <w:tcW w:w="2245" w:type="dxa"/>
          </w:tcPr>
          <w:p w14:paraId="3100B08D"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518.68</w:t>
            </w:r>
          </w:p>
        </w:tc>
      </w:tr>
      <w:tr w:rsidR="00EF5388" w:rsidRPr="00FE35F1" w14:paraId="5794B22F" w14:textId="77777777" w:rsidTr="00182BD6">
        <w:tc>
          <w:tcPr>
            <w:tcW w:w="2305" w:type="dxa"/>
          </w:tcPr>
          <w:p w14:paraId="4D06D7C7"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Site</w:t>
            </w:r>
          </w:p>
        </w:tc>
        <w:tc>
          <w:tcPr>
            <w:tcW w:w="2810" w:type="dxa"/>
          </w:tcPr>
          <w:p w14:paraId="1A90C989"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B=702.24-891.58×(E+0.065)</w:t>
            </w:r>
            <w:r w:rsidRPr="00FE35F1">
              <w:rPr>
                <w:rFonts w:ascii="Times New Roman" w:hAnsi="Times New Roman" w:cs="Times New Roman"/>
                <w:bCs/>
                <w:sz w:val="24"/>
                <w:szCs w:val="24"/>
                <w:vertAlign w:val="superscript"/>
              </w:rPr>
              <w:t>2</w:t>
            </w:r>
          </w:p>
        </w:tc>
        <w:tc>
          <w:tcPr>
            <w:tcW w:w="1990" w:type="dxa"/>
          </w:tcPr>
          <w:p w14:paraId="3F9047E3"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0.1313</w:t>
            </w:r>
          </w:p>
        </w:tc>
        <w:tc>
          <w:tcPr>
            <w:tcW w:w="2245" w:type="dxa"/>
          </w:tcPr>
          <w:p w14:paraId="1D22B55F"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471.85</w:t>
            </w:r>
          </w:p>
        </w:tc>
      </w:tr>
      <w:tr w:rsidR="00EF5388" w:rsidRPr="00FE35F1" w14:paraId="219E33A0" w14:textId="77777777" w:rsidTr="00182BD6">
        <w:tc>
          <w:tcPr>
            <w:tcW w:w="2305" w:type="dxa"/>
          </w:tcPr>
          <w:p w14:paraId="7E84A982"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Species</w:t>
            </w:r>
          </w:p>
        </w:tc>
        <w:tc>
          <w:tcPr>
            <w:tcW w:w="2810" w:type="dxa"/>
          </w:tcPr>
          <w:p w14:paraId="4267EAC5"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B=863.22-1013.35×(E+0.065)</w:t>
            </w:r>
            <w:r w:rsidRPr="00FE35F1">
              <w:rPr>
                <w:rFonts w:ascii="Times New Roman" w:hAnsi="Times New Roman" w:cs="Times New Roman"/>
                <w:bCs/>
                <w:sz w:val="24"/>
                <w:szCs w:val="24"/>
                <w:vertAlign w:val="superscript"/>
              </w:rPr>
              <w:t>2</w:t>
            </w:r>
          </w:p>
        </w:tc>
        <w:tc>
          <w:tcPr>
            <w:tcW w:w="1990" w:type="dxa"/>
          </w:tcPr>
          <w:p w14:paraId="27A65BDD"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0.0236</w:t>
            </w:r>
          </w:p>
        </w:tc>
        <w:tc>
          <w:tcPr>
            <w:tcW w:w="2245" w:type="dxa"/>
          </w:tcPr>
          <w:p w14:paraId="341EEE06"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478.31</w:t>
            </w:r>
          </w:p>
        </w:tc>
      </w:tr>
      <w:tr w:rsidR="00EF5388" w:rsidRPr="00FE35F1" w14:paraId="1C1D46B4" w14:textId="77777777" w:rsidTr="00182BD6">
        <w:tc>
          <w:tcPr>
            <w:tcW w:w="2305" w:type="dxa"/>
          </w:tcPr>
          <w:p w14:paraId="4D2F33A0"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Site + Species</w:t>
            </w:r>
          </w:p>
        </w:tc>
        <w:tc>
          <w:tcPr>
            <w:tcW w:w="2810" w:type="dxa"/>
          </w:tcPr>
          <w:p w14:paraId="26DC6B4D"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B=863.22-1013.35×(E+0.065)</w:t>
            </w:r>
            <w:r w:rsidRPr="00FE35F1">
              <w:rPr>
                <w:rFonts w:ascii="Times New Roman" w:hAnsi="Times New Roman" w:cs="Times New Roman"/>
                <w:bCs/>
                <w:sz w:val="24"/>
                <w:szCs w:val="24"/>
                <w:vertAlign w:val="superscript"/>
              </w:rPr>
              <w:t>2</w:t>
            </w:r>
          </w:p>
        </w:tc>
        <w:tc>
          <w:tcPr>
            <w:tcW w:w="1990" w:type="dxa"/>
          </w:tcPr>
          <w:p w14:paraId="710D2B35"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0.0236</w:t>
            </w:r>
          </w:p>
        </w:tc>
        <w:tc>
          <w:tcPr>
            <w:tcW w:w="2245" w:type="dxa"/>
          </w:tcPr>
          <w:p w14:paraId="213F7FF9"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482.31</w:t>
            </w:r>
          </w:p>
        </w:tc>
      </w:tr>
      <w:tr w:rsidR="00EF5388" w:rsidRPr="00FE35F1" w14:paraId="5BC15499" w14:textId="77777777" w:rsidTr="00182BD6">
        <w:tc>
          <w:tcPr>
            <w:tcW w:w="2305" w:type="dxa"/>
          </w:tcPr>
          <w:p w14:paraId="2A2E39AA"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Site nested within species</w:t>
            </w:r>
          </w:p>
        </w:tc>
        <w:tc>
          <w:tcPr>
            <w:tcW w:w="2810" w:type="dxa"/>
          </w:tcPr>
          <w:p w14:paraId="4A66F32B"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B=864.28-1022.88×(E+0.065)</w:t>
            </w:r>
            <w:r w:rsidRPr="00FE35F1">
              <w:rPr>
                <w:rFonts w:ascii="Times New Roman" w:hAnsi="Times New Roman" w:cs="Times New Roman"/>
                <w:bCs/>
                <w:sz w:val="24"/>
                <w:szCs w:val="24"/>
                <w:vertAlign w:val="superscript"/>
              </w:rPr>
              <w:t>2</w:t>
            </w:r>
          </w:p>
        </w:tc>
        <w:tc>
          <w:tcPr>
            <w:tcW w:w="1990" w:type="dxa"/>
          </w:tcPr>
          <w:p w14:paraId="6A8B8C3D"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0.0528</w:t>
            </w:r>
          </w:p>
        </w:tc>
        <w:tc>
          <w:tcPr>
            <w:tcW w:w="2245" w:type="dxa"/>
          </w:tcPr>
          <w:p w14:paraId="068FF547" w14:textId="77777777" w:rsidR="00EF5388" w:rsidRPr="00FE35F1" w:rsidRDefault="00EF5388" w:rsidP="00182BD6">
            <w:pPr>
              <w:spacing w:line="480" w:lineRule="auto"/>
              <w:rPr>
                <w:rFonts w:ascii="Times New Roman" w:hAnsi="Times New Roman" w:cs="Times New Roman"/>
                <w:bCs/>
                <w:sz w:val="24"/>
                <w:szCs w:val="24"/>
              </w:rPr>
            </w:pPr>
            <w:r w:rsidRPr="00FE35F1">
              <w:rPr>
                <w:rFonts w:ascii="Times New Roman" w:hAnsi="Times New Roman" w:cs="Times New Roman"/>
                <w:bCs/>
                <w:sz w:val="24"/>
                <w:szCs w:val="24"/>
              </w:rPr>
              <w:t>465.54</w:t>
            </w:r>
          </w:p>
        </w:tc>
      </w:tr>
    </w:tbl>
    <w:p w14:paraId="22D74714" w14:textId="77777777" w:rsidR="00EF5388" w:rsidRPr="00FE35F1" w:rsidRDefault="00EF5388" w:rsidP="00EF5388">
      <w:pPr>
        <w:spacing w:after="0" w:line="480" w:lineRule="auto"/>
        <w:rPr>
          <w:rFonts w:ascii="Times New Roman" w:hAnsi="Times New Roman" w:cs="Times New Roman"/>
          <w:sz w:val="24"/>
          <w:szCs w:val="24"/>
        </w:rPr>
      </w:pPr>
      <w:r w:rsidRPr="00FE35F1">
        <w:rPr>
          <w:rFonts w:ascii="Times New Roman" w:hAnsi="Times New Roman" w:cs="Times New Roman"/>
          <w:bCs/>
          <w:sz w:val="24"/>
          <w:szCs w:val="24"/>
          <w:vertAlign w:val="superscript"/>
        </w:rPr>
        <w:t>1</w:t>
      </w:r>
      <w:r w:rsidRPr="00FE35F1">
        <w:rPr>
          <w:rFonts w:ascii="Times New Roman" w:hAnsi="Times New Roman" w:cs="Times New Roman"/>
          <w:bCs/>
          <w:sz w:val="24"/>
          <w:szCs w:val="24"/>
        </w:rPr>
        <w:t>Note: E has the datum of mean sea level.</w:t>
      </w:r>
    </w:p>
    <w:p w14:paraId="29AB66D0" w14:textId="7B83DB6F" w:rsidR="00EF5388" w:rsidRPr="00FE35F1" w:rsidRDefault="00EF5388" w:rsidP="00D3003F">
      <w:pPr>
        <w:spacing w:after="0" w:line="480" w:lineRule="auto"/>
        <w:rPr>
          <w:rFonts w:ascii="Times New Roman" w:hAnsi="Times New Roman" w:cs="Times New Roman"/>
          <w:sz w:val="24"/>
          <w:szCs w:val="24"/>
        </w:rPr>
      </w:pPr>
      <w:r w:rsidRPr="00FE35F1">
        <w:rPr>
          <w:rFonts w:ascii="Times New Roman" w:hAnsi="Times New Roman" w:cs="Times New Roman"/>
          <w:sz w:val="24"/>
          <w:szCs w:val="24"/>
        </w:rPr>
        <w:t>Reference</w:t>
      </w:r>
    </w:p>
    <w:p w14:paraId="13187A84" w14:textId="75CF67A3" w:rsidR="00EF5388" w:rsidRPr="00FE35F1" w:rsidRDefault="00EF5388" w:rsidP="00EF5388">
      <w:pPr>
        <w:pStyle w:val="ListParagraph"/>
        <w:widowControl w:val="0"/>
        <w:numPr>
          <w:ilvl w:val="0"/>
          <w:numId w:val="1"/>
        </w:numPr>
        <w:autoSpaceDE w:val="0"/>
        <w:autoSpaceDN w:val="0"/>
        <w:adjustRightInd w:val="0"/>
        <w:spacing w:after="0" w:line="480" w:lineRule="auto"/>
        <w:rPr>
          <w:rFonts w:ascii="Times New Roman" w:hAnsi="Times New Roman" w:cs="Times New Roman"/>
          <w:noProof/>
          <w:sz w:val="24"/>
          <w:szCs w:val="24"/>
        </w:rPr>
      </w:pPr>
      <w:r w:rsidRPr="00FE35F1">
        <w:rPr>
          <w:rFonts w:ascii="Times New Roman" w:hAnsi="Times New Roman" w:cs="Times New Roman"/>
          <w:noProof/>
          <w:sz w:val="24"/>
          <w:szCs w:val="24"/>
        </w:rPr>
        <w:t xml:space="preserve">Burnham, K.P. &amp; Anderson, R.P. (2004). Multimodel Inference: Understanding AIC and BIC in Model Selection. </w:t>
      </w:r>
      <w:r w:rsidRPr="00FE35F1">
        <w:rPr>
          <w:rFonts w:ascii="Times New Roman" w:hAnsi="Times New Roman" w:cs="Times New Roman"/>
          <w:i/>
          <w:iCs/>
          <w:noProof/>
          <w:sz w:val="24"/>
          <w:szCs w:val="24"/>
        </w:rPr>
        <w:t>Sociol. Methods Res.</w:t>
      </w:r>
      <w:r w:rsidRPr="00FE35F1">
        <w:rPr>
          <w:rFonts w:ascii="Times New Roman" w:hAnsi="Times New Roman" w:cs="Times New Roman"/>
          <w:noProof/>
          <w:sz w:val="24"/>
          <w:szCs w:val="24"/>
        </w:rPr>
        <w:t>, 33, 261–304.</w:t>
      </w:r>
    </w:p>
    <w:p w14:paraId="59C87D82" w14:textId="77777777" w:rsidR="00EF5388" w:rsidRPr="00FE35F1" w:rsidRDefault="00EF5388" w:rsidP="00D3003F">
      <w:pPr>
        <w:spacing w:after="0" w:line="480" w:lineRule="auto"/>
        <w:rPr>
          <w:rFonts w:ascii="Times New Roman" w:hAnsi="Times New Roman" w:cs="Times New Roman"/>
          <w:sz w:val="24"/>
          <w:szCs w:val="24"/>
        </w:rPr>
      </w:pPr>
    </w:p>
    <w:p w14:paraId="4230DD5B" w14:textId="77777777" w:rsidR="00D3003F" w:rsidRPr="00FE35F1" w:rsidRDefault="00D3003F">
      <w:pPr>
        <w:rPr>
          <w:rFonts w:ascii="Times New Roman" w:hAnsi="Times New Roman" w:cs="Times New Roman"/>
          <w:sz w:val="24"/>
          <w:szCs w:val="24"/>
        </w:rPr>
      </w:pPr>
    </w:p>
    <w:sectPr w:rsidR="00D3003F" w:rsidRPr="00FE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5B2"/>
    <w:multiLevelType w:val="hybridMultilevel"/>
    <w:tmpl w:val="970E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3F"/>
    <w:rsid w:val="000A1ABE"/>
    <w:rsid w:val="0012483B"/>
    <w:rsid w:val="001764C8"/>
    <w:rsid w:val="00246545"/>
    <w:rsid w:val="0032602E"/>
    <w:rsid w:val="00404198"/>
    <w:rsid w:val="00605E58"/>
    <w:rsid w:val="00670E90"/>
    <w:rsid w:val="00D3003F"/>
    <w:rsid w:val="00EF5388"/>
    <w:rsid w:val="00FE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3059"/>
  <w15:chartTrackingRefBased/>
  <w15:docId w15:val="{B437A15E-C6BC-474F-9EB7-8F2CB825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003F"/>
    <w:rPr>
      <w:sz w:val="16"/>
      <w:szCs w:val="16"/>
    </w:rPr>
  </w:style>
  <w:style w:type="paragraph" w:styleId="CommentText">
    <w:name w:val="annotation text"/>
    <w:basedOn w:val="Normal"/>
    <w:link w:val="CommentTextChar"/>
    <w:uiPriority w:val="99"/>
    <w:semiHidden/>
    <w:unhideWhenUsed/>
    <w:rsid w:val="00D3003F"/>
    <w:pPr>
      <w:spacing w:line="240" w:lineRule="auto"/>
    </w:pPr>
    <w:rPr>
      <w:sz w:val="20"/>
      <w:szCs w:val="20"/>
    </w:rPr>
  </w:style>
  <w:style w:type="character" w:customStyle="1" w:styleId="CommentTextChar">
    <w:name w:val="Comment Text Char"/>
    <w:basedOn w:val="DefaultParagraphFont"/>
    <w:link w:val="CommentText"/>
    <w:uiPriority w:val="99"/>
    <w:semiHidden/>
    <w:rsid w:val="00D3003F"/>
    <w:rPr>
      <w:sz w:val="20"/>
      <w:szCs w:val="20"/>
    </w:rPr>
  </w:style>
  <w:style w:type="paragraph" w:styleId="BalloonText">
    <w:name w:val="Balloon Text"/>
    <w:basedOn w:val="Normal"/>
    <w:link w:val="BalloonTextChar"/>
    <w:uiPriority w:val="99"/>
    <w:semiHidden/>
    <w:unhideWhenUsed/>
    <w:rsid w:val="00D3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3F"/>
    <w:rPr>
      <w:rFonts w:ascii="Segoe UI" w:hAnsi="Segoe UI" w:cs="Segoe UI"/>
      <w:sz w:val="18"/>
      <w:szCs w:val="18"/>
    </w:rPr>
  </w:style>
  <w:style w:type="table" w:styleId="TableGrid">
    <w:name w:val="Table Grid"/>
    <w:basedOn w:val="TableNormal"/>
    <w:uiPriority w:val="39"/>
    <w:rsid w:val="00EF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2575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Wu</dc:creator>
  <cp:keywords/>
  <dc:description/>
  <cp:lastModifiedBy>Wei Wu</cp:lastModifiedBy>
  <cp:revision>9</cp:revision>
  <cp:lastPrinted>2017-06-06T03:16:00Z</cp:lastPrinted>
  <dcterms:created xsi:type="dcterms:W3CDTF">2017-04-16T20:50:00Z</dcterms:created>
  <dcterms:modified xsi:type="dcterms:W3CDTF">2017-06-06T18:10:00Z</dcterms:modified>
</cp:coreProperties>
</file>