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rId29.png" ContentType="image/png"/>
  <Override PartName="/word/media/rId66.png" ContentType="image/png"/>
  <Override PartName="/word/media/rId70.png" ContentType="image/png"/>
  <Override PartName="/word/media/rId76.png" ContentType="image/png"/>
  <Override PartName="/word/media/rId79.png" ContentType="image/png"/>
  <Override PartName="/word/media/rId32.png" ContentType="image/png"/>
  <Override PartName="/word/media/rId36.png" ContentType="image/png"/>
  <Override PartName="/word/media/rId42.png" ContentType="image/png"/>
  <Override PartName="/word/media/rId45.png" ContentType="image/png"/>
  <Override PartName="/word/media/rId49.png" ContentType="image/png"/>
  <Override PartName="/word/media/rId53.png" ContentType="image/png"/>
  <Override PartName="/word/media/rId58.png" ContentType="image/png"/>
  <Override PartName="/word/media/rId62.png" ContentType="image/png"/>
  <Override PartName="/word/media/image2.png" ContentType="image/png"/>
  <Override PartName="/word/media/image1.jpg" ContentType="image/jpeg"/>
  <Override PartName="/word/media/image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EX1903L2: Mid and Southeast US</w:t>
      </w:r>
    </w:p>
    <w:bookmarkStart w:id="25" w:name="data-summary"/>
    <w:p>
      <w:pPr>
        <w:pStyle w:val="Heading1"/>
      </w:pPr>
      <w:r>
        <w:t xml:space="preserve">Data Summary</w:t>
      </w:r>
    </w:p>
    <w:p>
      <w:pPr>
        <w:pStyle w:val="FirstParagraph"/>
      </w:pPr>
      <w:r>
        <w:t xml:space="preserve">This report is an expedition-level summary of expert annotations of benthic deep-sea communities and substrate for groups of remotely operated vehicle (ROV) dives within the NOAA Ocean Exploration</w:t>
      </w:r>
      <w:r>
        <w:t xml:space="preserve"> </w:t>
      </w:r>
      <w:hyperlink r:id="rId20">
        <w:r>
          <w:rPr>
            <w:rStyle w:val="Hyperlink"/>
          </w:rPr>
          <w:t xml:space="preserve">Atlantic Seafloor Partnership for Integrated Research and Exploration (ASPIRE)</w:t>
        </w:r>
      </w:hyperlink>
      <w:r>
        <w:t xml:space="preserve"> </w:t>
      </w:r>
      <w:r>
        <w:t xml:space="preserve">campaign (2017-2022). Associated NOAA Ocean Exploration cruise reports are available from the</w:t>
      </w:r>
      <w:r>
        <w:t xml:space="preserve"> </w:t>
      </w:r>
      <w:hyperlink r:id="rId21">
        <w:r>
          <w:rPr>
            <w:rStyle w:val="Hyperlink"/>
          </w:rPr>
          <w:t xml:space="preserve">NOAA Institutional Repository</w:t>
        </w:r>
      </w:hyperlink>
      <w:r>
        <w:t xml:space="preserve">. Video was collected using protocols described in the</w:t>
      </w:r>
      <w:r>
        <w:t xml:space="preserve"> </w:t>
      </w:r>
      <w:hyperlink r:id="rId22">
        <w:r>
          <w:rPr>
            <w:rStyle w:val="Hyperlink"/>
          </w:rPr>
          <w:t xml:space="preserve">NOAA Ocean Exploration ROV and Telepresence Deepwater Exploration Procedures manual</w:t>
        </w:r>
      </w:hyperlink>
      <w:r>
        <w:t xml:space="preserve">.</w:t>
      </w:r>
    </w:p>
    <w:p>
      <w:pPr>
        <w:pStyle w:val="BodyText"/>
      </w:pPr>
      <w:r>
        <w:t xml:space="preserve">These annotations have undergone quality control by the France Lab at the University of Louisiana Lafayette following protocols described in the</w:t>
      </w:r>
      <w:r>
        <w:t xml:space="preserve"> </w:t>
      </w:r>
      <w:hyperlink r:id="rId23">
        <w:r>
          <w:rPr>
            <w:rStyle w:val="Hyperlink"/>
          </w:rPr>
          <w:t xml:space="preserve">Annotating NOAA Ocean Exploration Video guidance</w:t>
        </w:r>
      </w:hyperlink>
      <w:r>
        <w:t xml:space="preserve">. The annotations in SeaTube can be continuously updated by users. Annotations may have been modified or updated since the quality control process by the France Lab. These summarized annotations only represent the annotations made during the benthic portion of the dives (defined using the on- and off-bottom times in the Dive Summary Reports available for each dive on the</w:t>
      </w:r>
      <w:r>
        <w:t xml:space="preserve"> </w:t>
      </w:r>
      <w:hyperlink r:id="rId24">
        <w:r>
          <w:rPr>
            <w:rStyle w:val="Hyperlink"/>
          </w:rPr>
          <w:t xml:space="preserve">expedition-specific landing page</w:t>
        </w:r>
      </w:hyperlink>
      <w:r>
        <w:t xml:space="preserve">).</w:t>
      </w:r>
    </w:p>
    <w:p>
      <w:pPr>
        <w:pStyle w:val="BodyText"/>
      </w:pPr>
      <w:r>
        <w:t xml:space="preserve">This report provides data visualizations in the form of tables and graphs of:</w:t>
      </w:r>
    </w:p>
    <w:p>
      <w:pPr>
        <w:numPr>
          <w:ilvl w:val="0"/>
          <w:numId w:val="1001"/>
        </w:numPr>
      </w:pPr>
      <w:r>
        <w:t xml:space="preserve">Dive summary metrics (ROV time on bottom; ROV distance traveled; ROV mean depth),</w:t>
      </w:r>
    </w:p>
    <w:p>
      <w:pPr>
        <w:numPr>
          <w:ilvl w:val="0"/>
          <w:numId w:val="1001"/>
        </w:numPr>
      </w:pPr>
      <w:r>
        <w:t xml:space="preserve">Annotation metrics by dive (total numbers of benthic biological and geoform/substrate annotations; percentage of annotations identified to each taxonomic level; phylum-level community composition; numbers of annotations of taxonomic groups of interest, i.e., deep-sea corals, Porifera, Echinodermata, and Vertebrata), and</w:t>
      </w:r>
    </w:p>
    <w:p>
      <w:pPr>
        <w:numPr>
          <w:ilvl w:val="0"/>
          <w:numId w:val="1001"/>
        </w:numPr>
      </w:pPr>
      <w:r>
        <w:t xml:space="preserve">Quality control metrics (percentage of annotations flagged for review at the time of report generation; number of unidentified biological annotations).</w:t>
      </w:r>
    </w:p>
    <w:bookmarkEnd w:id="25"/>
    <w:bookmarkStart w:id="27" w:name="annotation-information"/>
    <w:p>
      <w:pPr>
        <w:pStyle w:val="Heading1"/>
      </w:pPr>
      <w:r>
        <w:t xml:space="preserve">Annotation Information</w:t>
      </w:r>
    </w:p>
    <w:p>
      <w:pPr>
        <w:pStyle w:val="FirstParagraph"/>
      </w:pPr>
      <w:r>
        <w:t xml:space="preserve">Input data are .csv files sourced from the</w:t>
      </w:r>
      <w:r>
        <w:t xml:space="preserve"> </w:t>
      </w:r>
      <w:hyperlink r:id="rId26">
        <w:r>
          <w:rPr>
            <w:rStyle w:val="Hyperlink"/>
          </w:rPr>
          <w:t xml:space="preserve">Ocean Networks Canada SeaTube website</w:t>
        </w:r>
      </w:hyperlink>
      <w:r>
        <w:t xml:space="preserve">.</w:t>
      </w:r>
    </w:p>
    <w:p>
      <w:pPr>
        <w:pStyle w:val="BodyText"/>
      </w:pPr>
      <w:r>
        <w:t xml:space="preserve">This report was generated using annotations downloaded from SeaTube on October 21, 2024.</w:t>
      </w:r>
    </w:p>
    <w:bookmarkEnd w:id="27"/>
    <w:bookmarkStart w:id="28" w:name="expedition-summary"/>
    <w:p>
      <w:pPr>
        <w:pStyle w:val="Heading1"/>
      </w:pPr>
      <w:r>
        <w:t xml:space="preserve">Expedition Summary</w:t>
      </w:r>
    </w:p>
    <w:p>
      <w:pPr>
        <w:pStyle w:val="FirstParagraph"/>
      </w:pPr>
      <w:r>
        <w:t xml:space="preserve">EX1903L2 consisted of 19 total dives which explored the benthos and water column. ROV time on bottom ranged from 3.49 to 7.75 hours with a median of 5.87 hours across all dives. ROV distance traveled ranged from 591 meters to 1,854 meters with a median distance traveled of 1,169 meters. The shallowest dive had a mean depth of 0 meters, the deepest dive had a mean depth of 3,275 meters, and the median across all dives was 872 meters. The median number of geoform or substrate annotations was 0, and median number of benthic biological annotations was 460.</w:t>
      </w:r>
    </w:p>
    <w:bookmarkEnd w:id="28"/>
    <w:bookmarkStart w:id="41" w:name="dive-summary-metrics"/>
    <w:p>
      <w:pPr>
        <w:pStyle w:val="Heading1"/>
      </w:pPr>
      <w:r>
        <w:t xml:space="preserve">Dive Summary Metrics</w:t>
      </w:r>
    </w:p>
    <w:p>
      <w:pPr>
        <w:pStyle w:val="FirstParagraph"/>
      </w:pPr>
      <w:r>
        <w:drawing>
          <wp:inline>
            <wp:extent cx="4620126" cy="3696101"/>
            <wp:effectExtent b="0" l="0" r="0" t="0"/>
            <wp:docPr descr="" title="" id="30" name="Picture"/>
            <a:graphic>
              <a:graphicData uri="http://schemas.openxmlformats.org/drawingml/2006/picture">
                <pic:pic>
                  <pic:nvPicPr>
                    <pic:cNvPr descr="Annotations_report_files/figure-docx/ROV-time-on-bottom-1.png" id="31" name="Picture"/>
                    <pic:cNvPicPr>
                      <a:picLocks noChangeArrowheads="1" noChangeAspect="1"/>
                    </pic:cNvPicPr>
                  </pic:nvPicPr>
                  <pic:blipFill>
                    <a:blip r:embed="rId29"/>
                    <a:stretch>
                      <a:fillRect/>
                    </a:stretch>
                  </pic:blipFill>
                  <pic:spPr bwMode="auto">
                    <a:xfrm>
                      <a:off x="0" y="0"/>
                      <a:ext cx="4620126" cy="3696101"/>
                    </a:xfrm>
                    <a:prstGeom prst="rect">
                      <a:avLst/>
                    </a:prstGeom>
                    <a:noFill/>
                    <a:ln w="9525">
                      <a:noFill/>
                      <a:headEnd/>
                      <a:tailEnd/>
                    </a:ln>
                  </pic:spPr>
                </pic:pic>
              </a:graphicData>
            </a:graphic>
          </wp:inline>
        </w:drawing>
      </w:r>
    </w:p>
    <w:bookmarkStart w:id="35" w:name="figure-1.-rov-time-on-bottom-in-hours."/>
    <w:p>
      <w:pPr>
        <w:pStyle w:val="Heading6"/>
      </w:pPr>
      <w:r>
        <w:rPr>
          <w:rStyle w:val="Strong"/>
        </w:rPr>
        <w:t xml:space="preserve">Figure 1</w:t>
      </w:r>
      <w:r>
        <w:t xml:space="preserve">. ROV time on bottom in hours.</w:t>
      </w:r>
    </w:p>
    <w:p>
      <w:pPr>
        <w:pStyle w:val="FirstParagraph"/>
      </w:pPr>
      <w:r>
        <w:t xml:space="preserve">ROV time on bottom ranged from 3.49 hours to 7.75 hours during EX1903L2 with a median time on bottom of 5.87 hours.</w:t>
      </w:r>
    </w:p>
    <w:p>
      <w:pPr>
        <w:pStyle w:val="BodyText"/>
      </w:pPr>
      <w:r>
        <w:drawing>
          <wp:inline>
            <wp:extent cx="4620126" cy="3696101"/>
            <wp:effectExtent b="0" l="0" r="0" t="0"/>
            <wp:docPr descr="" title="" id="33" name="Picture"/>
            <a:graphic>
              <a:graphicData uri="http://schemas.openxmlformats.org/drawingml/2006/picture">
                <pic:pic>
                  <pic:nvPicPr>
                    <pic:cNvPr descr="Annotations_report_files/figure-docx/unnamed-chunk-2-1.png" id="34" name="Picture"/>
                    <pic:cNvPicPr>
                      <a:picLocks noChangeArrowheads="1" noChangeAspect="1"/>
                    </pic:cNvPicPr>
                  </pic:nvPicPr>
                  <pic:blipFill>
                    <a:blip r:embed="rId32"/>
                    <a:stretch>
                      <a:fillRect/>
                    </a:stretch>
                  </pic:blipFill>
                  <pic:spPr bwMode="auto">
                    <a:xfrm>
                      <a:off x="0" y="0"/>
                      <a:ext cx="4620126" cy="3696101"/>
                    </a:xfrm>
                    <a:prstGeom prst="rect">
                      <a:avLst/>
                    </a:prstGeom>
                    <a:noFill/>
                    <a:ln w="9525">
                      <a:noFill/>
                      <a:headEnd/>
                      <a:tailEnd/>
                    </a:ln>
                  </pic:spPr>
                </pic:pic>
              </a:graphicData>
            </a:graphic>
          </wp:inline>
        </w:drawing>
      </w:r>
    </w:p>
    <w:bookmarkEnd w:id="35"/>
    <w:bookmarkStart w:id="39" w:name="X5b1971d4bdaa0dd261279c53ad407c17a00bb00"/>
    <w:p>
      <w:pPr>
        <w:pStyle w:val="Heading6"/>
      </w:pPr>
      <w:r>
        <w:rPr>
          <w:rStyle w:val="Strong"/>
        </w:rPr>
        <w:t xml:space="preserve">Figure 2</w:t>
      </w:r>
      <w:r>
        <w:t xml:space="preserve">. ROV distance traveled in meters during the benthic portion of each dive.</w:t>
      </w:r>
    </w:p>
    <w:p>
      <w:pPr>
        <w:pStyle w:val="FirstParagraph"/>
      </w:pPr>
      <w:r>
        <w:t xml:space="preserve">ROV distance traveled ranged from 591 meters to 1,854 meters during EX1903L2 with a median distance traveled of 1,169 meters.</w:t>
      </w:r>
    </w:p>
    <w:p>
      <w:pPr>
        <w:pStyle w:val="BodyText"/>
      </w:pPr>
      <w:r>
        <w:drawing>
          <wp:inline>
            <wp:extent cx="4620126" cy="3696101"/>
            <wp:effectExtent b="0" l="0" r="0" t="0"/>
            <wp:docPr descr="" title="" id="37" name="Picture"/>
            <a:graphic>
              <a:graphicData uri="http://schemas.openxmlformats.org/drawingml/2006/picture">
                <pic:pic>
                  <pic:nvPicPr>
                    <pic:cNvPr descr="Annotations_report_files/figure-docx/unnamed-chunk-3-1.png" id="38" name="Picture"/>
                    <pic:cNvPicPr>
                      <a:picLocks noChangeArrowheads="1" noChangeAspect="1"/>
                    </pic:cNvPicPr>
                  </pic:nvPicPr>
                  <pic:blipFill>
                    <a:blip r:embed="rId36"/>
                    <a:stretch>
                      <a:fillRect/>
                    </a:stretch>
                  </pic:blipFill>
                  <pic:spPr bwMode="auto">
                    <a:xfrm>
                      <a:off x="0" y="0"/>
                      <a:ext cx="4620126" cy="3696101"/>
                    </a:xfrm>
                    <a:prstGeom prst="rect">
                      <a:avLst/>
                    </a:prstGeom>
                    <a:noFill/>
                    <a:ln w="9525">
                      <a:noFill/>
                      <a:headEnd/>
                      <a:tailEnd/>
                    </a:ln>
                  </pic:spPr>
                </pic:pic>
              </a:graphicData>
            </a:graphic>
          </wp:inline>
        </w:drawing>
      </w:r>
    </w:p>
    <w:bookmarkEnd w:id="39"/>
    <w:bookmarkStart w:id="40" w:name="Xcb51bf4cfc772e4e8ddc6761d40c1d3e7a1b9f8"/>
    <w:p>
      <w:pPr>
        <w:pStyle w:val="Heading6"/>
      </w:pPr>
      <w:r>
        <w:rPr>
          <w:rStyle w:val="Strong"/>
        </w:rPr>
        <w:t xml:space="preserve">Figure 3</w:t>
      </w:r>
      <w:r>
        <w:t xml:space="preserve">. Mean ROV depth in meters during the benthic portion of each dive.</w:t>
      </w:r>
    </w:p>
    <w:p>
      <w:pPr>
        <w:pStyle w:val="FirstParagraph"/>
      </w:pPr>
      <w:r>
        <w:t xml:space="preserve">The shallowest dive during EX1903L2 had a mean depth of 0, and the deepest dive had a mean depth of 3,275. Overall, dives during EX1903L2 had a median depth of 872 meters.</w:t>
      </w:r>
    </w:p>
    <w:bookmarkEnd w:id="40"/>
    <w:bookmarkEnd w:id="41"/>
    <w:bookmarkStart w:id="75" w:name="annotation-metrics"/>
    <w:p>
      <w:pPr>
        <w:pStyle w:val="Heading1"/>
      </w:pPr>
      <w:r>
        <w:t xml:space="preserve">Annotation Metrics</w:t>
      </w:r>
    </w:p>
    <w:p>
      <w:pPr>
        <w:pStyle w:val="FirstParagraph"/>
      </w:pPr>
      <w:r>
        <w:drawing>
          <wp:inline>
            <wp:extent cx="4620126" cy="3696101"/>
            <wp:effectExtent b="0" l="0" r="0" t="0"/>
            <wp:docPr descr="" title="" id="43" name="Picture"/>
            <a:graphic>
              <a:graphicData uri="http://schemas.openxmlformats.org/drawingml/2006/picture">
                <pic:pic>
                  <pic:nvPicPr>
                    <pic:cNvPr descr="Annotations_report_files/figure-docx/unnamed-chunk-4-1.png" id="44" name="Picture"/>
                    <pic:cNvPicPr>
                      <a:picLocks noChangeArrowheads="1" noChangeAspect="1"/>
                    </pic:cNvPicPr>
                  </pic:nvPicPr>
                  <pic:blipFill>
                    <a:blip r:embed="rId42"/>
                    <a:stretch>
                      <a:fillRect/>
                    </a:stretch>
                  </pic:blipFill>
                  <pic:spPr bwMode="auto">
                    <a:xfrm>
                      <a:off x="0" y="0"/>
                      <a:ext cx="4620126" cy="3696101"/>
                    </a:xfrm>
                    <a:prstGeom prst="rect">
                      <a:avLst/>
                    </a:prstGeom>
                    <a:noFill/>
                    <a:ln w="9525">
                      <a:noFill/>
                      <a:headEnd/>
                      <a:tailEnd/>
                    </a:ln>
                  </pic:spPr>
                </pic:pic>
              </a:graphicData>
            </a:graphic>
          </wp:inline>
        </w:drawing>
      </w:r>
    </w:p>
    <w:bookmarkStart w:id="48" w:name="figure-4.-total-biological-annotations."/>
    <w:p>
      <w:pPr>
        <w:pStyle w:val="Heading6"/>
      </w:pPr>
      <w:r>
        <w:rPr>
          <w:rStyle w:val="Strong"/>
        </w:rPr>
        <w:t xml:space="preserve">Figure 4</w:t>
      </w:r>
      <w:r>
        <w:t xml:space="preserve">. Total biological annotations.</w:t>
      </w:r>
    </w:p>
    <w:p>
      <w:pPr>
        <w:pStyle w:val="FirstParagraph"/>
      </w:pPr>
      <w:r>
        <w:t xml:space="preserve">The total number of benthic biological annotations (all phyla) for each dive during EX1903L2 ranged from 85 to 1,344 with a median of 460 annotations across all dives.</w:t>
      </w:r>
    </w:p>
    <w:p>
      <w:pPr>
        <w:pStyle w:val="BodyText"/>
      </w:pPr>
      <w:r>
        <w:drawing>
          <wp:inline>
            <wp:extent cx="4620126" cy="3696101"/>
            <wp:effectExtent b="0" l="0" r="0" t="0"/>
            <wp:docPr descr="" title="" id="46" name="Picture"/>
            <a:graphic>
              <a:graphicData uri="http://schemas.openxmlformats.org/drawingml/2006/picture">
                <pic:pic>
                  <pic:nvPicPr>
                    <pic:cNvPr descr="Annotations_report_files/figure-docx/unnamed-chunk-5-1.png" id="47" name="Picture"/>
                    <pic:cNvPicPr>
                      <a:picLocks noChangeArrowheads="1" noChangeAspect="1"/>
                    </pic:cNvPicPr>
                  </pic:nvPicPr>
                  <pic:blipFill>
                    <a:blip r:embed="rId45"/>
                    <a:stretch>
                      <a:fillRect/>
                    </a:stretch>
                  </pic:blipFill>
                  <pic:spPr bwMode="auto">
                    <a:xfrm>
                      <a:off x="0" y="0"/>
                      <a:ext cx="4620126" cy="3696101"/>
                    </a:xfrm>
                    <a:prstGeom prst="rect">
                      <a:avLst/>
                    </a:prstGeom>
                    <a:noFill/>
                    <a:ln w="9525">
                      <a:noFill/>
                      <a:headEnd/>
                      <a:tailEnd/>
                    </a:ln>
                  </pic:spPr>
                </pic:pic>
              </a:graphicData>
            </a:graphic>
          </wp:inline>
        </w:drawing>
      </w:r>
    </w:p>
    <w:bookmarkEnd w:id="48"/>
    <w:bookmarkStart w:id="52" w:name="X0aa253ea9103f64b5575b6e21ab49e0ce9b6ea5"/>
    <w:p>
      <w:pPr>
        <w:pStyle w:val="Heading6"/>
      </w:pPr>
      <w:r>
        <w:rPr>
          <w:rStyle w:val="Strong"/>
        </w:rPr>
        <w:t xml:space="preserve">Figure 5</w:t>
      </w:r>
      <w:r>
        <w:t xml:space="preserve">. Percentage of annotations identified to each taxonomic level</w:t>
      </w:r>
    </w:p>
    <w:p>
      <w:pPr>
        <w:pStyle w:val="FirstParagraph"/>
      </w:pPr>
      <w:r>
        <w:t xml:space="preserve">One common problem in deep-sea biology is that many taxa observed in video can only be identified to high taxonomic levels, like phylum or class, and cannot be identified to lower taxonomic levels, such as genus or species. The figure above shows the percentage of biological annotations (all phyla) that could be identified to each taxonomic level, from class through species, for each dive during EX1903L2.</w:t>
      </w:r>
    </w:p>
    <w:p>
      <w:pPr>
        <w:pStyle w:val="BodyText"/>
      </w:pPr>
      <w:r>
        <w:t xml:space="preserve">Across all dives:</w:t>
      </w:r>
    </w:p>
    <w:p>
      <w:pPr>
        <w:numPr>
          <w:ilvl w:val="0"/>
          <w:numId w:val="1002"/>
        </w:numPr>
      </w:pPr>
      <w:r>
        <w:t xml:space="preserve">The percentage of benthic biological annotations that could be identified to the class level ranged from 72-99 with a median of 92%.</w:t>
      </w:r>
    </w:p>
    <w:p>
      <w:pPr>
        <w:numPr>
          <w:ilvl w:val="0"/>
          <w:numId w:val="1002"/>
        </w:numPr>
      </w:pPr>
      <w:r>
        <w:t xml:space="preserve">The percentage of benthic biological annotations that could be identified to the order level ranged from 47-84 with a median of 66%.</w:t>
      </w:r>
    </w:p>
    <w:p>
      <w:pPr>
        <w:numPr>
          <w:ilvl w:val="0"/>
          <w:numId w:val="1002"/>
        </w:numPr>
      </w:pPr>
      <w:r>
        <w:t xml:space="preserve">The percentage of benthic biological annotations that could be identified to the family level ranged from 30-70 with a median of 43%.</w:t>
      </w:r>
    </w:p>
    <w:p>
      <w:pPr>
        <w:numPr>
          <w:ilvl w:val="0"/>
          <w:numId w:val="1002"/>
        </w:numPr>
      </w:pPr>
      <w:r>
        <w:t xml:space="preserve">The percentage of benthic biological annotations that could be identified to the genus level ranged from 11-47 with a median of 17%.</w:t>
      </w:r>
    </w:p>
    <w:p>
      <w:pPr>
        <w:numPr>
          <w:ilvl w:val="0"/>
          <w:numId w:val="1002"/>
        </w:numPr>
      </w:pPr>
      <w:r>
        <w:t xml:space="preserve">The percentage of benthic biological annotations that could be identified to the species level ranged from 1-29 with a median of 4%.</w:t>
      </w:r>
    </w:p>
    <w:p>
      <w:pPr>
        <w:pStyle w:val="FirstParagraph"/>
      </w:pPr>
      <w:r>
        <w:drawing>
          <wp:inline>
            <wp:extent cx="4620126" cy="3696101"/>
            <wp:effectExtent b="0" l="0" r="0" t="0"/>
            <wp:docPr descr="" title="" id="50" name="Picture"/>
            <a:graphic>
              <a:graphicData uri="http://schemas.openxmlformats.org/drawingml/2006/picture">
                <pic:pic>
                  <pic:nvPicPr>
                    <pic:cNvPr descr="Annotations_report_files/figure-docx/unnamed-chunk-6-1.png" id="51" name="Picture"/>
                    <pic:cNvPicPr>
                      <a:picLocks noChangeArrowheads="1" noChangeAspect="1"/>
                    </pic:cNvPicPr>
                  </pic:nvPicPr>
                  <pic:blipFill>
                    <a:blip r:embed="rId49"/>
                    <a:stretch>
                      <a:fillRect/>
                    </a:stretch>
                  </pic:blipFill>
                  <pic:spPr bwMode="auto">
                    <a:xfrm>
                      <a:off x="0" y="0"/>
                      <a:ext cx="4620126" cy="3696101"/>
                    </a:xfrm>
                    <a:prstGeom prst="rect">
                      <a:avLst/>
                    </a:prstGeom>
                    <a:noFill/>
                    <a:ln w="9525">
                      <a:noFill/>
                      <a:headEnd/>
                      <a:tailEnd/>
                    </a:ln>
                  </pic:spPr>
                </pic:pic>
              </a:graphicData>
            </a:graphic>
          </wp:inline>
        </w:drawing>
      </w:r>
    </w:p>
    <w:bookmarkEnd w:id="52"/>
    <w:bookmarkStart w:id="56" w:name="Xabeca52359f31bc3d3887ad2e52cce97f0186c3"/>
    <w:p>
      <w:pPr>
        <w:pStyle w:val="Heading6"/>
      </w:pPr>
      <w:r>
        <w:rPr>
          <w:rStyle w:val="Strong"/>
        </w:rPr>
        <w:t xml:space="preserve">Figure 6</w:t>
      </w:r>
      <w:r>
        <w:t xml:space="preserve">. Phylum-level annotations and community composition</w:t>
      </w:r>
    </w:p>
    <w:p>
      <w:pPr>
        <w:pStyle w:val="FirstParagraph"/>
      </w:pPr>
      <w:r>
        <w:t xml:space="preserve">Phyla annotated during EX1903L2 varied by dive and are illustrated here using color intensity, which indicates the relative contribution of each phylum to the total benthic biological annotations for each dive. The most common phyla annotated during EX1903L2 can be identified by examining the variation in color intensity across rows. The community composition annotated during EX1903L2 can be compared across dives by examining the variation in color intensity across columns.</w:t>
      </w:r>
    </w:p>
    <w:p>
      <w:pPr>
        <w:pStyle w:val="BodyText"/>
      </w:pPr>
      <w:r>
        <w:drawing>
          <wp:inline>
            <wp:extent cx="4620126" cy="3696101"/>
            <wp:effectExtent b="0" l="0" r="0" t="0"/>
            <wp:docPr descr="" title="" id="54" name="Picture"/>
            <a:graphic>
              <a:graphicData uri="http://schemas.openxmlformats.org/drawingml/2006/picture">
                <pic:pic>
                  <pic:nvPicPr>
                    <pic:cNvPr descr="Annotations_report_files/figure-docx/unnamed-chunk-7-1.png" id="55" name="Picture"/>
                    <pic:cNvPicPr>
                      <a:picLocks noChangeArrowheads="1" noChangeAspect="1"/>
                    </pic:cNvPicPr>
                  </pic:nvPicPr>
                  <pic:blipFill>
                    <a:blip r:embed="rId53"/>
                    <a:stretch>
                      <a:fillRect/>
                    </a:stretch>
                  </pic:blipFill>
                  <pic:spPr bwMode="auto">
                    <a:xfrm>
                      <a:off x="0" y="0"/>
                      <a:ext cx="4620126" cy="3696101"/>
                    </a:xfrm>
                    <a:prstGeom prst="rect">
                      <a:avLst/>
                    </a:prstGeom>
                    <a:noFill/>
                    <a:ln w="9525">
                      <a:noFill/>
                      <a:headEnd/>
                      <a:tailEnd/>
                    </a:ln>
                  </pic:spPr>
                </pic:pic>
              </a:graphicData>
            </a:graphic>
          </wp:inline>
        </w:drawing>
      </w:r>
    </w:p>
    <w:bookmarkEnd w:id="56"/>
    <w:bookmarkStart w:id="61" w:name="X528eb92462c944eb6ded37bedc06856904fa367"/>
    <w:p>
      <w:pPr>
        <w:pStyle w:val="Heading6"/>
      </w:pPr>
      <w:r>
        <w:rPr>
          <w:rStyle w:val="Strong"/>
        </w:rPr>
        <w:t xml:space="preserve">Figure 7</w:t>
      </w:r>
      <w:r>
        <w:t xml:space="preserve">. Total deep-sea coral annotations.</w:t>
      </w:r>
    </w:p>
    <w:p>
      <w:pPr>
        <w:pStyle w:val="FirstParagraph"/>
      </w:pPr>
      <w:r>
        <w:t xml:space="preserve">Deep-sea corals provide benthic structure and are of interest due to their status as vulnerable marine ecosystems. For more information, the</w:t>
      </w:r>
      <w:r>
        <w:t xml:space="preserve"> </w:t>
      </w:r>
      <w:hyperlink r:id="rId57">
        <w:r>
          <w:rPr>
            <w:rStyle w:val="Hyperlink"/>
          </w:rPr>
          <w:t xml:space="preserve">NOAA Deep-Sea Coral Research and Technology Program</w:t>
        </w:r>
      </w:hyperlink>
      <w:r>
        <w:t xml:space="preserve"> </w:t>
      </w:r>
      <w:r>
        <w:t xml:space="preserve">is dedicated to increasing scientific understanding of deep-sea coral and sponge ecosystems. The total number of deep-sea corals annotated during each dive of EX1903L2 ranged from 0 to 879 with a median of 136 deep-sea corals annotations across all dives.</w:t>
      </w:r>
    </w:p>
    <w:p>
      <w:pPr>
        <w:pStyle w:val="BodyText"/>
      </w:pPr>
      <w:r>
        <w:drawing>
          <wp:inline>
            <wp:extent cx="4620126" cy="3696101"/>
            <wp:effectExtent b="0" l="0" r="0" t="0"/>
            <wp:docPr descr="" title="" id="59" name="Picture"/>
            <a:graphic>
              <a:graphicData uri="http://schemas.openxmlformats.org/drawingml/2006/picture">
                <pic:pic>
                  <pic:nvPicPr>
                    <pic:cNvPr descr="Annotations_report_files/figure-docx/unnamed-chunk-8-1.png" id="60" name="Picture"/>
                    <pic:cNvPicPr>
                      <a:picLocks noChangeArrowheads="1" noChangeAspect="1"/>
                    </pic:cNvPicPr>
                  </pic:nvPicPr>
                  <pic:blipFill>
                    <a:blip r:embed="rId58"/>
                    <a:stretch>
                      <a:fillRect/>
                    </a:stretch>
                  </pic:blipFill>
                  <pic:spPr bwMode="auto">
                    <a:xfrm>
                      <a:off x="0" y="0"/>
                      <a:ext cx="4620126" cy="3696101"/>
                    </a:xfrm>
                    <a:prstGeom prst="rect">
                      <a:avLst/>
                    </a:prstGeom>
                    <a:noFill/>
                    <a:ln w="9525">
                      <a:noFill/>
                      <a:headEnd/>
                      <a:tailEnd/>
                    </a:ln>
                  </pic:spPr>
                </pic:pic>
              </a:graphicData>
            </a:graphic>
          </wp:inline>
        </w:drawing>
      </w:r>
    </w:p>
    <w:bookmarkEnd w:id="61"/>
    <w:bookmarkStart w:id="65" w:name="figure-8.-total-porifera-annotations."/>
    <w:p>
      <w:pPr>
        <w:pStyle w:val="Heading6"/>
      </w:pPr>
      <w:r>
        <w:rPr>
          <w:rStyle w:val="Strong"/>
        </w:rPr>
        <w:t xml:space="preserve">Figure 8</w:t>
      </w:r>
      <w:r>
        <w:t xml:space="preserve">. Total Porifera annotations.</w:t>
      </w:r>
    </w:p>
    <w:p>
      <w:pPr>
        <w:pStyle w:val="FirstParagraph"/>
      </w:pPr>
      <w:r>
        <w:t xml:space="preserve">The phylum Porifera includes sponges. The total number of porifera annotated during each dive of EX1903L2 ranged from 0 to 507 with a median of 71 porifera annotations across all dives.</w:t>
      </w:r>
    </w:p>
    <w:p>
      <w:pPr>
        <w:pStyle w:val="BodyText"/>
      </w:pPr>
      <w:r>
        <w:drawing>
          <wp:inline>
            <wp:extent cx="4620126" cy="3696101"/>
            <wp:effectExtent b="0" l="0" r="0" t="0"/>
            <wp:docPr descr="" title="" id="63" name="Picture"/>
            <a:graphic>
              <a:graphicData uri="http://schemas.openxmlformats.org/drawingml/2006/picture">
                <pic:pic>
                  <pic:nvPicPr>
                    <pic:cNvPr descr="Annotations_report_files/figure-docx/unnamed-chunk-9-1.png" id="64" name="Picture"/>
                    <pic:cNvPicPr>
                      <a:picLocks noChangeArrowheads="1" noChangeAspect="1"/>
                    </pic:cNvPicPr>
                  </pic:nvPicPr>
                  <pic:blipFill>
                    <a:blip r:embed="rId62"/>
                    <a:stretch>
                      <a:fillRect/>
                    </a:stretch>
                  </pic:blipFill>
                  <pic:spPr bwMode="auto">
                    <a:xfrm>
                      <a:off x="0" y="0"/>
                      <a:ext cx="4620126" cy="3696101"/>
                    </a:xfrm>
                    <a:prstGeom prst="rect">
                      <a:avLst/>
                    </a:prstGeom>
                    <a:noFill/>
                    <a:ln w="9525">
                      <a:noFill/>
                      <a:headEnd/>
                      <a:tailEnd/>
                    </a:ln>
                  </pic:spPr>
                </pic:pic>
              </a:graphicData>
            </a:graphic>
          </wp:inline>
        </w:drawing>
      </w:r>
    </w:p>
    <w:bookmarkEnd w:id="65"/>
    <w:bookmarkStart w:id="69" w:name="X769bd9b4a91a7077d76c280a7f3acddc0018142"/>
    <w:p>
      <w:pPr>
        <w:pStyle w:val="Heading6"/>
      </w:pPr>
      <w:r>
        <w:rPr>
          <w:rStyle w:val="Strong"/>
        </w:rPr>
        <w:t xml:space="preserve">Figure 9</w:t>
      </w:r>
      <w:r>
        <w:t xml:space="preserve">. Total Echinodermata annotations.</w:t>
      </w:r>
    </w:p>
    <w:p>
      <w:pPr>
        <w:pStyle w:val="FirstParagraph"/>
      </w:pPr>
      <w:r>
        <w:t xml:space="preserve">The phylum Echinodermata includes a variety of invertebrates common to the deep sea, including sea stars (Class: Asteroidea), brittle stars (Class: Ophiuroidea), crinoids (Class: Crinoidea), sea urchins (Class: Echinoidea), and sea cucumbers (Class: Holothuroidea). The total number of echinoderms annotated during each dive of EX1903L2 ranged from 1 to 80 with a median of 38 echinoderm annotations across all dives.</w:t>
      </w:r>
    </w:p>
    <w:p>
      <w:pPr>
        <w:pStyle w:val="BodyText"/>
      </w:pPr>
      <w:r>
        <w:drawing>
          <wp:inline>
            <wp:extent cx="4620126" cy="3696101"/>
            <wp:effectExtent b="0" l="0" r="0" t="0"/>
            <wp:docPr descr="" title="" id="67" name="Picture"/>
            <a:graphic>
              <a:graphicData uri="http://schemas.openxmlformats.org/drawingml/2006/picture">
                <pic:pic>
                  <pic:nvPicPr>
                    <pic:cNvPr descr="Annotations_report_files/figure-docx/unnamed-chunk-10-1.png" id="68" name="Picture"/>
                    <pic:cNvPicPr>
                      <a:picLocks noChangeArrowheads="1" noChangeAspect="1"/>
                    </pic:cNvPicPr>
                  </pic:nvPicPr>
                  <pic:blipFill>
                    <a:blip r:embed="rId66"/>
                    <a:stretch>
                      <a:fillRect/>
                    </a:stretch>
                  </pic:blipFill>
                  <pic:spPr bwMode="auto">
                    <a:xfrm>
                      <a:off x="0" y="0"/>
                      <a:ext cx="4620126" cy="3696101"/>
                    </a:xfrm>
                    <a:prstGeom prst="rect">
                      <a:avLst/>
                    </a:prstGeom>
                    <a:noFill/>
                    <a:ln w="9525">
                      <a:noFill/>
                      <a:headEnd/>
                      <a:tailEnd/>
                    </a:ln>
                  </pic:spPr>
                </pic:pic>
              </a:graphicData>
            </a:graphic>
          </wp:inline>
        </w:drawing>
      </w:r>
    </w:p>
    <w:bookmarkEnd w:id="69"/>
    <w:bookmarkStart w:id="73" w:name="figure-10.-total-vertebrata-annotations."/>
    <w:p>
      <w:pPr>
        <w:pStyle w:val="Heading6"/>
      </w:pPr>
      <w:r>
        <w:rPr>
          <w:rStyle w:val="Strong"/>
        </w:rPr>
        <w:t xml:space="preserve">Figure 10</w:t>
      </w:r>
      <w:r>
        <w:t xml:space="preserve">. Total Vertebrata annotations.</w:t>
      </w:r>
    </w:p>
    <w:p>
      <w:pPr>
        <w:pStyle w:val="FirstParagraph"/>
      </w:pPr>
      <w:r>
        <w:t xml:space="preserve">The subphylum Vertebrata contains all vertebrates within the phylum Chordata. Commonly observed vertebrates include fishes. The total number of vertebrates annotated during each dive of EX1903L2 ranged from 21 to 111 with a median of 55 vertebrate annotations across all dives.</w:t>
      </w:r>
    </w:p>
    <w:p>
      <w:pPr>
        <w:pStyle w:val="BodyText"/>
      </w:pPr>
      <w:r>
        <w:drawing>
          <wp:inline>
            <wp:extent cx="4620126" cy="3696101"/>
            <wp:effectExtent b="0" l="0" r="0" t="0"/>
            <wp:docPr descr="" title="" id="71" name="Picture"/>
            <a:graphic>
              <a:graphicData uri="http://schemas.openxmlformats.org/drawingml/2006/picture">
                <pic:pic>
                  <pic:nvPicPr>
                    <pic:cNvPr descr="Annotations_report_files/figure-docx/unnamed-chunk-11-1.png" id="72" name="Picture"/>
                    <pic:cNvPicPr>
                      <a:picLocks noChangeArrowheads="1" noChangeAspect="1"/>
                    </pic:cNvPicPr>
                  </pic:nvPicPr>
                  <pic:blipFill>
                    <a:blip r:embed="rId70"/>
                    <a:stretch>
                      <a:fillRect/>
                    </a:stretch>
                  </pic:blipFill>
                  <pic:spPr bwMode="auto">
                    <a:xfrm>
                      <a:off x="0" y="0"/>
                      <a:ext cx="4620126" cy="3696101"/>
                    </a:xfrm>
                    <a:prstGeom prst="rect">
                      <a:avLst/>
                    </a:prstGeom>
                    <a:noFill/>
                    <a:ln w="9525">
                      <a:noFill/>
                      <a:headEnd/>
                      <a:tailEnd/>
                    </a:ln>
                  </pic:spPr>
                </pic:pic>
              </a:graphicData>
            </a:graphic>
          </wp:inline>
        </w:drawing>
      </w:r>
    </w:p>
    <w:bookmarkEnd w:id="73"/>
    <w:bookmarkStart w:id="74" w:name="X49b087c4058ad7ac980daf90037527bbacf23da"/>
    <w:p>
      <w:pPr>
        <w:pStyle w:val="Heading6"/>
      </w:pPr>
      <w:r>
        <w:rPr>
          <w:rStyle w:val="Strong"/>
        </w:rPr>
        <w:t xml:space="preserve">Figure 11</w:t>
      </w:r>
      <w:r>
        <w:t xml:space="preserve">. Total geoform or substrate annotations.</w:t>
      </w:r>
    </w:p>
    <w:p>
      <w:pPr>
        <w:pStyle w:val="FirstParagraph"/>
      </w:pPr>
      <w:r>
        <w:t xml:space="preserve">The number of geoform and substrate annotations within each dive during EX1903L2 ranged from 0 to 0 with a median of 0 annotations across all dives.</w:t>
      </w:r>
    </w:p>
    <w:bookmarkEnd w:id="74"/>
    <w:bookmarkEnd w:id="75"/>
    <w:bookmarkStart w:id="84" w:name="quality-control-metrics"/>
    <w:p>
      <w:pPr>
        <w:pStyle w:val="Heading1"/>
      </w:pPr>
      <w:r>
        <w:t xml:space="preserve">Quality control metrics</w:t>
      </w:r>
    </w:p>
    <w:p>
      <w:pPr>
        <w:pStyle w:val="FirstParagraph"/>
      </w:pPr>
      <w:r>
        <w:drawing>
          <wp:inline>
            <wp:extent cx="4620126" cy="3696101"/>
            <wp:effectExtent b="0" l="0" r="0" t="0"/>
            <wp:docPr descr="" title="" id="77" name="Picture"/>
            <a:graphic>
              <a:graphicData uri="http://schemas.openxmlformats.org/drawingml/2006/picture">
                <pic:pic>
                  <pic:nvPicPr>
                    <pic:cNvPr descr="Annotations_report_files/figure-docx/unnamed-chunk-12-1.png" id="78" name="Picture"/>
                    <pic:cNvPicPr>
                      <a:picLocks noChangeArrowheads="1" noChangeAspect="1"/>
                    </pic:cNvPicPr>
                  </pic:nvPicPr>
                  <pic:blipFill>
                    <a:blip r:embed="rId76"/>
                    <a:stretch>
                      <a:fillRect/>
                    </a:stretch>
                  </pic:blipFill>
                  <pic:spPr bwMode="auto">
                    <a:xfrm>
                      <a:off x="0" y="0"/>
                      <a:ext cx="4620126" cy="3696101"/>
                    </a:xfrm>
                    <a:prstGeom prst="rect">
                      <a:avLst/>
                    </a:prstGeom>
                    <a:noFill/>
                    <a:ln w="9525">
                      <a:noFill/>
                      <a:headEnd/>
                      <a:tailEnd/>
                    </a:ln>
                  </pic:spPr>
                </pic:pic>
              </a:graphicData>
            </a:graphic>
          </wp:inline>
        </w:drawing>
      </w:r>
    </w:p>
    <w:bookmarkStart w:id="82" w:name="Xb18dbc82f86f83448470b5128cbca60016c87b6"/>
    <w:p>
      <w:pPr>
        <w:pStyle w:val="Heading6"/>
      </w:pPr>
      <w:r>
        <w:rPr>
          <w:rStyle w:val="Strong"/>
        </w:rPr>
        <w:t xml:space="preserve">Figure 12</w:t>
      </w:r>
      <w:r>
        <w:t xml:space="preserve">. Percentage of annotations flagged for review.</w:t>
      </w:r>
    </w:p>
    <w:p>
      <w:pPr>
        <w:pStyle w:val="FirstParagraph"/>
      </w:pPr>
      <w:r>
        <w:t xml:space="preserve">The percentage of annotations flagged for review for each dive of EX1903L2 ranged from 0 to 4.3 with a median of 0.5 annotations flagged for review across all dives.</w:t>
      </w:r>
    </w:p>
    <w:p>
      <w:pPr>
        <w:pStyle w:val="BodyText"/>
      </w:pPr>
      <w:r>
        <w:drawing>
          <wp:inline>
            <wp:extent cx="4620126" cy="3696101"/>
            <wp:effectExtent b="0" l="0" r="0" t="0"/>
            <wp:docPr descr="" title="" id="80" name="Picture"/>
            <a:graphic>
              <a:graphicData uri="http://schemas.openxmlformats.org/drawingml/2006/picture">
                <pic:pic>
                  <pic:nvPicPr>
                    <pic:cNvPr descr="Annotations_report_files/figure-docx/unnamed-chunk-13-1.png" id="81" name="Picture"/>
                    <pic:cNvPicPr>
                      <a:picLocks noChangeArrowheads="1" noChangeAspect="1"/>
                    </pic:cNvPicPr>
                  </pic:nvPicPr>
                  <pic:blipFill>
                    <a:blip r:embed="rId79"/>
                    <a:stretch>
                      <a:fillRect/>
                    </a:stretch>
                  </pic:blipFill>
                  <pic:spPr bwMode="auto">
                    <a:xfrm>
                      <a:off x="0" y="0"/>
                      <a:ext cx="4620126" cy="3696101"/>
                    </a:xfrm>
                    <a:prstGeom prst="rect">
                      <a:avLst/>
                    </a:prstGeom>
                    <a:noFill/>
                    <a:ln w="9525">
                      <a:noFill/>
                      <a:headEnd/>
                      <a:tailEnd/>
                    </a:ln>
                  </pic:spPr>
                </pic:pic>
              </a:graphicData>
            </a:graphic>
          </wp:inline>
        </w:drawing>
      </w:r>
    </w:p>
    <w:bookmarkEnd w:id="82"/>
    <w:bookmarkStart w:id="83" w:name="X902f11609a441eb9fcd5aa65ce569b1e611911c"/>
    <w:p>
      <w:pPr>
        <w:pStyle w:val="Heading6"/>
      </w:pPr>
      <w:r>
        <w:rPr>
          <w:rStyle w:val="Strong"/>
        </w:rPr>
        <w:t xml:space="preserve">Figure 13</w:t>
      </w:r>
      <w:r>
        <w:t xml:space="preserve">. Number of unidentified biological annotations.</w:t>
      </w:r>
    </w:p>
    <w:p>
      <w:pPr>
        <w:pStyle w:val="FirstParagraph"/>
      </w:pPr>
      <w:r>
        <w:t xml:space="preserve">The number of annotations that were identified as being biological, but without an associated phylum-level identification during EX1903L2 ranged from 0 to 2 with a median of 0 unidentified biological annotations across all dives.</w:t>
      </w:r>
    </w:p>
    <w:bookmarkEnd w:id="83"/>
    <w:bookmarkEnd w:id="84"/>
    <w:sectPr w:rsidR="009B202F">
      <w:headerReference r:id="rId10" w:type="default"/>
      <w:footerReference r:id="rId12" w:type="default"/>
      <w:headerReference r:id="rId9" w:type="first"/>
      <w:footerReference r:id="rId11" w:type="first"/>
      <w:pgSz w:h="15840" w:w="12240"/>
      <w:pgMar w:bottom="1440" w:footer="720" w:gutter="0" w:header="0" w:left="1440" w:right="1260" w:top="1440"/>
      <w:pgNumType w:start="1"/>
      <w:cols w:space="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751B30">
    <w:pPr>
      <w:jc w:val="right"/>
      <w:rPr>
        <w:color w:val="0085CA"/>
        <w:sz w:val="16"/>
        <w:szCs w:val="16"/>
      </w:rPr>
    </w:pPr>
    <w:r>
      <w:rPr>
        <w:color w:val="0085CA"/>
        <w:sz w:val="20"/>
        <w:szCs w:val="20"/>
      </w:rPr>
      <w:fldChar w:fldCharType="begin"/>
    </w:r>
    <w:r>
      <w:rPr>
        <w:color w:val="0085CA"/>
        <w:sz w:val="20"/>
        <w:szCs w:val="20"/>
      </w:rPr>
      <w:instrText>PAGE</w:instrText>
    </w:r>
    <w:r w:rsidR="00FC09E6">
      <w:rPr>
        <w:color w:val="0085CA"/>
        <w:sz w:val="20"/>
        <w:szCs w:val="20"/>
      </w:rPr>
      <w:fldChar w:fldCharType="separate"/>
    </w:r>
    <w:r w:rsidR="00FC09E6">
      <w:rPr>
        <w:noProof/>
        <w:color w:val="0085CA"/>
        <w:sz w:val="20"/>
        <w:szCs w:val="20"/>
      </w:rPr>
      <w:t>2</w:t>
    </w:r>
    <w:r>
      <w:rPr>
        <w:color w:val="0085CA"/>
        <w:sz w:val="20"/>
        <w:szCs w:val="20"/>
      </w:rPr>
      <w:fldChar w:fldCharType="end"/>
    </w:r>
    <w:r>
      <w:rPr>
        <w:noProof/>
      </w:rPr>
      <w:drawing>
        <wp:anchor distT="114300" distB="114300" distL="114300" distR="114300" simplePos="0" relativeHeight="251660288" behindDoc="0" locked="0" layoutInCell="1" hidden="0" allowOverlap="1">
          <wp:simplePos x="0" y="0"/>
          <wp:positionH relativeFrom="column">
            <wp:posOffset>-133348</wp:posOffset>
          </wp:positionH>
          <wp:positionV relativeFrom="paragraph">
            <wp:posOffset>-5126</wp:posOffset>
          </wp:positionV>
          <wp:extent cx="1476375" cy="387594"/>
          <wp:effectExtent l="0" t="0" r="0" b="0"/>
          <wp:wrapSquare wrapText="bothSides" distT="114300" distB="11430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954"/>
                  <a:stretch>
                    <a:fillRect/>
                  </a:stretch>
                </pic:blipFill>
                <pic:spPr>
                  <a:xfrm>
                    <a:off x="0" y="0"/>
                    <a:ext cx="1476375" cy="38759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9C79D4">
    <w:pPr>
      <w:jc w:val="right"/>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9C79D4">
    <w:bookmarkStart w:id="16" w:name="_heading=h.1ksv4uv" w:colFirst="0" w:colLast="0"/>
    <w:bookmarkEnd w:id="16"/>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751B30">
    <w:r>
      <w:rPr>
        <w:noProof/>
      </w:rPr>
      <mc:AlternateContent>
        <mc:Choice Requires="wps">
          <w:drawing>
            <wp:anchor distT="114300" distB="114300" distL="114300" distR="114300" simplePos="0" relativeHeight="251658240" behindDoc="0" locked="0" layoutInCell="1" hidden="0" allowOverlap="1">
              <wp:simplePos x="0" y="0"/>
              <wp:positionH relativeFrom="column">
                <wp:posOffset>-914399</wp:posOffset>
              </wp:positionH>
              <wp:positionV relativeFrom="paragraph">
                <wp:posOffset>1</wp:posOffset>
              </wp:positionV>
              <wp:extent cx="7781925" cy="952500"/>
              <wp:effectExtent l="0" t="0" r="0" b="0"/>
              <wp:wrapSquare wrapText="bothSides" distT="114300" distB="114300" distL="114300" distR="114300"/>
              <wp:docPr id="5" name="Rectangle 5"/>
              <wp:cNvGraphicFramePr/>
              <a:graphic xmlns:a="http://schemas.openxmlformats.org/drawingml/2006/main">
                <a:graphicData uri="http://schemas.microsoft.com/office/word/2010/wordprocessingShape">
                  <wps:wsp>
                    <wps:cNvSpPr/>
                    <wps:spPr>
                      <a:xfrm>
                        <a:off x="1438950" y="3297150"/>
                        <a:ext cx="7814100" cy="965700"/>
                      </a:xfrm>
                      <a:prstGeom prst="rect">
                        <a:avLst/>
                      </a:prstGeom>
                      <a:solidFill>
                        <a:srgbClr val="003087"/>
                      </a:solidFill>
                      <a:ln>
                        <a:noFill/>
                      </a:ln>
                    </wps:spPr>
                    <wps:txbx>
                      <w:txbxContent>
                        <w:p w:rsidR="009C79D4" w:rsidRDefault="009C79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 o:spid="_x0000_s1026" style="position:absolute;margin-left:-1in;margin-top:0;width:612.75pt;height:7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" fillcolor="#003087" stroked="f">
              <v:textbox inset="2.53958mm,2.53958mm,2.53958mm,2.53958mm">
                <w:txbxContent>
                  <w:p w:rsidR="009C79D4" w:rsidRDefault="009C79D4">
                    <w:pPr>
                      <w:spacing w:after="0" w:line="240" w:lineRule="auto"/>
                      <w:textDirection w:val="btLr"/>
                    </w:pPr>
                  </w:p>
                </w:txbxContent>
              </v:textbox>
              <w10:wrap type="square"/>
            </v:rect>
          </w:pict>
        </mc:Fallback>
      </mc:AlternateContent>
    </w:r>
    <w:r>
      <w:rPr>
        <w:noProof/>
      </w:rPr>
      <w:drawing>
        <wp:anchor distT="114300" distB="114300" distL="114300" distR="114300" simplePos="0" relativeHeight="251659264" behindDoc="0" locked="0" layoutInCell="1" hidden="0" allowOverlap="1">
          <wp:simplePos x="0" y="0"/>
          <wp:positionH relativeFrom="column">
            <wp:posOffset>-142873</wp:posOffset>
          </wp:positionH>
          <wp:positionV relativeFrom="paragraph">
            <wp:posOffset>239590</wp:posOffset>
          </wp:positionV>
          <wp:extent cx="2127855" cy="514350"/>
          <wp:effectExtent l="0" t="0" r="0" b="0"/>
          <wp:wrapNone/>
          <wp:docPr id="6" name="image3.png" descr="NOAA Ocean Exploration Emblem"/>
          <wp:cNvGraphicFramePr/>
          <a:graphic xmlns:a="http://schemas.openxmlformats.org/drawingml/2006/main">
            <a:graphicData uri="http://schemas.openxmlformats.org/drawingml/2006/picture">
              <pic:pic xmlns:pic="http://schemas.openxmlformats.org/drawingml/2006/picture">
                <pic:nvPicPr>
                  <pic:cNvPr id="0" name="image3.png" descr="NOAA Ocean Exploration Emblem"/>
                  <pic:cNvPicPr preferRelativeResize="0"/>
                </pic:nvPicPr>
                <pic:blipFill>
                  <a:blip r:embed="rId1"/>
                  <a:srcRect t="12210" b="12210"/>
                  <a:stretch>
                    <a:fillRect/>
                  </a:stretch>
                </pic:blipFill>
                <pic:spPr>
                  <a:xfrm>
                    <a:off x="0" y="0"/>
                    <a:ext cx="2127855" cy="514350"/>
                  </a:xfrm>
                  <a:prstGeom prst="rect">
                    <a:avLst/>
                  </a:prstGeom>
                  <a:ln/>
                </pic:spPr>
              </pic:pic>
            </a:graphicData>
          </a:graphic>
        </wp:anchor>
      </w:drawing>
    </w: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D4"/>
    <w:rsid w:val="001B1428"/>
    <w:rsid w:val="005F5A8A"/>
    <w:rsid w:val="00751B30"/>
    <w:rsid w:val="008567B4"/>
    <w:rsid w:val="008A20A4"/>
    <w:rsid w:val="009B202F"/>
    <w:rsid w:val="009C79D4"/>
    <w:rsid w:val="00B6723A"/>
    <w:rsid w:val="00B73158"/>
    <w:rsid w:val="00BC5E75"/>
    <w:rsid w:val="00DD5686"/>
    <w:rsid w:val="00FC09E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cs="Roboto" w:eastAsia="Roboto" w:hAnsi="Roboto"/>
        <w:sz w:val="22"/>
        <w:szCs w:val="22"/>
        <w:lang w:bidi="ar-SA" w:eastAsia="en-US" w:val="en-US"/>
      </w:rPr>
    </w:rPrDefault>
    <w:pPrDefault>
      <w:pPr>
        <w:spacing w:after="200" w:line="276"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style>
  <w:style w:styleId="Heading1" w:type="paragraph">
    <w:name w:val="heading 1"/>
    <w:basedOn w:val="Normal"/>
    <w:next w:val="Normal"/>
    <w:uiPriority w:val="9"/>
    <w:qFormat/>
    <w:pPr>
      <w:keepNext/>
      <w:keepLines/>
      <w:spacing w:before="200" w:line="240" w:lineRule="auto"/>
      <w:outlineLvl w:val="0"/>
    </w:pPr>
    <w:rPr>
      <w:rFonts w:ascii="Roboto Medium" w:cs="Roboto Medium" w:eastAsia="Roboto Medium" w:hAnsi="Roboto Medium"/>
      <w:color w:val="003087"/>
      <w:sz w:val="32"/>
      <w:szCs w:val="32"/>
    </w:rPr>
  </w:style>
  <w:style w:styleId="Heading2" w:type="paragraph">
    <w:name w:val="heading 2"/>
    <w:basedOn w:val="Normal"/>
    <w:next w:val="Normal"/>
    <w:uiPriority w:val="9"/>
    <w:unhideWhenUsed/>
    <w:qFormat/>
    <w:pPr>
      <w:keepNext/>
      <w:keepLines/>
      <w:spacing w:line="240" w:lineRule="auto"/>
      <w:outlineLvl w:val="1"/>
    </w:pPr>
    <w:rPr>
      <w:rFonts w:ascii="Roboto Medium" w:cs="Roboto Medium" w:eastAsia="Roboto Medium" w:hAnsi="Roboto Medium"/>
      <w:color w:val="0085CA"/>
      <w:sz w:val="28"/>
      <w:szCs w:val="28"/>
    </w:rPr>
  </w:style>
  <w:style w:styleId="Heading3" w:type="paragraph">
    <w:name w:val="heading 3"/>
    <w:basedOn w:val="Normal"/>
    <w:next w:val="Normal"/>
    <w:uiPriority w:val="9"/>
    <w:unhideWhenUsed/>
    <w:qFormat/>
    <w:pPr>
      <w:keepNext/>
      <w:keepLines/>
      <w:outlineLvl w:val="2"/>
    </w:pPr>
    <w:rPr>
      <w:rFonts w:ascii="Roboto Medium" w:cs="Roboto Medium" w:eastAsia="Roboto Medium" w:hAnsi="Roboto Medium"/>
      <w:color w:val="003087"/>
      <w:sz w:val="26"/>
      <w:szCs w:val="26"/>
    </w:rPr>
  </w:style>
  <w:style w:styleId="Heading4" w:type="paragraph">
    <w:name w:val="heading 4"/>
    <w:basedOn w:val="Normal"/>
    <w:next w:val="Normal"/>
    <w:uiPriority w:val="9"/>
    <w:unhideWhenUsed/>
    <w:qFormat/>
    <w:pPr>
      <w:keepNext/>
      <w:keepLines/>
      <w:outlineLvl w:val="3"/>
    </w:pPr>
    <w:rPr>
      <w:rFonts w:ascii="Roboto Medium" w:cs="Roboto Medium" w:eastAsia="Roboto Medium" w:hAnsi="Roboto Medium"/>
      <w:color w:val="0085CA"/>
      <w:sz w:val="24"/>
      <w:szCs w:val="24"/>
    </w:rPr>
  </w:style>
  <w:style w:styleId="Heading5" w:type="paragraph">
    <w:name w:val="heading 5"/>
    <w:basedOn w:val="Normal"/>
    <w:next w:val="Normal"/>
    <w:uiPriority w:val="9"/>
    <w:unhideWhenUsed/>
    <w:qFormat/>
    <w:pPr>
      <w:keepNext/>
      <w:keepLines/>
      <w:spacing w:after="0"/>
      <w:ind w:left="90" w:right="165"/>
      <w:outlineLvl w:val="4"/>
    </w:pPr>
    <w:rPr>
      <w:sz w:val="20"/>
      <w:szCs w:val="20"/>
    </w:rPr>
  </w:style>
  <w:style w:styleId="Heading6" w:type="paragraph">
    <w:name w:val="heading 6"/>
    <w:basedOn w:val="Normal"/>
    <w:next w:val="Normal"/>
    <w:uiPriority w:val="9"/>
    <w:unhideWhenUsed/>
    <w:qFormat/>
    <w:rsid w:val="009B202F"/>
    <w:pPr>
      <w:keepNext/>
      <w:keepLines/>
      <w:spacing w:after="120" w:line="240" w:lineRule="auto"/>
      <w:outlineLvl w:val="5"/>
    </w:pPr>
    <w:rPr>
      <w:rFonts w:cs="Cambria" w:eastAsia="Cambria"/>
      <w:color w:val="002D9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Title" w:type="paragraph">
    <w:name w:val="Title"/>
    <w:basedOn w:val="Normal"/>
    <w:next w:val="Normal"/>
    <w:uiPriority w:val="10"/>
    <w:qFormat/>
    <w:rsid w:val="009700CC"/>
    <w:pPr>
      <w:keepNext/>
      <w:keepLines/>
      <w:spacing w:after="400" w:line="240" w:lineRule="auto"/>
      <w:ind w:right="-187"/>
    </w:pPr>
    <w:rPr>
      <w:rFonts w:ascii="Roboto Medium" w:cs="Roboto Medium" w:eastAsia="Roboto Medium" w:hAnsi="Roboto Medium"/>
      <w:color w:val="003087"/>
      <w:sz w:val="48"/>
      <w:szCs w:val="48"/>
    </w:rPr>
  </w:style>
  <w:style w:styleId="Subtitle" w:type="paragraph">
    <w:name w:val="Subtitle"/>
    <w:basedOn w:val="Normal"/>
    <w:next w:val="Normal"/>
    <w:uiPriority w:val="11"/>
    <w:qFormat/>
    <w:pPr>
      <w:keepNext/>
      <w:keepLines/>
    </w:pPr>
    <w:rPr>
      <w:color w:val="003087"/>
    </w:rPr>
  </w:style>
  <w:style w:customStyle="1" w:styleId="a" w:type="table">
    <w:basedOn w:val="TableNormal"/>
    <w:tblPr>
      <w:tblStyleRowBandSize w:val="1"/>
      <w:tblStyleColBandSize w:val="1"/>
      <w:tblCellMar>
        <w:top w:type="dxa" w:w="100"/>
        <w:left w:type="dxa" w:w="100"/>
        <w:bottom w:type="dxa" w:w="100"/>
        <w:right w:type="dxa" w:w="100"/>
      </w:tblCellMar>
    </w:tblPr>
  </w:style>
  <w:style w:styleId="SubtleEmphasis" w:type="character">
    <w:name w:val="Subtle Emphasis"/>
    <w:basedOn w:val="DefaultParagraphFont"/>
    <w:uiPriority w:val="19"/>
    <w:rsid w:val="00EB0D76"/>
    <w:rPr>
      <w:i/>
      <w:iCs/>
      <w:color w:themeColor="text1" w:themeTint="BF" w:val="404040"/>
    </w:rPr>
  </w:style>
  <w:style w:customStyle="1" w:styleId="a0" w:type="table">
    <w:basedOn w:val="TableNormal"/>
    <w:tblPr>
      <w:tblStyleRowBandSize w:val="1"/>
      <w:tblStyleColBandSize w:val="1"/>
      <w:tblCellMar>
        <w:top w:type="dxa" w:w="100"/>
        <w:left w:type="dxa" w:w="100"/>
        <w:bottom w:type="dxa" w:w="100"/>
        <w:right w:type="dxa" w:w="100"/>
      </w:tblCellMar>
    </w:tblPr>
  </w:style>
  <w:style w:styleId="CommentText" w:type="paragraph">
    <w:name w:val="annotation text"/>
    <w:basedOn w:val="Normal"/>
    <w:link w:val="CommentTextChar"/>
    <w:uiPriority w:val="99"/>
    <w:semiHidden/>
    <w:unhideWhenUsed/>
    <w:pPr>
      <w:spacing w:line="240" w:lineRule="auto"/>
    </w:pPr>
    <w:rPr>
      <w:sz w:val="20"/>
      <w:szCs w:val="20"/>
    </w:rPr>
  </w:style>
  <w:style w:customStyle="1" w:styleId="CommentTextChar" w:type="character">
    <w:name w:val="Comment Text Char"/>
    <w:basedOn w:val="DefaultParagraphFont"/>
    <w:link w:val="CommentText"/>
    <w:uiPriority w:val="99"/>
    <w:semiHidden/>
    <w:rPr>
      <w:sz w:val="20"/>
      <w:szCs w:val="20"/>
    </w:rPr>
  </w:style>
  <w:style w:styleId="CommentReference" w:type="character">
    <w:name w:val="annotation reference"/>
    <w:basedOn w:val="DefaultParagraphFont"/>
    <w:uiPriority w:val="99"/>
    <w:semiHidden/>
    <w:unhideWhenUsed/>
    <w:rPr>
      <w:sz w:val="16"/>
      <w:szCs w:val="16"/>
    </w:rPr>
  </w:style>
  <w:style w:styleId="BalloonText" w:type="paragraph">
    <w:name w:val="Balloon Text"/>
    <w:basedOn w:val="Normal"/>
    <w:link w:val="BalloonTextChar"/>
    <w:uiPriority w:val="99"/>
    <w:semiHidden/>
    <w:unhideWhenUsed/>
    <w:rsid w:val="00DD56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DD5686"/>
    <w:rPr>
      <w:rFonts w:ascii="Segoe UI" w:cs="Segoe UI" w:hAnsi="Segoe UI"/>
      <w:sz w:val="18"/>
      <w:szCs w:val="18"/>
    </w:rPr>
  </w:style>
  <w:style w:styleId="Hyperlink" w:type="character">
    <w:name w:val="Hyperlink"/>
    <w:basedOn w:val="DefaultParagraphFont"/>
    <w:uiPriority w:val="99"/>
    <w:unhideWhenUsed/>
    <w:rsid w:val="009B202F"/>
    <w:rPr>
      <w:color w:themeColor="hyperlink" w:val="0000FF"/>
      <w:u w:val="single"/>
    </w:rPr>
  </w:style>
  <w:style w:styleId="Strong" w:type="character">
    <w:name w:val="Strong"/>
    <w:basedOn w:val="DefaultParagraphFont"/>
    <w:uiPriority w:val="22"/>
    <w:qFormat/>
    <w:rsid w:val="00B73158"/>
    <w:rPr>
      <w:b/>
      <w:bCs/>
      <w:color w:val="002D94"/>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footer2.xml" Type="http://schemas.openxmlformats.org/officeDocument/2006/relationships/footer" /><Relationship Id="rId12"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66" Target="media/rId66.png" /><Relationship Type="http://schemas.openxmlformats.org/officeDocument/2006/relationships/image" Id="rId70" Target="media/rId70.png" /><Relationship Type="http://schemas.openxmlformats.org/officeDocument/2006/relationships/image" Id="rId76" Target="media/rId76.png" /><Relationship Type="http://schemas.openxmlformats.org/officeDocument/2006/relationships/image" Id="rId79" Target="media/rId79.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3" Target="media/rId53.png" /><Relationship Type="http://schemas.openxmlformats.org/officeDocument/2006/relationships/image" Id="rId58" Target="media/rId58.png" /><Relationship Type="http://schemas.openxmlformats.org/officeDocument/2006/relationships/image" Id="rId62" Target="media/rId62.png" /><Relationship Type="http://schemas.openxmlformats.org/officeDocument/2006/relationships/hyperlink" Id="rId26" Target="https://data.oceannetworks.ca/SeaTubeSearch" TargetMode="External" /><Relationship Type="http://schemas.openxmlformats.org/officeDocument/2006/relationships/hyperlink" Id="rId57" Target="https://deepseacoraldata.noaa.gov/about/program" TargetMode="External" /><Relationship Type="http://schemas.openxmlformats.org/officeDocument/2006/relationships/hyperlink" Id="rId22" Target="https://doi.org/10.25923/n605-za83" TargetMode="External" /><Relationship Type="http://schemas.openxmlformats.org/officeDocument/2006/relationships/hyperlink" Id="rId20" Target="https://oceanexplorer.noaa.gov/explorations/aspire/welcome.html" TargetMode="External" /><Relationship Type="http://schemas.openxmlformats.org/officeDocument/2006/relationships/hyperlink" Id="rId23" Target="https://oceanexplorer.noaa.gov/okeanos/collaboration-tools/science_annotations/media/NOAA_Ocean_Exploration_Video_Annotations.pdf" TargetMode="External" /><Relationship Type="http://schemas.openxmlformats.org/officeDocument/2006/relationships/hyperlink" Id="rId21" Target="https://repository.library.noaa.gov/" TargetMode="External" /><Relationship Type="http://schemas.openxmlformats.org/officeDocument/2006/relationships/hyperlink" Id="rId24" Target="https://www.ncei.noaa.gov/waf/okeanos-rov-cruises/" TargetMode="External"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Relationship Type="http://schemas.openxmlformats.org/officeDocument/2006/relationships/hyperlink" Id="rId26" Target="https://data.oceannetworks.ca/SeaTubeSearch" TargetMode="External" /><Relationship Type="http://schemas.openxmlformats.org/officeDocument/2006/relationships/hyperlink" Id="rId57" Target="https://deepseacoraldata.noaa.gov/about/program" TargetMode="External" /><Relationship Type="http://schemas.openxmlformats.org/officeDocument/2006/relationships/hyperlink" Id="rId22" Target="https://doi.org/10.25923/n605-za83" TargetMode="External" /><Relationship Type="http://schemas.openxmlformats.org/officeDocument/2006/relationships/hyperlink" Id="rId20" Target="https://oceanexplorer.noaa.gov/explorations/aspire/welcome.html" TargetMode="External" /><Relationship Type="http://schemas.openxmlformats.org/officeDocument/2006/relationships/hyperlink" Id="rId23" Target="https://oceanexplorer.noaa.gov/okeanos/collaboration-tools/science_annotations/media/NOAA_Ocean_Exploration_Video_Annotations.pdf" TargetMode="External" /><Relationship Type="http://schemas.openxmlformats.org/officeDocument/2006/relationships/hyperlink" Id="rId21" Target="https://repository.library.noaa.gov/" TargetMode="External" /><Relationship Type="http://schemas.openxmlformats.org/officeDocument/2006/relationships/hyperlink" Id="rId24" Target="https://www.ncei.noaa.gov/waf/okeanos-rov-cruises/"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EX1903L2: Mid and Southeast US</dc:title>
  <dc:creator/>
  <cp:keywords/>
  <dcterms:created xsi:type="dcterms:W3CDTF">2025-06-08T15:34:30Z</dcterms:created>
  <dcterms:modified xsi:type="dcterms:W3CDTF">2025-06-08T15:34:30Z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